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Hlk103158310" w:displacedByCustomXml="next"/>
    <w:bookmarkEnd w:id="1" w:displacedByCustomXml="next"/>
    <w:sdt>
      <w:sdtPr>
        <w:id w:val="-145591017"/>
        <w:docPartObj>
          <w:docPartGallery w:val="Cover Pages"/>
          <w:docPartUnique/>
        </w:docPartObj>
      </w:sdtPr>
      <w:sdtEndPr>
        <w:rPr>
          <w:noProof/>
        </w:rPr>
      </w:sdtEndPr>
      <w:sdtContent>
        <w:p w14:paraId="5179B5CA" w14:textId="295E2898" w:rsidR="0023294E" w:rsidRPr="009D0A4A" w:rsidRDefault="00094DD1" w:rsidP="00FA48E5">
          <w:pPr>
            <w:pStyle w:val="BodyText"/>
            <w:jc w:val="both"/>
            <w:rPr>
              <w:rFonts w:cs="Arial"/>
            </w:rPr>
          </w:pPr>
          <w:r w:rsidRPr="009D0A4A">
            <w:rPr>
              <w:noProof/>
              <w:lang w:eastAsia="en-AU"/>
            </w:rPr>
            <w:drawing>
              <wp:inline distT="0" distB="0" distL="0" distR="0" wp14:anchorId="06A7CEB1" wp14:editId="55C1319D">
                <wp:extent cx="3735628" cy="755650"/>
                <wp:effectExtent l="0" t="0" r="0" b="6350"/>
                <wp:docPr id="4" name="Picture 4" descr="Safe Work Australia's logo " title="Safe Work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3735628" cy="755650"/>
                        </a:xfrm>
                        <a:prstGeom prst="rect">
                          <a:avLst/>
                        </a:prstGeom>
                      </pic:spPr>
                    </pic:pic>
                  </a:graphicData>
                </a:graphic>
              </wp:inline>
            </w:drawing>
          </w:r>
          <w:r w:rsidR="0023294E" w:rsidRPr="009D0A4A">
            <w:rPr>
              <w:noProof/>
              <w:color w:val="2B579A"/>
              <w:shd w:val="clear" w:color="auto" w:fill="E6E6E6"/>
              <w:lang w:eastAsia="en-AU"/>
            </w:rPr>
            <mc:AlternateContent>
              <mc:Choice Requires="wps">
                <w:drawing>
                  <wp:anchor distT="0" distB="0" distL="114300" distR="114300" simplePos="0" relativeHeight="251658240" behindDoc="0" locked="1" layoutInCell="1" allowOverlap="1" wp14:anchorId="2F48C2CE" wp14:editId="5060D244">
                    <wp:simplePos x="0" y="0"/>
                    <wp:positionH relativeFrom="page">
                      <wp:align>right</wp:align>
                    </wp:positionH>
                    <wp:positionV relativeFrom="page">
                      <wp:align>top</wp:align>
                    </wp:positionV>
                    <wp:extent cx="108000" cy="10710000"/>
                    <wp:effectExtent l="0" t="0" r="6350" b="0"/>
                    <wp:wrapNone/>
                    <wp:docPr id="70" name="Rectangle 70"/>
                    <wp:cNvGraphicFramePr/>
                    <a:graphic xmlns:a="http://schemas.openxmlformats.org/drawingml/2006/main">
                      <a:graphicData uri="http://schemas.microsoft.com/office/word/2010/wordprocessingShape">
                        <wps:wsp>
                          <wps:cNvSpPr/>
                          <wps:spPr>
                            <a:xfrm>
                              <a:off x="0" y="0"/>
                              <a:ext cx="10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623F0A" w14:textId="77777777" w:rsidR="00F1382E" w:rsidRDefault="00F1382E" w:rsidP="007D4E8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F48C2CE" id="Rectangle 70" o:spid="_x0000_s1026" style="position:absolute;left:0;text-align:left;margin-left:-42.7pt;margin-top:0;width:8.5pt;height:843.3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" fillcolor="white [3212]" stroked="f" strokeweight="1pt">
                    <v:textbox>
                      <w:txbxContent>
                        <w:p w14:paraId="24623F0A" w14:textId="77777777" w:rsidR="00F1382E" w:rsidRDefault="00F1382E" w:rsidP="007D4E89">
                          <w:pPr>
                            <w:jc w:val="center"/>
                          </w:pPr>
                        </w:p>
                      </w:txbxContent>
                    </v:textbox>
                    <w10:wrap anchorx="page" anchory="page"/>
                    <w10:anchorlock/>
                  </v:rect>
                </w:pict>
              </mc:Fallback>
            </mc:AlternateContent>
          </w:r>
          <w:r w:rsidR="0023294E" w:rsidRPr="009D0A4A">
            <w:rPr>
              <w:noProof/>
              <w:color w:val="2B579A"/>
              <w:shd w:val="clear" w:color="auto" w:fill="E6E6E6"/>
              <w:lang w:eastAsia="en-AU"/>
            </w:rPr>
            <mc:AlternateContent>
              <mc:Choice Requires="wps">
                <w:drawing>
                  <wp:anchor distT="45720" distB="45720" distL="114300" distR="114300" simplePos="0" relativeHeight="251658241" behindDoc="1" locked="1" layoutInCell="1" allowOverlap="1" wp14:anchorId="4C24A760" wp14:editId="5B9F8DA4">
                    <wp:simplePos x="0" y="0"/>
                    <wp:positionH relativeFrom="page">
                      <wp:posOffset>0</wp:posOffset>
                    </wp:positionH>
                    <wp:positionV relativeFrom="page">
                      <wp:posOffset>9970770</wp:posOffset>
                    </wp:positionV>
                    <wp:extent cx="7560945" cy="719455"/>
                    <wp:effectExtent l="0" t="0" r="1905" b="444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719455"/>
                            </a:xfrm>
                            <a:prstGeom prst="rect">
                              <a:avLst/>
                            </a:prstGeom>
                            <a:solidFill>
                              <a:sysClr val="window" lastClr="FFFFFF"/>
                            </a:solidFill>
                            <a:ln w="9525">
                              <a:noFill/>
                              <a:miter lim="800000"/>
                              <a:headEnd/>
                              <a:tailEnd/>
                            </a:ln>
                          </wps:spPr>
                          <wps:txbx>
                            <w:txbxContent>
                              <w:p w14:paraId="54046481" w14:textId="77777777" w:rsidR="00F1382E" w:rsidRPr="00543FDE" w:rsidRDefault="00F1382E" w:rsidP="004616FF">
                                <w:pPr>
                                  <w:pStyle w:val="ProtectiveMarking"/>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C24A760" id="_x0000_t202" coordsize="21600,21600" o:spt="202" path="m,l,21600r21600,l21600,xe">
                    <v:stroke joinstyle="miter"/>
                    <v:path gradientshapeok="t" o:connecttype="rect"/>
                  </v:shapetype>
                  <v:shape id="Text Box 2" o:spid="_x0000_s1027" type="#_x0000_t202" style="position:absolute;left:0;text-align:left;margin-left:0;margin-top:785.1pt;width:595.35pt;height:56.65pt;z-index:-251658239;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" fillcolor="window" stroked="f">
                    <v:textbox inset="0,0,0,0">
                      <w:txbxContent>
                        <w:p w14:paraId="54046481" w14:textId="77777777" w:rsidR="00F1382E" w:rsidRPr="00543FDE" w:rsidRDefault="00F1382E" w:rsidP="004616FF">
                          <w:pPr>
                            <w:pStyle w:val="ProtectiveMarking"/>
                          </w:pPr>
                        </w:p>
                      </w:txbxContent>
                    </v:textbox>
                    <w10:wrap anchorx="page" anchory="page"/>
                    <w10:anchorlock/>
                  </v:shape>
                </w:pict>
              </mc:Fallback>
            </mc:AlternateContent>
          </w:r>
        </w:p>
        <w:p w14:paraId="453FF234" w14:textId="77777777" w:rsidR="00094DD1" w:rsidRPr="009D0A4A" w:rsidRDefault="00094DD1" w:rsidP="00183C12">
          <w:pPr>
            <w:jc w:val="both"/>
            <w:rPr>
              <w:rFonts w:cs="Arial"/>
            </w:rPr>
          </w:pPr>
        </w:p>
        <w:p w14:paraId="413B9D57" w14:textId="77777777" w:rsidR="00094DD1" w:rsidRPr="009D0A4A" w:rsidRDefault="00094DD1" w:rsidP="00183C12">
          <w:pPr>
            <w:pStyle w:val="CoverByline"/>
            <w:jc w:val="both"/>
            <w:rPr>
              <w:color w:val="000000" w:themeColor="text1"/>
            </w:rPr>
          </w:pPr>
          <w:r w:rsidRPr="009D0A4A">
            <w:rPr>
              <w:color w:val="000000" w:themeColor="text1"/>
            </w:rPr>
            <w:t>Consultation Regulation Impact Statement</w:t>
          </w:r>
        </w:p>
        <w:p w14:paraId="270FF464" w14:textId="77777777" w:rsidR="00094DD1" w:rsidRPr="009D0A4A" w:rsidRDefault="00094DD1" w:rsidP="00183C12">
          <w:pPr>
            <w:pStyle w:val="CoverByline"/>
            <w:jc w:val="both"/>
            <w:rPr>
              <w:color w:val="000000" w:themeColor="text1"/>
            </w:rPr>
          </w:pPr>
        </w:p>
        <w:p w14:paraId="2A1F5561" w14:textId="0D0A842B" w:rsidR="00094DD1" w:rsidRPr="009D0A4A" w:rsidRDefault="00094DD1" w:rsidP="00183C12">
          <w:pPr>
            <w:pStyle w:val="CoverByline"/>
            <w:jc w:val="both"/>
            <w:rPr>
              <w:color w:val="000000" w:themeColor="text1"/>
              <w:sz w:val="36"/>
              <w:szCs w:val="22"/>
            </w:rPr>
          </w:pPr>
          <w:r w:rsidRPr="009D0A4A">
            <w:rPr>
              <w:color w:val="000000" w:themeColor="text1"/>
              <w:sz w:val="36"/>
              <w:szCs w:val="22"/>
            </w:rPr>
            <w:t xml:space="preserve">Managing the risks of respirable crystalline silica </w:t>
          </w:r>
          <w:r w:rsidR="00C07574" w:rsidRPr="009D0A4A">
            <w:rPr>
              <w:color w:val="000000" w:themeColor="text1"/>
              <w:sz w:val="36"/>
              <w:szCs w:val="22"/>
            </w:rPr>
            <w:t>at work</w:t>
          </w:r>
        </w:p>
        <w:p w14:paraId="0F1B34CC" w14:textId="77777777" w:rsidR="00094DD1" w:rsidRPr="009D0A4A" w:rsidRDefault="00094DD1" w:rsidP="00183C12">
          <w:pPr>
            <w:pStyle w:val="CoverByline"/>
            <w:jc w:val="both"/>
            <w:rPr>
              <w:color w:val="000000" w:themeColor="text1"/>
              <w:sz w:val="36"/>
              <w:szCs w:val="22"/>
            </w:rPr>
          </w:pPr>
        </w:p>
        <w:p w14:paraId="21C51F52" w14:textId="77777777" w:rsidR="00094DD1" w:rsidRPr="009D0A4A" w:rsidRDefault="00094DD1" w:rsidP="00183C12">
          <w:pPr>
            <w:pStyle w:val="CoverByline"/>
            <w:jc w:val="both"/>
            <w:rPr>
              <w:color w:val="000000" w:themeColor="text1"/>
              <w:sz w:val="36"/>
              <w:szCs w:val="22"/>
            </w:rPr>
          </w:pPr>
        </w:p>
        <w:p w14:paraId="224F62E2" w14:textId="77777777" w:rsidR="00094DD1" w:rsidRPr="009D0A4A" w:rsidRDefault="00094DD1" w:rsidP="00183C12">
          <w:pPr>
            <w:pStyle w:val="CoverByline"/>
            <w:jc w:val="both"/>
            <w:rPr>
              <w:color w:val="000000" w:themeColor="text1"/>
              <w:sz w:val="36"/>
              <w:szCs w:val="22"/>
            </w:rPr>
          </w:pPr>
        </w:p>
        <w:p w14:paraId="5A9146A0" w14:textId="77777777" w:rsidR="00094DD1" w:rsidRPr="009D0A4A" w:rsidRDefault="00094DD1" w:rsidP="00183C12">
          <w:pPr>
            <w:pStyle w:val="CoverByline"/>
            <w:jc w:val="both"/>
            <w:rPr>
              <w:color w:val="000000" w:themeColor="text1"/>
              <w:sz w:val="36"/>
              <w:szCs w:val="22"/>
            </w:rPr>
          </w:pPr>
        </w:p>
        <w:p w14:paraId="124F4FC1" w14:textId="7D7A8610" w:rsidR="00094DD1" w:rsidRPr="009D0A4A" w:rsidRDefault="00E3042E" w:rsidP="00183C12">
          <w:pPr>
            <w:pStyle w:val="CoverByline"/>
            <w:jc w:val="both"/>
            <w:rPr>
              <w:color w:val="000000" w:themeColor="text1"/>
              <w:sz w:val="36"/>
              <w:szCs w:val="36"/>
            </w:rPr>
          </w:pPr>
          <w:r w:rsidRPr="009D0A4A">
            <w:rPr>
              <w:color w:val="000000" w:themeColor="text1"/>
              <w:sz w:val="36"/>
              <w:szCs w:val="36"/>
            </w:rPr>
            <w:t>June</w:t>
          </w:r>
          <w:r w:rsidR="00717AB1" w:rsidRPr="009D0A4A">
            <w:rPr>
              <w:color w:val="000000" w:themeColor="text1"/>
              <w:sz w:val="36"/>
              <w:szCs w:val="36"/>
            </w:rPr>
            <w:t xml:space="preserve"> </w:t>
          </w:r>
          <w:r w:rsidR="00094DD1" w:rsidRPr="009D0A4A">
            <w:rPr>
              <w:color w:val="000000" w:themeColor="text1"/>
              <w:sz w:val="36"/>
              <w:szCs w:val="36"/>
            </w:rPr>
            <w:t>2022</w:t>
          </w:r>
        </w:p>
        <w:p w14:paraId="74CC9761" w14:textId="67241A60" w:rsidR="0023294E" w:rsidRPr="009D0A4A" w:rsidRDefault="00E26661" w:rsidP="00FA48E5">
          <w:pPr>
            <w:pStyle w:val="BodyText"/>
            <w:jc w:val="both"/>
            <w:rPr>
              <w:caps/>
            </w:rPr>
          </w:pPr>
        </w:p>
      </w:sdtContent>
    </w:sdt>
    <w:p w14:paraId="7836DDAA" w14:textId="6F772459" w:rsidR="1CAA549B" w:rsidRPr="009D0A4A" w:rsidRDefault="1CAA549B" w:rsidP="000F019A">
      <w:pPr>
        <w:jc w:val="both"/>
        <w:sectPr w:rsidR="1CAA549B" w:rsidRPr="009D0A4A" w:rsidSect="00AF49E5">
          <w:headerReference w:type="even" r:id="rId8"/>
          <w:headerReference w:type="default" r:id="rId9"/>
          <w:footerReference w:type="even" r:id="rId10"/>
          <w:footerReference w:type="default" r:id="rId11"/>
          <w:headerReference w:type="first" r:id="rId12"/>
          <w:footerReference w:type="first" r:id="rId13"/>
          <w:pgSz w:w="11906" w:h="16838"/>
          <w:pgMar w:top="426" w:right="851" w:bottom="1135" w:left="851" w:header="567" w:footer="57" w:gutter="0"/>
          <w:pgNumType w:start="0"/>
          <w:cols w:space="708"/>
          <w:titlePg/>
          <w:docGrid w:linePitch="360"/>
        </w:sectPr>
      </w:pPr>
      <w:r w:rsidRPr="009D0A4A">
        <w:br w:type="page"/>
      </w:r>
    </w:p>
    <w:p w14:paraId="1708A090" w14:textId="77777777" w:rsidR="00FA48E5" w:rsidRPr="009D0A4A" w:rsidRDefault="00FA48E5" w:rsidP="00183C12">
      <w:pPr>
        <w:pStyle w:val="SWADisclaimerbodytext"/>
        <w:jc w:val="both"/>
        <w:rPr>
          <w:rFonts w:cs="Arial"/>
          <w:bCs/>
        </w:rPr>
      </w:pPr>
      <w:r w:rsidRPr="009D0A4A">
        <w:rPr>
          <w:rFonts w:cs="Arial"/>
          <w:bCs/>
        </w:rPr>
        <w:lastRenderedPageBreak/>
        <w:t>Safe Work Australia is an Australian Government statutory agency established in 2009. Safe Work Australia consists of representatives of the Commonwealth, state and territory governments, the Australian Council of Trade Unions, the Australian Chamber of Commerce and Industry and the Australian Industry Group.</w:t>
      </w:r>
    </w:p>
    <w:p w14:paraId="30874EA9" w14:textId="77777777" w:rsidR="00FA48E5" w:rsidRPr="009D0A4A" w:rsidRDefault="00FA48E5" w:rsidP="00183C12">
      <w:pPr>
        <w:pStyle w:val="SWADisclaimerbodytext"/>
        <w:jc w:val="both"/>
        <w:rPr>
          <w:rFonts w:cs="Arial"/>
          <w:bCs/>
        </w:rPr>
      </w:pPr>
      <w:r w:rsidRPr="009D0A4A">
        <w:rPr>
          <w:rFonts w:cs="Arial"/>
          <w:bCs/>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04BB4623" w14:textId="42A8D09B" w:rsidR="00E94F67" w:rsidRPr="009D0A4A" w:rsidRDefault="00E94F67" w:rsidP="00183C12">
      <w:pPr>
        <w:pStyle w:val="SWADisclaimerbodytext"/>
        <w:jc w:val="both"/>
        <w:rPr>
          <w:rFonts w:cs="Arial"/>
        </w:rPr>
      </w:pPr>
      <w:r w:rsidRPr="009D0A4A">
        <w:rPr>
          <w:rFonts w:cs="Arial"/>
        </w:rPr>
        <w:t xml:space="preserve">ISBN </w:t>
      </w:r>
      <w:r w:rsidR="00937401" w:rsidRPr="009D0A4A">
        <w:t>978-1-76114-129-4</w:t>
      </w:r>
      <w:r w:rsidR="00937401" w:rsidRPr="009D0A4A">
        <w:rPr>
          <w:rFonts w:cs="Arial"/>
        </w:rPr>
        <w:t xml:space="preserve"> </w:t>
      </w:r>
      <w:r w:rsidRPr="009D0A4A">
        <w:rPr>
          <w:rFonts w:cs="Arial"/>
        </w:rPr>
        <w:t>(Online PDF)</w:t>
      </w:r>
    </w:p>
    <w:p w14:paraId="1F7E4D29" w14:textId="58A2B624" w:rsidR="00E94F67" w:rsidRPr="009D0A4A" w:rsidRDefault="00E94F67" w:rsidP="00183C12">
      <w:pPr>
        <w:pStyle w:val="SWADisclaimerbodytext"/>
        <w:jc w:val="both"/>
        <w:rPr>
          <w:rFonts w:cs="Arial"/>
        </w:rPr>
      </w:pPr>
      <w:r w:rsidRPr="009D0A4A">
        <w:rPr>
          <w:rFonts w:cs="Arial"/>
        </w:rPr>
        <w:t xml:space="preserve">ISBN </w:t>
      </w:r>
      <w:r w:rsidR="00937401" w:rsidRPr="009D0A4A">
        <w:t>978-1-76114-126-3</w:t>
      </w:r>
      <w:r w:rsidR="00937401" w:rsidRPr="009D0A4A">
        <w:rPr>
          <w:rFonts w:cs="Arial"/>
        </w:rPr>
        <w:t xml:space="preserve"> </w:t>
      </w:r>
      <w:r w:rsidRPr="009D0A4A">
        <w:rPr>
          <w:rFonts w:cs="Arial"/>
        </w:rPr>
        <w:t>(Online DOCX)</w:t>
      </w:r>
    </w:p>
    <w:p w14:paraId="4B62EA52" w14:textId="78AD8E5C" w:rsidR="00E94F67" w:rsidRPr="009D0A4A" w:rsidRDefault="00E94F67" w:rsidP="00183C12">
      <w:pPr>
        <w:spacing w:line="276" w:lineRule="auto"/>
        <w:jc w:val="both"/>
        <w:rPr>
          <w:rFonts w:cs="Arial"/>
          <w:sz w:val="14"/>
          <w:szCs w:val="14"/>
          <w:vertAlign w:val="subscript"/>
        </w:rPr>
      </w:pPr>
      <w:r w:rsidRPr="009D0A4A">
        <w:rPr>
          <w:rFonts w:cs="Arial"/>
          <w:noProof/>
          <w:color w:val="2B579A"/>
          <w:sz w:val="14"/>
          <w:szCs w:val="14"/>
          <w:shd w:val="clear" w:color="auto" w:fill="E6E6E6"/>
          <w:lang w:eastAsia="en-AU"/>
        </w:rPr>
        <w:drawing>
          <wp:inline distT="0" distB="0" distL="0" distR="0" wp14:anchorId="6278AB06" wp14:editId="4F57DC5C">
            <wp:extent cx="1511300" cy="533400"/>
            <wp:effectExtent l="0" t="0" r="0" b="0"/>
            <wp:docPr id="1"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1300" cy="533400"/>
                    </a:xfrm>
                    <a:prstGeom prst="rect">
                      <a:avLst/>
                    </a:prstGeom>
                    <a:noFill/>
                    <a:ln>
                      <a:noFill/>
                    </a:ln>
                  </pic:spPr>
                </pic:pic>
              </a:graphicData>
            </a:graphic>
          </wp:inline>
        </w:drawing>
      </w:r>
    </w:p>
    <w:p w14:paraId="2CC4301F" w14:textId="77777777" w:rsidR="00E94F67" w:rsidRPr="009D0A4A" w:rsidRDefault="00E94F67" w:rsidP="00183C12">
      <w:pPr>
        <w:pStyle w:val="SWADisclaimerheading"/>
        <w:jc w:val="both"/>
        <w:rPr>
          <w:rFonts w:cs="Arial"/>
        </w:rPr>
      </w:pPr>
      <w:r w:rsidRPr="009D0A4A">
        <w:rPr>
          <w:rFonts w:cs="Arial"/>
        </w:rPr>
        <w:t>Creative Commons</w:t>
      </w:r>
    </w:p>
    <w:p w14:paraId="7D76D10D" w14:textId="77777777" w:rsidR="00E94F67" w:rsidRPr="009D0A4A" w:rsidRDefault="00E94F67" w:rsidP="00183C12">
      <w:pPr>
        <w:pStyle w:val="SWADisclaimerbodytext"/>
        <w:jc w:val="both"/>
        <w:rPr>
          <w:rFonts w:cs="Arial"/>
        </w:rPr>
      </w:pPr>
      <w:r w:rsidRPr="009D0A4A">
        <w:rPr>
          <w:rFonts w:cs="Arial"/>
        </w:rPr>
        <w:t xml:space="preserve">With the exception of the Safe Work Australia logo, this report is licensed by Safe Work Australia under a Creative Commons 4.0 Australia Licence. To view a copy of this licence, visit </w:t>
      </w:r>
    </w:p>
    <w:p w14:paraId="523EDDFA" w14:textId="77777777" w:rsidR="00E94F67" w:rsidRPr="009D0A4A" w:rsidRDefault="00E26661" w:rsidP="00183C12">
      <w:pPr>
        <w:pStyle w:val="SWADisclaimerbodytext"/>
        <w:jc w:val="both"/>
        <w:rPr>
          <w:rFonts w:cs="Arial"/>
        </w:rPr>
      </w:pPr>
      <w:hyperlink r:id="rId15" w:tooltip="Creative Commons Licence" w:history="1">
        <w:r w:rsidR="00E94F67" w:rsidRPr="009D0A4A">
          <w:rPr>
            <w:rStyle w:val="Hyperlink"/>
            <w:rFonts w:eastAsiaTheme="majorEastAsia" w:cs="Arial"/>
          </w:rPr>
          <w:t>http://creativecommons.org/licenses/by/4.0</w:t>
        </w:r>
      </w:hyperlink>
    </w:p>
    <w:p w14:paraId="50D69C35" w14:textId="77777777" w:rsidR="00E94F67" w:rsidRPr="009D0A4A" w:rsidRDefault="00E94F67" w:rsidP="00183C12">
      <w:pPr>
        <w:pStyle w:val="SWADisclaimerbodytext"/>
        <w:jc w:val="both"/>
        <w:rPr>
          <w:rFonts w:cs="Arial"/>
        </w:rPr>
      </w:pPr>
      <w:r w:rsidRPr="009D0A4A">
        <w:rPr>
          <w:rFonts w:cs="Arial"/>
        </w:rPr>
        <w:t xml:space="preserve">In essence, you are free to copy, communicate and adapt the work, as long as you attribute the work to Safe Work Australia and abide by the other licensing terms. </w:t>
      </w:r>
    </w:p>
    <w:p w14:paraId="543375AB" w14:textId="77777777" w:rsidR="00E94F67" w:rsidRPr="009D0A4A" w:rsidRDefault="00E94F67" w:rsidP="00183C12">
      <w:pPr>
        <w:pStyle w:val="SWADisclaimerbodytext"/>
        <w:jc w:val="both"/>
        <w:rPr>
          <w:rFonts w:cs="Arial"/>
        </w:rPr>
      </w:pPr>
      <w:r w:rsidRPr="009D0A4A">
        <w:rPr>
          <w:rFonts w:cs="Arial"/>
        </w:rPr>
        <w:t>Enquiries regarding the licence and any use of the report are welcome at:</w:t>
      </w:r>
    </w:p>
    <w:p w14:paraId="553607D9" w14:textId="77777777" w:rsidR="00E94F67" w:rsidRPr="009D0A4A" w:rsidRDefault="00E94F67" w:rsidP="00183C12">
      <w:pPr>
        <w:pStyle w:val="SWADisclaimerbodytext"/>
        <w:rPr>
          <w:rFonts w:cs="Arial"/>
        </w:rPr>
      </w:pPr>
      <w:r w:rsidRPr="009D0A4A">
        <w:rPr>
          <w:rFonts w:cs="Arial"/>
        </w:rPr>
        <w:t>Copyright Officer</w:t>
      </w:r>
      <w:r w:rsidRPr="009D0A4A">
        <w:rPr>
          <w:rFonts w:cs="Arial"/>
        </w:rPr>
        <w:br/>
        <w:t xml:space="preserve">Safe Work Australia </w:t>
      </w:r>
      <w:r w:rsidRPr="009D0A4A">
        <w:rPr>
          <w:rFonts w:cs="Arial"/>
        </w:rPr>
        <w:br/>
        <w:t>GPO Box 641 Canberra ACT 2601</w:t>
      </w:r>
    </w:p>
    <w:p w14:paraId="14D7EACC" w14:textId="77777777" w:rsidR="00E94F67" w:rsidRPr="009D0A4A" w:rsidRDefault="00E94F67" w:rsidP="00183C12">
      <w:pPr>
        <w:pStyle w:val="SWADisclaimerbodytext"/>
        <w:jc w:val="both"/>
        <w:rPr>
          <w:rFonts w:cs="Arial"/>
        </w:rPr>
      </w:pPr>
      <w:r w:rsidRPr="009D0A4A">
        <w:rPr>
          <w:rFonts w:cs="Arial"/>
        </w:rPr>
        <w:t xml:space="preserve">Email: </w:t>
      </w:r>
      <w:hyperlink r:id="rId16" w:history="1">
        <w:r w:rsidRPr="009D0A4A">
          <w:rPr>
            <w:rStyle w:val="Hyperlink"/>
            <w:rFonts w:eastAsiaTheme="majorEastAsia" w:cs="Arial"/>
          </w:rPr>
          <w:t>copyrightrequests@swa.gov.au</w:t>
        </w:r>
      </w:hyperlink>
    </w:p>
    <w:p w14:paraId="3A575B38" w14:textId="77777777" w:rsidR="00E94F67" w:rsidRPr="009D0A4A" w:rsidRDefault="00E94F67" w:rsidP="00183C12">
      <w:pPr>
        <w:pStyle w:val="SWADisclaimerheading"/>
        <w:jc w:val="both"/>
        <w:rPr>
          <w:rFonts w:cs="Arial"/>
        </w:rPr>
      </w:pPr>
      <w:r w:rsidRPr="009D0A4A">
        <w:rPr>
          <w:rFonts w:cs="Arial"/>
        </w:rPr>
        <w:t>Important Notice</w:t>
      </w:r>
    </w:p>
    <w:p w14:paraId="4E5629A2" w14:textId="06E68CBF" w:rsidR="002E2007" w:rsidRPr="009D0A4A" w:rsidRDefault="00E94F67" w:rsidP="00823CCE">
      <w:pPr>
        <w:pStyle w:val="SWADisclaimerbodytext"/>
        <w:jc w:val="both"/>
      </w:pPr>
      <w:r w:rsidRPr="009D0A4A">
        <w:rPr>
          <w:rFonts w:cs="Arial"/>
          <w:bCs/>
        </w:rPr>
        <w:t>Safe Work Australia provides the information given in this document to improve public access to information about work health and safety information generally. The vision of Safe Work Australia is Australian workplaces free from injury and disease. Its mission is to lead and coordinate national efforts to prevent workplace death, injury and disease in Australia.</w:t>
      </w:r>
      <w:r w:rsidR="0011200A" w:rsidRPr="009D0A4A">
        <w:br w:type="page"/>
      </w:r>
    </w:p>
    <w:bookmarkStart w:id="2" w:name="_Toc92873016" w:displacedByCustomXml="next"/>
    <w:sdt>
      <w:sdtPr>
        <w:rPr>
          <w:rFonts w:asciiTheme="minorHAnsi" w:eastAsiaTheme="minorHAnsi" w:hAnsiTheme="minorHAnsi" w:cstheme="minorBidi"/>
          <w:color w:val="262626" w:themeColor="text1" w:themeTint="D9"/>
          <w:sz w:val="20"/>
          <w:szCs w:val="20"/>
          <w:shd w:val="clear" w:color="auto" w:fill="E6E6E6"/>
          <w:lang w:val="en-AU"/>
        </w:rPr>
        <w:id w:val="385456595"/>
        <w:docPartObj>
          <w:docPartGallery w:val="Table of Contents"/>
          <w:docPartUnique/>
        </w:docPartObj>
      </w:sdtPr>
      <w:sdtEndPr>
        <w:rPr>
          <w:b/>
          <w:bCs/>
          <w:noProof/>
        </w:rPr>
      </w:sdtEndPr>
      <w:sdtContent>
        <w:p w14:paraId="22FEB780" w14:textId="4A14653E" w:rsidR="00A3780F" w:rsidRPr="009D0A4A" w:rsidRDefault="00A3780F" w:rsidP="00FC4908">
          <w:pPr>
            <w:pStyle w:val="TOCHeading"/>
            <w:numPr>
              <w:ilvl w:val="0"/>
              <w:numId w:val="0"/>
            </w:numPr>
            <w:rPr>
              <w:rStyle w:val="TitleChar"/>
              <w:rFonts w:eastAsiaTheme="minorHAnsi" w:cstheme="minorBidi"/>
              <w:lang w:val="en-AU"/>
            </w:rPr>
          </w:pPr>
          <w:r w:rsidRPr="009D0A4A">
            <w:rPr>
              <w:rStyle w:val="TitleChar"/>
            </w:rPr>
            <w:t>Contents</w:t>
          </w:r>
        </w:p>
        <w:p w14:paraId="2DEEB3DB" w14:textId="56CD075F" w:rsidR="00EF4444" w:rsidRDefault="00F8519A">
          <w:pPr>
            <w:pStyle w:val="TOC1"/>
            <w:rPr>
              <w:rFonts w:eastAsiaTheme="minorEastAsia"/>
              <w:noProof/>
              <w:color w:val="auto"/>
              <w:sz w:val="22"/>
              <w:szCs w:val="22"/>
              <w:lang w:eastAsia="en-AU"/>
            </w:rPr>
          </w:pPr>
          <w:r w:rsidRPr="009D0A4A">
            <w:rPr>
              <w:color w:val="2B579A"/>
              <w:shd w:val="clear" w:color="auto" w:fill="E6E6E6"/>
            </w:rPr>
            <w:fldChar w:fldCharType="begin"/>
          </w:r>
          <w:r w:rsidRPr="009D0A4A">
            <w:instrText xml:space="preserve"> TOC \o "1-2" \h \z \u </w:instrText>
          </w:r>
          <w:r w:rsidRPr="009D0A4A">
            <w:rPr>
              <w:color w:val="2B579A"/>
              <w:shd w:val="clear" w:color="auto" w:fill="E6E6E6"/>
            </w:rPr>
            <w:fldChar w:fldCharType="separate"/>
          </w:r>
          <w:hyperlink w:anchor="_Toc107395294" w:history="1">
            <w:r w:rsidR="00EF4444" w:rsidRPr="002972E5">
              <w:rPr>
                <w:rStyle w:val="Hyperlink"/>
                <w:noProof/>
              </w:rPr>
              <w:t>Abbreviations</w:t>
            </w:r>
            <w:r w:rsidR="00EF4444">
              <w:rPr>
                <w:noProof/>
                <w:webHidden/>
              </w:rPr>
              <w:tab/>
            </w:r>
            <w:r w:rsidR="00EF4444">
              <w:rPr>
                <w:noProof/>
                <w:webHidden/>
              </w:rPr>
              <w:fldChar w:fldCharType="begin"/>
            </w:r>
            <w:r w:rsidR="00EF4444">
              <w:rPr>
                <w:noProof/>
                <w:webHidden/>
              </w:rPr>
              <w:instrText xml:space="preserve"> PAGEREF _Toc107395294 \h </w:instrText>
            </w:r>
            <w:r w:rsidR="00EF4444">
              <w:rPr>
                <w:noProof/>
                <w:webHidden/>
              </w:rPr>
            </w:r>
            <w:r w:rsidR="00EF4444">
              <w:rPr>
                <w:noProof/>
                <w:webHidden/>
              </w:rPr>
              <w:fldChar w:fldCharType="separate"/>
            </w:r>
            <w:r w:rsidR="007A56E1">
              <w:rPr>
                <w:noProof/>
                <w:webHidden/>
              </w:rPr>
              <w:t>4</w:t>
            </w:r>
            <w:r w:rsidR="00EF4444">
              <w:rPr>
                <w:noProof/>
                <w:webHidden/>
              </w:rPr>
              <w:fldChar w:fldCharType="end"/>
            </w:r>
          </w:hyperlink>
        </w:p>
        <w:p w14:paraId="39769FE4" w14:textId="301C247E" w:rsidR="00EF4444" w:rsidRDefault="00E26661">
          <w:pPr>
            <w:pStyle w:val="TOC1"/>
            <w:rPr>
              <w:rFonts w:eastAsiaTheme="minorEastAsia"/>
              <w:noProof/>
              <w:color w:val="auto"/>
              <w:sz w:val="22"/>
              <w:szCs w:val="22"/>
              <w:lang w:eastAsia="en-AU"/>
            </w:rPr>
          </w:pPr>
          <w:hyperlink w:anchor="_Toc107395295" w:history="1">
            <w:r w:rsidR="00EF4444" w:rsidRPr="002972E5">
              <w:rPr>
                <w:rStyle w:val="Hyperlink"/>
                <w:noProof/>
              </w:rPr>
              <w:t>Executive Summary</w:t>
            </w:r>
            <w:r w:rsidR="00EF4444">
              <w:rPr>
                <w:noProof/>
                <w:webHidden/>
              </w:rPr>
              <w:tab/>
            </w:r>
            <w:r w:rsidR="00EF4444">
              <w:rPr>
                <w:noProof/>
                <w:webHidden/>
              </w:rPr>
              <w:fldChar w:fldCharType="begin"/>
            </w:r>
            <w:r w:rsidR="00EF4444">
              <w:rPr>
                <w:noProof/>
                <w:webHidden/>
              </w:rPr>
              <w:instrText xml:space="preserve"> PAGEREF _Toc107395295 \h </w:instrText>
            </w:r>
            <w:r w:rsidR="00EF4444">
              <w:rPr>
                <w:noProof/>
                <w:webHidden/>
              </w:rPr>
            </w:r>
            <w:r w:rsidR="00EF4444">
              <w:rPr>
                <w:noProof/>
                <w:webHidden/>
              </w:rPr>
              <w:fldChar w:fldCharType="separate"/>
            </w:r>
            <w:r w:rsidR="007A56E1">
              <w:rPr>
                <w:noProof/>
                <w:webHidden/>
              </w:rPr>
              <w:t>5</w:t>
            </w:r>
            <w:r w:rsidR="00EF4444">
              <w:rPr>
                <w:noProof/>
                <w:webHidden/>
              </w:rPr>
              <w:fldChar w:fldCharType="end"/>
            </w:r>
          </w:hyperlink>
        </w:p>
        <w:p w14:paraId="16E0D30F" w14:textId="0F6AE1A4" w:rsidR="00EF4444" w:rsidRDefault="00E26661">
          <w:pPr>
            <w:pStyle w:val="TOC1"/>
            <w:rPr>
              <w:rFonts w:eastAsiaTheme="minorEastAsia"/>
              <w:noProof/>
              <w:color w:val="auto"/>
              <w:sz w:val="22"/>
              <w:szCs w:val="22"/>
              <w:lang w:eastAsia="en-AU"/>
            </w:rPr>
          </w:pPr>
          <w:hyperlink w:anchor="_Toc107395296" w:history="1">
            <w:r w:rsidR="00EF4444" w:rsidRPr="002972E5">
              <w:rPr>
                <w:rStyle w:val="Hyperlink"/>
                <w:noProof/>
              </w:rPr>
              <w:t>Acknowledgements</w:t>
            </w:r>
            <w:r w:rsidR="00EF4444">
              <w:rPr>
                <w:noProof/>
                <w:webHidden/>
              </w:rPr>
              <w:tab/>
            </w:r>
            <w:r w:rsidR="00EF4444">
              <w:rPr>
                <w:noProof/>
                <w:webHidden/>
              </w:rPr>
              <w:fldChar w:fldCharType="begin"/>
            </w:r>
            <w:r w:rsidR="00EF4444">
              <w:rPr>
                <w:noProof/>
                <w:webHidden/>
              </w:rPr>
              <w:instrText xml:space="preserve"> PAGEREF _Toc107395296 \h </w:instrText>
            </w:r>
            <w:r w:rsidR="00EF4444">
              <w:rPr>
                <w:noProof/>
                <w:webHidden/>
              </w:rPr>
            </w:r>
            <w:r w:rsidR="00EF4444">
              <w:rPr>
                <w:noProof/>
                <w:webHidden/>
              </w:rPr>
              <w:fldChar w:fldCharType="separate"/>
            </w:r>
            <w:r w:rsidR="007A56E1">
              <w:rPr>
                <w:noProof/>
                <w:webHidden/>
              </w:rPr>
              <w:t>9</w:t>
            </w:r>
            <w:r w:rsidR="00EF4444">
              <w:rPr>
                <w:noProof/>
                <w:webHidden/>
              </w:rPr>
              <w:fldChar w:fldCharType="end"/>
            </w:r>
          </w:hyperlink>
        </w:p>
        <w:p w14:paraId="4A0DA923" w14:textId="60EC4D1C" w:rsidR="00EF4444" w:rsidRDefault="00E26661">
          <w:pPr>
            <w:pStyle w:val="TOC1"/>
            <w:tabs>
              <w:tab w:val="left" w:pos="400"/>
            </w:tabs>
            <w:rPr>
              <w:rFonts w:eastAsiaTheme="minorEastAsia"/>
              <w:noProof/>
              <w:color w:val="auto"/>
              <w:sz w:val="22"/>
              <w:szCs w:val="22"/>
              <w:lang w:eastAsia="en-AU"/>
            </w:rPr>
          </w:pPr>
          <w:hyperlink w:anchor="_Toc107395297" w:history="1">
            <w:r w:rsidR="00EF4444" w:rsidRPr="002972E5">
              <w:rPr>
                <w:rStyle w:val="Hyperlink"/>
                <w:bCs/>
                <w:noProof/>
              </w:rPr>
              <w:t>1</w:t>
            </w:r>
            <w:r w:rsidR="00EF4444">
              <w:rPr>
                <w:rFonts w:eastAsiaTheme="minorEastAsia"/>
                <w:noProof/>
                <w:color w:val="auto"/>
                <w:sz w:val="22"/>
                <w:szCs w:val="22"/>
                <w:lang w:eastAsia="en-AU"/>
              </w:rPr>
              <w:tab/>
            </w:r>
            <w:r w:rsidR="00EF4444" w:rsidRPr="002972E5">
              <w:rPr>
                <w:rStyle w:val="Hyperlink"/>
                <w:noProof/>
              </w:rPr>
              <w:t>Introduction</w:t>
            </w:r>
            <w:r w:rsidR="00EF4444">
              <w:rPr>
                <w:noProof/>
                <w:webHidden/>
              </w:rPr>
              <w:tab/>
            </w:r>
            <w:r w:rsidR="00EF4444">
              <w:rPr>
                <w:noProof/>
                <w:webHidden/>
              </w:rPr>
              <w:fldChar w:fldCharType="begin"/>
            </w:r>
            <w:r w:rsidR="00EF4444">
              <w:rPr>
                <w:noProof/>
                <w:webHidden/>
              </w:rPr>
              <w:instrText xml:space="preserve"> PAGEREF _Toc107395297 \h </w:instrText>
            </w:r>
            <w:r w:rsidR="00EF4444">
              <w:rPr>
                <w:noProof/>
                <w:webHidden/>
              </w:rPr>
            </w:r>
            <w:r w:rsidR="00EF4444">
              <w:rPr>
                <w:noProof/>
                <w:webHidden/>
              </w:rPr>
              <w:fldChar w:fldCharType="separate"/>
            </w:r>
            <w:r w:rsidR="007A56E1">
              <w:rPr>
                <w:noProof/>
                <w:webHidden/>
              </w:rPr>
              <w:t>10</w:t>
            </w:r>
            <w:r w:rsidR="00EF4444">
              <w:rPr>
                <w:noProof/>
                <w:webHidden/>
              </w:rPr>
              <w:fldChar w:fldCharType="end"/>
            </w:r>
          </w:hyperlink>
        </w:p>
        <w:p w14:paraId="091E7085" w14:textId="7EA6795D" w:rsidR="00EF4444" w:rsidRDefault="00E26661">
          <w:pPr>
            <w:pStyle w:val="TOC2"/>
            <w:rPr>
              <w:rFonts w:eastAsiaTheme="minorEastAsia"/>
              <w:noProof/>
              <w:color w:val="auto"/>
              <w:sz w:val="22"/>
              <w:szCs w:val="22"/>
              <w:lang w:eastAsia="en-AU"/>
            </w:rPr>
          </w:pPr>
          <w:hyperlink w:anchor="_Toc107395298" w:history="1">
            <w:r w:rsidR="00EF4444" w:rsidRPr="002972E5">
              <w:rPr>
                <w:rStyle w:val="Hyperlink"/>
                <w:noProof/>
              </w:rPr>
              <w:t>1.1</w:t>
            </w:r>
            <w:r w:rsidR="00EF4444">
              <w:rPr>
                <w:rFonts w:eastAsiaTheme="minorEastAsia"/>
                <w:noProof/>
                <w:color w:val="auto"/>
                <w:sz w:val="22"/>
                <w:szCs w:val="22"/>
                <w:lang w:eastAsia="en-AU"/>
              </w:rPr>
              <w:tab/>
            </w:r>
            <w:r w:rsidR="00EF4444" w:rsidRPr="002972E5">
              <w:rPr>
                <w:rStyle w:val="Hyperlink"/>
                <w:noProof/>
              </w:rPr>
              <w:t>About Safe Work Australia</w:t>
            </w:r>
            <w:r w:rsidR="00EF4444">
              <w:rPr>
                <w:noProof/>
                <w:webHidden/>
              </w:rPr>
              <w:tab/>
            </w:r>
            <w:r w:rsidR="00EF4444">
              <w:rPr>
                <w:noProof/>
                <w:webHidden/>
              </w:rPr>
              <w:fldChar w:fldCharType="begin"/>
            </w:r>
            <w:r w:rsidR="00EF4444">
              <w:rPr>
                <w:noProof/>
                <w:webHidden/>
              </w:rPr>
              <w:instrText xml:space="preserve"> PAGEREF _Toc107395298 \h </w:instrText>
            </w:r>
            <w:r w:rsidR="00EF4444">
              <w:rPr>
                <w:noProof/>
                <w:webHidden/>
              </w:rPr>
            </w:r>
            <w:r w:rsidR="00EF4444">
              <w:rPr>
                <w:noProof/>
                <w:webHidden/>
              </w:rPr>
              <w:fldChar w:fldCharType="separate"/>
            </w:r>
            <w:r w:rsidR="007A56E1">
              <w:rPr>
                <w:noProof/>
                <w:webHidden/>
              </w:rPr>
              <w:t>10</w:t>
            </w:r>
            <w:r w:rsidR="00EF4444">
              <w:rPr>
                <w:noProof/>
                <w:webHidden/>
              </w:rPr>
              <w:fldChar w:fldCharType="end"/>
            </w:r>
          </w:hyperlink>
        </w:p>
        <w:p w14:paraId="6FCF58C2" w14:textId="1179FB5B" w:rsidR="00EF4444" w:rsidRDefault="00E26661">
          <w:pPr>
            <w:pStyle w:val="TOC2"/>
            <w:rPr>
              <w:rFonts w:eastAsiaTheme="minorEastAsia"/>
              <w:noProof/>
              <w:color w:val="auto"/>
              <w:sz w:val="22"/>
              <w:szCs w:val="22"/>
              <w:lang w:eastAsia="en-AU"/>
            </w:rPr>
          </w:pPr>
          <w:hyperlink w:anchor="_Toc107395299" w:history="1">
            <w:r w:rsidR="00EF4444" w:rsidRPr="002972E5">
              <w:rPr>
                <w:rStyle w:val="Hyperlink"/>
                <w:noProof/>
              </w:rPr>
              <w:t>1.2</w:t>
            </w:r>
            <w:r w:rsidR="00EF4444">
              <w:rPr>
                <w:rFonts w:eastAsiaTheme="minorEastAsia"/>
                <w:noProof/>
                <w:color w:val="auto"/>
                <w:sz w:val="22"/>
                <w:szCs w:val="22"/>
                <w:lang w:eastAsia="en-AU"/>
              </w:rPr>
              <w:tab/>
            </w:r>
            <w:r w:rsidR="00EF4444" w:rsidRPr="002972E5">
              <w:rPr>
                <w:rStyle w:val="Hyperlink"/>
                <w:noProof/>
              </w:rPr>
              <w:t>Background</w:t>
            </w:r>
            <w:r w:rsidR="00EF4444">
              <w:rPr>
                <w:noProof/>
                <w:webHidden/>
              </w:rPr>
              <w:tab/>
            </w:r>
            <w:r w:rsidR="00EF4444">
              <w:rPr>
                <w:noProof/>
                <w:webHidden/>
              </w:rPr>
              <w:fldChar w:fldCharType="begin"/>
            </w:r>
            <w:r w:rsidR="00EF4444">
              <w:rPr>
                <w:noProof/>
                <w:webHidden/>
              </w:rPr>
              <w:instrText xml:space="preserve"> PAGEREF _Toc107395299 \h </w:instrText>
            </w:r>
            <w:r w:rsidR="00EF4444">
              <w:rPr>
                <w:noProof/>
                <w:webHidden/>
              </w:rPr>
            </w:r>
            <w:r w:rsidR="00EF4444">
              <w:rPr>
                <w:noProof/>
                <w:webHidden/>
              </w:rPr>
              <w:fldChar w:fldCharType="separate"/>
            </w:r>
            <w:r w:rsidR="007A56E1">
              <w:rPr>
                <w:noProof/>
                <w:webHidden/>
              </w:rPr>
              <w:t>10</w:t>
            </w:r>
            <w:r w:rsidR="00EF4444">
              <w:rPr>
                <w:noProof/>
                <w:webHidden/>
              </w:rPr>
              <w:fldChar w:fldCharType="end"/>
            </w:r>
          </w:hyperlink>
        </w:p>
        <w:p w14:paraId="008CFE65" w14:textId="672FDA16" w:rsidR="00EF4444" w:rsidRDefault="00E26661">
          <w:pPr>
            <w:pStyle w:val="TOC2"/>
            <w:rPr>
              <w:rFonts w:eastAsiaTheme="minorEastAsia"/>
              <w:noProof/>
              <w:color w:val="auto"/>
              <w:sz w:val="22"/>
              <w:szCs w:val="22"/>
              <w:lang w:eastAsia="en-AU"/>
            </w:rPr>
          </w:pPr>
          <w:hyperlink w:anchor="_Toc107395300" w:history="1">
            <w:r w:rsidR="00EF4444" w:rsidRPr="002972E5">
              <w:rPr>
                <w:rStyle w:val="Hyperlink"/>
                <w:noProof/>
              </w:rPr>
              <w:t>1.3</w:t>
            </w:r>
            <w:r w:rsidR="00EF4444">
              <w:rPr>
                <w:rFonts w:eastAsiaTheme="minorEastAsia"/>
                <w:noProof/>
                <w:color w:val="auto"/>
                <w:sz w:val="22"/>
                <w:szCs w:val="22"/>
                <w:lang w:eastAsia="en-AU"/>
              </w:rPr>
              <w:tab/>
            </w:r>
            <w:r w:rsidR="00EF4444" w:rsidRPr="002972E5">
              <w:rPr>
                <w:rStyle w:val="Hyperlink"/>
                <w:noProof/>
              </w:rPr>
              <w:t>Legislative and regulatory framework for crystalline silica under the model WHS laws</w:t>
            </w:r>
            <w:r w:rsidR="00EF4444">
              <w:rPr>
                <w:noProof/>
                <w:webHidden/>
              </w:rPr>
              <w:tab/>
            </w:r>
            <w:r w:rsidR="00EF4444">
              <w:rPr>
                <w:noProof/>
                <w:webHidden/>
              </w:rPr>
              <w:fldChar w:fldCharType="begin"/>
            </w:r>
            <w:r w:rsidR="00EF4444">
              <w:rPr>
                <w:noProof/>
                <w:webHidden/>
              </w:rPr>
              <w:instrText xml:space="preserve"> PAGEREF _Toc107395300 \h </w:instrText>
            </w:r>
            <w:r w:rsidR="00EF4444">
              <w:rPr>
                <w:noProof/>
                <w:webHidden/>
              </w:rPr>
            </w:r>
            <w:r w:rsidR="00EF4444">
              <w:rPr>
                <w:noProof/>
                <w:webHidden/>
              </w:rPr>
              <w:fldChar w:fldCharType="separate"/>
            </w:r>
            <w:r w:rsidR="007A56E1">
              <w:rPr>
                <w:noProof/>
                <w:webHidden/>
              </w:rPr>
              <w:t>12</w:t>
            </w:r>
            <w:r w:rsidR="00EF4444">
              <w:rPr>
                <w:noProof/>
                <w:webHidden/>
              </w:rPr>
              <w:fldChar w:fldCharType="end"/>
            </w:r>
          </w:hyperlink>
        </w:p>
        <w:p w14:paraId="3C081C2B" w14:textId="59B7F6BD" w:rsidR="00EF4444" w:rsidRDefault="00E26661">
          <w:pPr>
            <w:pStyle w:val="TOC2"/>
            <w:rPr>
              <w:rFonts w:eastAsiaTheme="minorEastAsia"/>
              <w:noProof/>
              <w:color w:val="auto"/>
              <w:sz w:val="22"/>
              <w:szCs w:val="22"/>
              <w:lang w:eastAsia="en-AU"/>
            </w:rPr>
          </w:pPr>
          <w:hyperlink w:anchor="_Toc107395301" w:history="1">
            <w:r w:rsidR="00EF4444" w:rsidRPr="002972E5">
              <w:rPr>
                <w:rStyle w:val="Hyperlink"/>
                <w:noProof/>
              </w:rPr>
              <w:t>1.4</w:t>
            </w:r>
            <w:r w:rsidR="00EF4444">
              <w:rPr>
                <w:rFonts w:eastAsiaTheme="minorEastAsia"/>
                <w:noProof/>
                <w:color w:val="auto"/>
                <w:sz w:val="22"/>
                <w:szCs w:val="22"/>
                <w:lang w:eastAsia="en-AU"/>
              </w:rPr>
              <w:tab/>
            </w:r>
            <w:r w:rsidR="00EF4444" w:rsidRPr="002972E5">
              <w:rPr>
                <w:rStyle w:val="Hyperlink"/>
                <w:noProof/>
              </w:rPr>
              <w:t>National WHS policy initiatives</w:t>
            </w:r>
            <w:r w:rsidR="00EF4444">
              <w:rPr>
                <w:noProof/>
                <w:webHidden/>
              </w:rPr>
              <w:tab/>
            </w:r>
            <w:r w:rsidR="00EF4444">
              <w:rPr>
                <w:noProof/>
                <w:webHidden/>
              </w:rPr>
              <w:fldChar w:fldCharType="begin"/>
            </w:r>
            <w:r w:rsidR="00EF4444">
              <w:rPr>
                <w:noProof/>
                <w:webHidden/>
              </w:rPr>
              <w:instrText xml:space="preserve"> PAGEREF _Toc107395301 \h </w:instrText>
            </w:r>
            <w:r w:rsidR="00EF4444">
              <w:rPr>
                <w:noProof/>
                <w:webHidden/>
              </w:rPr>
            </w:r>
            <w:r w:rsidR="00EF4444">
              <w:rPr>
                <w:noProof/>
                <w:webHidden/>
              </w:rPr>
              <w:fldChar w:fldCharType="separate"/>
            </w:r>
            <w:r w:rsidR="007A56E1">
              <w:rPr>
                <w:noProof/>
                <w:webHidden/>
              </w:rPr>
              <w:t>13</w:t>
            </w:r>
            <w:r w:rsidR="00EF4444">
              <w:rPr>
                <w:noProof/>
                <w:webHidden/>
              </w:rPr>
              <w:fldChar w:fldCharType="end"/>
            </w:r>
          </w:hyperlink>
        </w:p>
        <w:p w14:paraId="1E2D6F4C" w14:textId="65EC9128" w:rsidR="00EF4444" w:rsidRDefault="00E26661">
          <w:pPr>
            <w:pStyle w:val="TOC2"/>
            <w:rPr>
              <w:rFonts w:eastAsiaTheme="minorEastAsia"/>
              <w:noProof/>
              <w:color w:val="auto"/>
              <w:sz w:val="22"/>
              <w:szCs w:val="22"/>
              <w:lang w:eastAsia="en-AU"/>
            </w:rPr>
          </w:pPr>
          <w:hyperlink w:anchor="_Toc107395302" w:history="1">
            <w:r w:rsidR="00EF4444" w:rsidRPr="002972E5">
              <w:rPr>
                <w:rStyle w:val="Hyperlink"/>
                <w:noProof/>
              </w:rPr>
              <w:t>1.5</w:t>
            </w:r>
            <w:r w:rsidR="00EF4444">
              <w:rPr>
                <w:rFonts w:eastAsiaTheme="minorEastAsia"/>
                <w:noProof/>
                <w:color w:val="auto"/>
                <w:sz w:val="22"/>
                <w:szCs w:val="22"/>
                <w:lang w:eastAsia="en-AU"/>
              </w:rPr>
              <w:tab/>
            </w:r>
            <w:r w:rsidR="00EF4444" w:rsidRPr="002972E5">
              <w:rPr>
                <w:rStyle w:val="Hyperlink"/>
                <w:noProof/>
              </w:rPr>
              <w:t>Other complementary policy initiatives</w:t>
            </w:r>
            <w:r w:rsidR="00EF4444">
              <w:rPr>
                <w:noProof/>
                <w:webHidden/>
              </w:rPr>
              <w:tab/>
            </w:r>
            <w:r w:rsidR="00EF4444">
              <w:rPr>
                <w:noProof/>
                <w:webHidden/>
              </w:rPr>
              <w:fldChar w:fldCharType="begin"/>
            </w:r>
            <w:r w:rsidR="00EF4444">
              <w:rPr>
                <w:noProof/>
                <w:webHidden/>
              </w:rPr>
              <w:instrText xml:space="preserve"> PAGEREF _Toc107395302 \h </w:instrText>
            </w:r>
            <w:r w:rsidR="00EF4444">
              <w:rPr>
                <w:noProof/>
                <w:webHidden/>
              </w:rPr>
            </w:r>
            <w:r w:rsidR="00EF4444">
              <w:rPr>
                <w:noProof/>
                <w:webHidden/>
              </w:rPr>
              <w:fldChar w:fldCharType="separate"/>
            </w:r>
            <w:r w:rsidR="007A56E1">
              <w:rPr>
                <w:noProof/>
                <w:webHidden/>
              </w:rPr>
              <w:t>15</w:t>
            </w:r>
            <w:r w:rsidR="00EF4444">
              <w:rPr>
                <w:noProof/>
                <w:webHidden/>
              </w:rPr>
              <w:fldChar w:fldCharType="end"/>
            </w:r>
          </w:hyperlink>
        </w:p>
        <w:p w14:paraId="50137519" w14:textId="1B63B86A" w:rsidR="00EF4444" w:rsidRDefault="00E26661">
          <w:pPr>
            <w:pStyle w:val="TOC2"/>
            <w:rPr>
              <w:rFonts w:eastAsiaTheme="minorEastAsia"/>
              <w:noProof/>
              <w:color w:val="auto"/>
              <w:sz w:val="22"/>
              <w:szCs w:val="22"/>
              <w:lang w:eastAsia="en-AU"/>
            </w:rPr>
          </w:pPr>
          <w:hyperlink w:anchor="_Toc107395303" w:history="1">
            <w:r w:rsidR="00EF4444" w:rsidRPr="002972E5">
              <w:rPr>
                <w:rStyle w:val="Hyperlink"/>
                <w:noProof/>
              </w:rPr>
              <w:t>1.6</w:t>
            </w:r>
            <w:r w:rsidR="00EF4444">
              <w:rPr>
                <w:rFonts w:eastAsiaTheme="minorEastAsia"/>
                <w:noProof/>
                <w:color w:val="auto"/>
                <w:sz w:val="22"/>
                <w:szCs w:val="22"/>
                <w:lang w:eastAsia="en-AU"/>
              </w:rPr>
              <w:tab/>
            </w:r>
            <w:r w:rsidR="00EF4444" w:rsidRPr="002972E5">
              <w:rPr>
                <w:rStyle w:val="Hyperlink"/>
                <w:noProof/>
              </w:rPr>
              <w:t>Purpose and scope of this consultation RIS</w:t>
            </w:r>
            <w:r w:rsidR="00EF4444">
              <w:rPr>
                <w:noProof/>
                <w:webHidden/>
              </w:rPr>
              <w:tab/>
            </w:r>
            <w:r w:rsidR="00EF4444">
              <w:rPr>
                <w:noProof/>
                <w:webHidden/>
              </w:rPr>
              <w:fldChar w:fldCharType="begin"/>
            </w:r>
            <w:r w:rsidR="00EF4444">
              <w:rPr>
                <w:noProof/>
                <w:webHidden/>
              </w:rPr>
              <w:instrText xml:space="preserve"> PAGEREF _Toc107395303 \h </w:instrText>
            </w:r>
            <w:r w:rsidR="00EF4444">
              <w:rPr>
                <w:noProof/>
                <w:webHidden/>
              </w:rPr>
            </w:r>
            <w:r w:rsidR="00EF4444">
              <w:rPr>
                <w:noProof/>
                <w:webHidden/>
              </w:rPr>
              <w:fldChar w:fldCharType="separate"/>
            </w:r>
            <w:r w:rsidR="007A56E1">
              <w:rPr>
                <w:noProof/>
                <w:webHidden/>
              </w:rPr>
              <w:t>15</w:t>
            </w:r>
            <w:r w:rsidR="00EF4444">
              <w:rPr>
                <w:noProof/>
                <w:webHidden/>
              </w:rPr>
              <w:fldChar w:fldCharType="end"/>
            </w:r>
          </w:hyperlink>
        </w:p>
        <w:p w14:paraId="15802CA8" w14:textId="1E798452" w:rsidR="00EF4444" w:rsidRDefault="00E26661">
          <w:pPr>
            <w:pStyle w:val="TOC2"/>
            <w:rPr>
              <w:rFonts w:eastAsiaTheme="minorEastAsia"/>
              <w:noProof/>
              <w:color w:val="auto"/>
              <w:sz w:val="22"/>
              <w:szCs w:val="22"/>
              <w:lang w:eastAsia="en-AU"/>
            </w:rPr>
          </w:pPr>
          <w:hyperlink w:anchor="_Toc107395304" w:history="1">
            <w:r w:rsidR="00EF4444" w:rsidRPr="002972E5">
              <w:rPr>
                <w:rStyle w:val="Hyperlink"/>
                <w:noProof/>
              </w:rPr>
              <w:t>1.7</w:t>
            </w:r>
            <w:r w:rsidR="00EF4444">
              <w:rPr>
                <w:rFonts w:eastAsiaTheme="minorEastAsia"/>
                <w:noProof/>
                <w:color w:val="auto"/>
                <w:sz w:val="22"/>
                <w:szCs w:val="22"/>
                <w:lang w:eastAsia="en-AU"/>
              </w:rPr>
              <w:tab/>
            </w:r>
            <w:r w:rsidR="00EF4444" w:rsidRPr="002972E5">
              <w:rPr>
                <w:rStyle w:val="Hyperlink"/>
                <w:noProof/>
              </w:rPr>
              <w:t>Structure of this report</w:t>
            </w:r>
            <w:r w:rsidR="00EF4444">
              <w:rPr>
                <w:noProof/>
                <w:webHidden/>
              </w:rPr>
              <w:tab/>
            </w:r>
            <w:r w:rsidR="00EF4444">
              <w:rPr>
                <w:noProof/>
                <w:webHidden/>
              </w:rPr>
              <w:fldChar w:fldCharType="begin"/>
            </w:r>
            <w:r w:rsidR="00EF4444">
              <w:rPr>
                <w:noProof/>
                <w:webHidden/>
              </w:rPr>
              <w:instrText xml:space="preserve"> PAGEREF _Toc107395304 \h </w:instrText>
            </w:r>
            <w:r w:rsidR="00EF4444">
              <w:rPr>
                <w:noProof/>
                <w:webHidden/>
              </w:rPr>
            </w:r>
            <w:r w:rsidR="00EF4444">
              <w:rPr>
                <w:noProof/>
                <w:webHidden/>
              </w:rPr>
              <w:fldChar w:fldCharType="separate"/>
            </w:r>
            <w:r w:rsidR="007A56E1">
              <w:rPr>
                <w:noProof/>
                <w:webHidden/>
              </w:rPr>
              <w:t>15</w:t>
            </w:r>
            <w:r w:rsidR="00EF4444">
              <w:rPr>
                <w:noProof/>
                <w:webHidden/>
              </w:rPr>
              <w:fldChar w:fldCharType="end"/>
            </w:r>
          </w:hyperlink>
        </w:p>
        <w:p w14:paraId="713DE412" w14:textId="49A3C338" w:rsidR="00EF4444" w:rsidRDefault="00E26661">
          <w:pPr>
            <w:pStyle w:val="TOC2"/>
            <w:rPr>
              <w:rFonts w:eastAsiaTheme="minorEastAsia"/>
              <w:noProof/>
              <w:color w:val="auto"/>
              <w:sz w:val="22"/>
              <w:szCs w:val="22"/>
              <w:lang w:eastAsia="en-AU"/>
            </w:rPr>
          </w:pPr>
          <w:hyperlink w:anchor="_Toc107395305" w:history="1">
            <w:r w:rsidR="00EF4444" w:rsidRPr="002972E5">
              <w:rPr>
                <w:rStyle w:val="Hyperlink"/>
                <w:noProof/>
              </w:rPr>
              <w:t>1.8</w:t>
            </w:r>
            <w:r w:rsidR="00EF4444">
              <w:rPr>
                <w:rFonts w:eastAsiaTheme="minorEastAsia"/>
                <w:noProof/>
                <w:color w:val="auto"/>
                <w:sz w:val="22"/>
                <w:szCs w:val="22"/>
                <w:lang w:eastAsia="en-AU"/>
              </w:rPr>
              <w:tab/>
            </w:r>
            <w:r w:rsidR="00EF4444" w:rsidRPr="002972E5">
              <w:rPr>
                <w:rStyle w:val="Hyperlink"/>
                <w:noProof/>
              </w:rPr>
              <w:t>How to provide your feedback</w:t>
            </w:r>
            <w:r w:rsidR="00EF4444">
              <w:rPr>
                <w:noProof/>
                <w:webHidden/>
              </w:rPr>
              <w:tab/>
            </w:r>
            <w:r w:rsidR="00EF4444">
              <w:rPr>
                <w:noProof/>
                <w:webHidden/>
              </w:rPr>
              <w:fldChar w:fldCharType="begin"/>
            </w:r>
            <w:r w:rsidR="00EF4444">
              <w:rPr>
                <w:noProof/>
                <w:webHidden/>
              </w:rPr>
              <w:instrText xml:space="preserve"> PAGEREF _Toc107395305 \h </w:instrText>
            </w:r>
            <w:r w:rsidR="00EF4444">
              <w:rPr>
                <w:noProof/>
                <w:webHidden/>
              </w:rPr>
            </w:r>
            <w:r w:rsidR="00EF4444">
              <w:rPr>
                <w:noProof/>
                <w:webHidden/>
              </w:rPr>
              <w:fldChar w:fldCharType="separate"/>
            </w:r>
            <w:r w:rsidR="007A56E1">
              <w:rPr>
                <w:noProof/>
                <w:webHidden/>
              </w:rPr>
              <w:t>16</w:t>
            </w:r>
            <w:r w:rsidR="00EF4444">
              <w:rPr>
                <w:noProof/>
                <w:webHidden/>
              </w:rPr>
              <w:fldChar w:fldCharType="end"/>
            </w:r>
          </w:hyperlink>
        </w:p>
        <w:p w14:paraId="6E638BD6" w14:textId="4DE984FD" w:rsidR="00EF4444" w:rsidRDefault="00E26661">
          <w:pPr>
            <w:pStyle w:val="TOC1"/>
            <w:tabs>
              <w:tab w:val="left" w:pos="400"/>
            </w:tabs>
            <w:rPr>
              <w:rFonts w:eastAsiaTheme="minorEastAsia"/>
              <w:noProof/>
              <w:color w:val="auto"/>
              <w:sz w:val="22"/>
              <w:szCs w:val="22"/>
              <w:lang w:eastAsia="en-AU"/>
            </w:rPr>
          </w:pPr>
          <w:hyperlink w:anchor="_Toc107395306" w:history="1">
            <w:r w:rsidR="00EF4444" w:rsidRPr="002972E5">
              <w:rPr>
                <w:rStyle w:val="Hyperlink"/>
                <w:noProof/>
              </w:rPr>
              <w:t>2</w:t>
            </w:r>
            <w:r w:rsidR="00EF4444">
              <w:rPr>
                <w:rFonts w:eastAsiaTheme="minorEastAsia"/>
                <w:noProof/>
                <w:color w:val="auto"/>
                <w:sz w:val="22"/>
                <w:szCs w:val="22"/>
                <w:lang w:eastAsia="en-AU"/>
              </w:rPr>
              <w:tab/>
            </w:r>
            <w:r w:rsidR="00EF4444" w:rsidRPr="002972E5">
              <w:rPr>
                <w:rStyle w:val="Hyperlink"/>
                <w:noProof/>
              </w:rPr>
              <w:t>Statement of the problem</w:t>
            </w:r>
            <w:r w:rsidR="00EF4444">
              <w:rPr>
                <w:noProof/>
                <w:webHidden/>
              </w:rPr>
              <w:tab/>
            </w:r>
            <w:r w:rsidR="00EF4444">
              <w:rPr>
                <w:noProof/>
                <w:webHidden/>
              </w:rPr>
              <w:fldChar w:fldCharType="begin"/>
            </w:r>
            <w:r w:rsidR="00EF4444">
              <w:rPr>
                <w:noProof/>
                <w:webHidden/>
              </w:rPr>
              <w:instrText xml:space="preserve"> PAGEREF _Toc107395306 \h </w:instrText>
            </w:r>
            <w:r w:rsidR="00EF4444">
              <w:rPr>
                <w:noProof/>
                <w:webHidden/>
              </w:rPr>
            </w:r>
            <w:r w:rsidR="00EF4444">
              <w:rPr>
                <w:noProof/>
                <w:webHidden/>
              </w:rPr>
              <w:fldChar w:fldCharType="separate"/>
            </w:r>
            <w:r w:rsidR="007A56E1">
              <w:rPr>
                <w:noProof/>
                <w:webHidden/>
              </w:rPr>
              <w:t>17</w:t>
            </w:r>
            <w:r w:rsidR="00EF4444">
              <w:rPr>
                <w:noProof/>
                <w:webHidden/>
              </w:rPr>
              <w:fldChar w:fldCharType="end"/>
            </w:r>
          </w:hyperlink>
        </w:p>
        <w:p w14:paraId="7BF86FF9" w14:textId="145ED22B" w:rsidR="00EF4444" w:rsidRDefault="00E26661">
          <w:pPr>
            <w:pStyle w:val="TOC2"/>
            <w:rPr>
              <w:rFonts w:eastAsiaTheme="minorEastAsia"/>
              <w:noProof/>
              <w:color w:val="auto"/>
              <w:sz w:val="22"/>
              <w:szCs w:val="22"/>
              <w:lang w:eastAsia="en-AU"/>
            </w:rPr>
          </w:pPr>
          <w:hyperlink w:anchor="_Toc107395307" w:history="1">
            <w:r w:rsidR="00EF4444" w:rsidRPr="002972E5">
              <w:rPr>
                <w:rStyle w:val="Hyperlink"/>
                <w:noProof/>
              </w:rPr>
              <w:t>2.1</w:t>
            </w:r>
            <w:r w:rsidR="00EF4444">
              <w:rPr>
                <w:rFonts w:eastAsiaTheme="minorEastAsia"/>
                <w:noProof/>
                <w:color w:val="auto"/>
                <w:sz w:val="22"/>
                <w:szCs w:val="22"/>
                <w:lang w:eastAsia="en-AU"/>
              </w:rPr>
              <w:tab/>
            </w:r>
            <w:r w:rsidR="00EF4444" w:rsidRPr="002972E5">
              <w:rPr>
                <w:rStyle w:val="Hyperlink"/>
                <w:noProof/>
              </w:rPr>
              <w:t>Problem definition</w:t>
            </w:r>
            <w:r w:rsidR="00EF4444">
              <w:rPr>
                <w:noProof/>
                <w:webHidden/>
              </w:rPr>
              <w:tab/>
            </w:r>
            <w:r w:rsidR="00EF4444">
              <w:rPr>
                <w:noProof/>
                <w:webHidden/>
              </w:rPr>
              <w:fldChar w:fldCharType="begin"/>
            </w:r>
            <w:r w:rsidR="00EF4444">
              <w:rPr>
                <w:noProof/>
                <w:webHidden/>
              </w:rPr>
              <w:instrText xml:space="preserve"> PAGEREF _Toc107395307 \h </w:instrText>
            </w:r>
            <w:r w:rsidR="00EF4444">
              <w:rPr>
                <w:noProof/>
                <w:webHidden/>
              </w:rPr>
            </w:r>
            <w:r w:rsidR="00EF4444">
              <w:rPr>
                <w:noProof/>
                <w:webHidden/>
              </w:rPr>
              <w:fldChar w:fldCharType="separate"/>
            </w:r>
            <w:r w:rsidR="007A56E1">
              <w:rPr>
                <w:noProof/>
                <w:webHidden/>
              </w:rPr>
              <w:t>17</w:t>
            </w:r>
            <w:r w:rsidR="00EF4444">
              <w:rPr>
                <w:noProof/>
                <w:webHidden/>
              </w:rPr>
              <w:fldChar w:fldCharType="end"/>
            </w:r>
          </w:hyperlink>
        </w:p>
        <w:p w14:paraId="04EC9E91" w14:textId="74B272C1" w:rsidR="00EF4444" w:rsidRDefault="00E26661">
          <w:pPr>
            <w:pStyle w:val="TOC2"/>
            <w:rPr>
              <w:rFonts w:eastAsiaTheme="minorEastAsia"/>
              <w:noProof/>
              <w:color w:val="auto"/>
              <w:sz w:val="22"/>
              <w:szCs w:val="22"/>
              <w:lang w:eastAsia="en-AU"/>
            </w:rPr>
          </w:pPr>
          <w:hyperlink w:anchor="_Toc107395308" w:history="1">
            <w:r w:rsidR="00EF4444" w:rsidRPr="002972E5">
              <w:rPr>
                <w:rStyle w:val="Hyperlink"/>
                <w:noProof/>
              </w:rPr>
              <w:t>2.2</w:t>
            </w:r>
            <w:r w:rsidR="00EF4444">
              <w:rPr>
                <w:rFonts w:eastAsiaTheme="minorEastAsia"/>
                <w:noProof/>
                <w:color w:val="auto"/>
                <w:sz w:val="22"/>
                <w:szCs w:val="22"/>
                <w:lang w:eastAsia="en-AU"/>
              </w:rPr>
              <w:tab/>
            </w:r>
            <w:r w:rsidR="00EF4444" w:rsidRPr="002972E5">
              <w:rPr>
                <w:rStyle w:val="Hyperlink"/>
                <w:noProof/>
              </w:rPr>
              <w:t>Workers in a broad range of industries are at risk of silicosis and silica related diseases</w:t>
            </w:r>
            <w:r w:rsidR="00EF4444">
              <w:rPr>
                <w:noProof/>
                <w:webHidden/>
              </w:rPr>
              <w:tab/>
            </w:r>
            <w:r w:rsidR="00EF4444">
              <w:rPr>
                <w:noProof/>
                <w:webHidden/>
              </w:rPr>
              <w:fldChar w:fldCharType="begin"/>
            </w:r>
            <w:r w:rsidR="00EF4444">
              <w:rPr>
                <w:noProof/>
                <w:webHidden/>
              </w:rPr>
              <w:instrText xml:space="preserve"> PAGEREF _Toc107395308 \h </w:instrText>
            </w:r>
            <w:r w:rsidR="00EF4444">
              <w:rPr>
                <w:noProof/>
                <w:webHidden/>
              </w:rPr>
            </w:r>
            <w:r w:rsidR="00EF4444">
              <w:rPr>
                <w:noProof/>
                <w:webHidden/>
              </w:rPr>
              <w:fldChar w:fldCharType="separate"/>
            </w:r>
            <w:r w:rsidR="007A56E1">
              <w:rPr>
                <w:noProof/>
                <w:webHidden/>
              </w:rPr>
              <w:t>17</w:t>
            </w:r>
            <w:r w:rsidR="00EF4444">
              <w:rPr>
                <w:noProof/>
                <w:webHidden/>
              </w:rPr>
              <w:fldChar w:fldCharType="end"/>
            </w:r>
          </w:hyperlink>
        </w:p>
        <w:p w14:paraId="048BE4F0" w14:textId="1B7697A5" w:rsidR="00EF4444" w:rsidRDefault="00E26661">
          <w:pPr>
            <w:pStyle w:val="TOC2"/>
            <w:rPr>
              <w:rFonts w:eastAsiaTheme="minorEastAsia"/>
              <w:noProof/>
              <w:color w:val="auto"/>
              <w:sz w:val="22"/>
              <w:szCs w:val="22"/>
              <w:lang w:eastAsia="en-AU"/>
            </w:rPr>
          </w:pPr>
          <w:hyperlink w:anchor="_Toc107395309" w:history="1">
            <w:r w:rsidR="00EF4444" w:rsidRPr="002972E5">
              <w:rPr>
                <w:rStyle w:val="Hyperlink"/>
                <w:noProof/>
              </w:rPr>
              <w:t>2.3</w:t>
            </w:r>
            <w:r w:rsidR="00EF4444">
              <w:rPr>
                <w:rFonts w:eastAsiaTheme="minorEastAsia"/>
                <w:noProof/>
                <w:color w:val="auto"/>
                <w:sz w:val="22"/>
                <w:szCs w:val="22"/>
                <w:lang w:eastAsia="en-AU"/>
              </w:rPr>
              <w:tab/>
            </w:r>
            <w:r w:rsidR="00EF4444" w:rsidRPr="002972E5">
              <w:rPr>
                <w:rStyle w:val="Hyperlink"/>
                <w:noProof/>
              </w:rPr>
              <w:t>Understanding of silica related risks and current regulatory requirements</w:t>
            </w:r>
            <w:r w:rsidR="00EF4444">
              <w:rPr>
                <w:noProof/>
                <w:webHidden/>
              </w:rPr>
              <w:tab/>
            </w:r>
            <w:r w:rsidR="00EF4444">
              <w:rPr>
                <w:noProof/>
                <w:webHidden/>
              </w:rPr>
              <w:fldChar w:fldCharType="begin"/>
            </w:r>
            <w:r w:rsidR="00EF4444">
              <w:rPr>
                <w:noProof/>
                <w:webHidden/>
              </w:rPr>
              <w:instrText xml:space="preserve"> PAGEREF _Toc107395309 \h </w:instrText>
            </w:r>
            <w:r w:rsidR="00EF4444">
              <w:rPr>
                <w:noProof/>
                <w:webHidden/>
              </w:rPr>
            </w:r>
            <w:r w:rsidR="00EF4444">
              <w:rPr>
                <w:noProof/>
                <w:webHidden/>
              </w:rPr>
              <w:fldChar w:fldCharType="separate"/>
            </w:r>
            <w:r w:rsidR="007A56E1">
              <w:rPr>
                <w:noProof/>
                <w:webHidden/>
              </w:rPr>
              <w:t>23</w:t>
            </w:r>
            <w:r w:rsidR="00EF4444">
              <w:rPr>
                <w:noProof/>
                <w:webHidden/>
              </w:rPr>
              <w:fldChar w:fldCharType="end"/>
            </w:r>
          </w:hyperlink>
        </w:p>
        <w:p w14:paraId="05DA90E0" w14:textId="4F2723C3" w:rsidR="00EF4444" w:rsidRDefault="00E26661">
          <w:pPr>
            <w:pStyle w:val="TOC2"/>
            <w:rPr>
              <w:rFonts w:eastAsiaTheme="minorEastAsia"/>
              <w:noProof/>
              <w:color w:val="auto"/>
              <w:sz w:val="22"/>
              <w:szCs w:val="22"/>
              <w:lang w:eastAsia="en-AU"/>
            </w:rPr>
          </w:pPr>
          <w:hyperlink w:anchor="_Toc107395310" w:history="1">
            <w:r w:rsidR="00EF4444" w:rsidRPr="002972E5">
              <w:rPr>
                <w:rStyle w:val="Hyperlink"/>
                <w:noProof/>
              </w:rPr>
              <w:t>2.4</w:t>
            </w:r>
            <w:r w:rsidR="00EF4444">
              <w:rPr>
                <w:rFonts w:eastAsiaTheme="minorEastAsia"/>
                <w:noProof/>
                <w:color w:val="auto"/>
                <w:sz w:val="22"/>
                <w:szCs w:val="22"/>
                <w:lang w:eastAsia="en-AU"/>
              </w:rPr>
              <w:tab/>
            </w:r>
            <w:r w:rsidR="00EF4444" w:rsidRPr="002972E5">
              <w:rPr>
                <w:rStyle w:val="Hyperlink"/>
                <w:noProof/>
              </w:rPr>
              <w:t>Inadequate levels of compliance and enforcement of current regulations</w:t>
            </w:r>
            <w:r w:rsidR="00EF4444">
              <w:rPr>
                <w:noProof/>
                <w:webHidden/>
              </w:rPr>
              <w:tab/>
            </w:r>
            <w:r w:rsidR="00EF4444">
              <w:rPr>
                <w:noProof/>
                <w:webHidden/>
              </w:rPr>
              <w:fldChar w:fldCharType="begin"/>
            </w:r>
            <w:r w:rsidR="00EF4444">
              <w:rPr>
                <w:noProof/>
                <w:webHidden/>
              </w:rPr>
              <w:instrText xml:space="preserve"> PAGEREF _Toc107395310 \h </w:instrText>
            </w:r>
            <w:r w:rsidR="00EF4444">
              <w:rPr>
                <w:noProof/>
                <w:webHidden/>
              </w:rPr>
            </w:r>
            <w:r w:rsidR="00EF4444">
              <w:rPr>
                <w:noProof/>
                <w:webHidden/>
              </w:rPr>
              <w:fldChar w:fldCharType="separate"/>
            </w:r>
            <w:r w:rsidR="007A56E1">
              <w:rPr>
                <w:noProof/>
                <w:webHidden/>
              </w:rPr>
              <w:t>24</w:t>
            </w:r>
            <w:r w:rsidR="00EF4444">
              <w:rPr>
                <w:noProof/>
                <w:webHidden/>
              </w:rPr>
              <w:fldChar w:fldCharType="end"/>
            </w:r>
          </w:hyperlink>
        </w:p>
        <w:p w14:paraId="2CF49201" w14:textId="6219CDF2" w:rsidR="00EF4444" w:rsidRDefault="00E26661">
          <w:pPr>
            <w:pStyle w:val="TOC2"/>
            <w:rPr>
              <w:rFonts w:eastAsiaTheme="minorEastAsia"/>
              <w:noProof/>
              <w:color w:val="auto"/>
              <w:sz w:val="22"/>
              <w:szCs w:val="22"/>
              <w:lang w:eastAsia="en-AU"/>
            </w:rPr>
          </w:pPr>
          <w:hyperlink w:anchor="_Toc107395311" w:history="1">
            <w:r w:rsidR="00EF4444" w:rsidRPr="002972E5">
              <w:rPr>
                <w:rStyle w:val="Hyperlink"/>
                <w:noProof/>
              </w:rPr>
              <w:t>2.5</w:t>
            </w:r>
            <w:r w:rsidR="00EF4444">
              <w:rPr>
                <w:rFonts w:eastAsiaTheme="minorEastAsia"/>
                <w:noProof/>
                <w:color w:val="auto"/>
                <w:sz w:val="22"/>
                <w:szCs w:val="22"/>
                <w:lang w:eastAsia="en-AU"/>
              </w:rPr>
              <w:tab/>
            </w:r>
            <w:r w:rsidR="00EF4444" w:rsidRPr="002972E5">
              <w:rPr>
                <w:rStyle w:val="Hyperlink"/>
                <w:noProof/>
              </w:rPr>
              <w:t>Consultation questions</w:t>
            </w:r>
            <w:r w:rsidR="00EF4444">
              <w:rPr>
                <w:noProof/>
                <w:webHidden/>
              </w:rPr>
              <w:tab/>
            </w:r>
            <w:r w:rsidR="00EF4444">
              <w:rPr>
                <w:noProof/>
                <w:webHidden/>
              </w:rPr>
              <w:fldChar w:fldCharType="begin"/>
            </w:r>
            <w:r w:rsidR="00EF4444">
              <w:rPr>
                <w:noProof/>
                <w:webHidden/>
              </w:rPr>
              <w:instrText xml:space="preserve"> PAGEREF _Toc107395311 \h </w:instrText>
            </w:r>
            <w:r w:rsidR="00EF4444">
              <w:rPr>
                <w:noProof/>
                <w:webHidden/>
              </w:rPr>
            </w:r>
            <w:r w:rsidR="00EF4444">
              <w:rPr>
                <w:noProof/>
                <w:webHidden/>
              </w:rPr>
              <w:fldChar w:fldCharType="separate"/>
            </w:r>
            <w:r w:rsidR="007A56E1">
              <w:rPr>
                <w:noProof/>
                <w:webHidden/>
              </w:rPr>
              <w:t>26</w:t>
            </w:r>
            <w:r w:rsidR="00EF4444">
              <w:rPr>
                <w:noProof/>
                <w:webHidden/>
              </w:rPr>
              <w:fldChar w:fldCharType="end"/>
            </w:r>
          </w:hyperlink>
        </w:p>
        <w:p w14:paraId="3D9205C8" w14:textId="506DC7CC" w:rsidR="00EF4444" w:rsidRDefault="00E26661">
          <w:pPr>
            <w:pStyle w:val="TOC1"/>
            <w:tabs>
              <w:tab w:val="left" w:pos="400"/>
            </w:tabs>
            <w:rPr>
              <w:rFonts w:eastAsiaTheme="minorEastAsia"/>
              <w:noProof/>
              <w:color w:val="auto"/>
              <w:sz w:val="22"/>
              <w:szCs w:val="22"/>
              <w:lang w:eastAsia="en-AU"/>
            </w:rPr>
          </w:pPr>
          <w:hyperlink w:anchor="_Toc107395312" w:history="1">
            <w:r w:rsidR="00EF4444" w:rsidRPr="002972E5">
              <w:rPr>
                <w:rStyle w:val="Hyperlink"/>
                <w:noProof/>
              </w:rPr>
              <w:t>3</w:t>
            </w:r>
            <w:r w:rsidR="00EF4444">
              <w:rPr>
                <w:rFonts w:eastAsiaTheme="minorEastAsia"/>
                <w:noProof/>
                <w:color w:val="auto"/>
                <w:sz w:val="22"/>
                <w:szCs w:val="22"/>
                <w:lang w:eastAsia="en-AU"/>
              </w:rPr>
              <w:tab/>
            </w:r>
            <w:r w:rsidR="00EF4444" w:rsidRPr="002972E5">
              <w:rPr>
                <w:rStyle w:val="Hyperlink"/>
                <w:noProof/>
              </w:rPr>
              <w:t>Why is Government action needed?</w:t>
            </w:r>
            <w:r w:rsidR="00EF4444">
              <w:rPr>
                <w:noProof/>
                <w:webHidden/>
              </w:rPr>
              <w:tab/>
            </w:r>
            <w:r w:rsidR="00EF4444">
              <w:rPr>
                <w:noProof/>
                <w:webHidden/>
              </w:rPr>
              <w:fldChar w:fldCharType="begin"/>
            </w:r>
            <w:r w:rsidR="00EF4444">
              <w:rPr>
                <w:noProof/>
                <w:webHidden/>
              </w:rPr>
              <w:instrText xml:space="preserve"> PAGEREF _Toc107395312 \h </w:instrText>
            </w:r>
            <w:r w:rsidR="00EF4444">
              <w:rPr>
                <w:noProof/>
                <w:webHidden/>
              </w:rPr>
            </w:r>
            <w:r w:rsidR="00EF4444">
              <w:rPr>
                <w:noProof/>
                <w:webHidden/>
              </w:rPr>
              <w:fldChar w:fldCharType="separate"/>
            </w:r>
            <w:r w:rsidR="007A56E1">
              <w:rPr>
                <w:noProof/>
                <w:webHidden/>
              </w:rPr>
              <w:t>27</w:t>
            </w:r>
            <w:r w:rsidR="00EF4444">
              <w:rPr>
                <w:noProof/>
                <w:webHidden/>
              </w:rPr>
              <w:fldChar w:fldCharType="end"/>
            </w:r>
          </w:hyperlink>
        </w:p>
        <w:p w14:paraId="25F4A632" w14:textId="15D5E6E2" w:rsidR="00EF4444" w:rsidRDefault="00E26661">
          <w:pPr>
            <w:pStyle w:val="TOC2"/>
            <w:rPr>
              <w:rFonts w:eastAsiaTheme="minorEastAsia"/>
              <w:noProof/>
              <w:color w:val="auto"/>
              <w:sz w:val="22"/>
              <w:szCs w:val="22"/>
              <w:lang w:eastAsia="en-AU"/>
            </w:rPr>
          </w:pPr>
          <w:hyperlink w:anchor="_Toc107395313" w:history="1">
            <w:r w:rsidR="00EF4444" w:rsidRPr="002972E5">
              <w:rPr>
                <w:rStyle w:val="Hyperlink"/>
                <w:noProof/>
              </w:rPr>
              <w:t>3.1</w:t>
            </w:r>
            <w:r w:rsidR="00EF4444">
              <w:rPr>
                <w:rFonts w:eastAsiaTheme="minorEastAsia"/>
                <w:noProof/>
                <w:color w:val="auto"/>
                <w:sz w:val="22"/>
                <w:szCs w:val="22"/>
                <w:lang w:eastAsia="en-AU"/>
              </w:rPr>
              <w:tab/>
            </w:r>
            <w:r w:rsidR="00EF4444" w:rsidRPr="002972E5">
              <w:rPr>
                <w:rStyle w:val="Hyperlink"/>
                <w:noProof/>
              </w:rPr>
              <w:t>The case for government intervention</w:t>
            </w:r>
            <w:r w:rsidR="00EF4444">
              <w:rPr>
                <w:noProof/>
                <w:webHidden/>
              </w:rPr>
              <w:tab/>
            </w:r>
            <w:r w:rsidR="00EF4444">
              <w:rPr>
                <w:noProof/>
                <w:webHidden/>
              </w:rPr>
              <w:fldChar w:fldCharType="begin"/>
            </w:r>
            <w:r w:rsidR="00EF4444">
              <w:rPr>
                <w:noProof/>
                <w:webHidden/>
              </w:rPr>
              <w:instrText xml:space="preserve"> PAGEREF _Toc107395313 \h </w:instrText>
            </w:r>
            <w:r w:rsidR="00EF4444">
              <w:rPr>
                <w:noProof/>
                <w:webHidden/>
              </w:rPr>
            </w:r>
            <w:r w:rsidR="00EF4444">
              <w:rPr>
                <w:noProof/>
                <w:webHidden/>
              </w:rPr>
              <w:fldChar w:fldCharType="separate"/>
            </w:r>
            <w:r w:rsidR="007A56E1">
              <w:rPr>
                <w:noProof/>
                <w:webHidden/>
              </w:rPr>
              <w:t>27</w:t>
            </w:r>
            <w:r w:rsidR="00EF4444">
              <w:rPr>
                <w:noProof/>
                <w:webHidden/>
              </w:rPr>
              <w:fldChar w:fldCharType="end"/>
            </w:r>
          </w:hyperlink>
        </w:p>
        <w:p w14:paraId="35988C27" w14:textId="12865213" w:rsidR="00EF4444" w:rsidRDefault="00E26661">
          <w:pPr>
            <w:pStyle w:val="TOC2"/>
            <w:rPr>
              <w:rFonts w:eastAsiaTheme="minorEastAsia"/>
              <w:noProof/>
              <w:color w:val="auto"/>
              <w:sz w:val="22"/>
              <w:szCs w:val="22"/>
              <w:lang w:eastAsia="en-AU"/>
            </w:rPr>
          </w:pPr>
          <w:hyperlink w:anchor="_Toc107395314" w:history="1">
            <w:r w:rsidR="00EF4444" w:rsidRPr="002972E5">
              <w:rPr>
                <w:rStyle w:val="Hyperlink"/>
                <w:noProof/>
              </w:rPr>
              <w:t>3.2</w:t>
            </w:r>
            <w:r w:rsidR="00EF4444">
              <w:rPr>
                <w:rFonts w:eastAsiaTheme="minorEastAsia"/>
                <w:noProof/>
                <w:color w:val="auto"/>
                <w:sz w:val="22"/>
                <w:szCs w:val="22"/>
                <w:lang w:eastAsia="en-AU"/>
              </w:rPr>
              <w:tab/>
            </w:r>
            <w:r w:rsidR="00EF4444" w:rsidRPr="002972E5">
              <w:rPr>
                <w:rStyle w:val="Hyperlink"/>
                <w:noProof/>
              </w:rPr>
              <w:t>Objectives of government intervention</w:t>
            </w:r>
            <w:r w:rsidR="00EF4444">
              <w:rPr>
                <w:noProof/>
                <w:webHidden/>
              </w:rPr>
              <w:tab/>
            </w:r>
            <w:r w:rsidR="00EF4444">
              <w:rPr>
                <w:noProof/>
                <w:webHidden/>
              </w:rPr>
              <w:fldChar w:fldCharType="begin"/>
            </w:r>
            <w:r w:rsidR="00EF4444">
              <w:rPr>
                <w:noProof/>
                <w:webHidden/>
              </w:rPr>
              <w:instrText xml:space="preserve"> PAGEREF _Toc107395314 \h </w:instrText>
            </w:r>
            <w:r w:rsidR="00EF4444">
              <w:rPr>
                <w:noProof/>
                <w:webHidden/>
              </w:rPr>
            </w:r>
            <w:r w:rsidR="00EF4444">
              <w:rPr>
                <w:noProof/>
                <w:webHidden/>
              </w:rPr>
              <w:fldChar w:fldCharType="separate"/>
            </w:r>
            <w:r w:rsidR="007A56E1">
              <w:rPr>
                <w:noProof/>
                <w:webHidden/>
              </w:rPr>
              <w:t>27</w:t>
            </w:r>
            <w:r w:rsidR="00EF4444">
              <w:rPr>
                <w:noProof/>
                <w:webHidden/>
              </w:rPr>
              <w:fldChar w:fldCharType="end"/>
            </w:r>
          </w:hyperlink>
        </w:p>
        <w:p w14:paraId="384592A7" w14:textId="2175A554" w:rsidR="00EF4444" w:rsidRDefault="00E26661">
          <w:pPr>
            <w:pStyle w:val="TOC2"/>
            <w:rPr>
              <w:rFonts w:eastAsiaTheme="minorEastAsia"/>
              <w:noProof/>
              <w:color w:val="auto"/>
              <w:sz w:val="22"/>
              <w:szCs w:val="22"/>
              <w:lang w:eastAsia="en-AU"/>
            </w:rPr>
          </w:pPr>
          <w:hyperlink w:anchor="_Toc107395315" w:history="1">
            <w:r w:rsidR="00EF4444" w:rsidRPr="002972E5">
              <w:rPr>
                <w:rStyle w:val="Hyperlink"/>
                <w:noProof/>
              </w:rPr>
              <w:t>3.3</w:t>
            </w:r>
            <w:r w:rsidR="00EF4444">
              <w:rPr>
                <w:rFonts w:eastAsiaTheme="minorEastAsia"/>
                <w:noProof/>
                <w:color w:val="auto"/>
                <w:sz w:val="22"/>
                <w:szCs w:val="22"/>
                <w:lang w:eastAsia="en-AU"/>
              </w:rPr>
              <w:tab/>
            </w:r>
            <w:r w:rsidR="00EF4444" w:rsidRPr="002972E5">
              <w:rPr>
                <w:rStyle w:val="Hyperlink"/>
                <w:noProof/>
              </w:rPr>
              <w:t>Consultation questions</w:t>
            </w:r>
            <w:r w:rsidR="00EF4444">
              <w:rPr>
                <w:noProof/>
                <w:webHidden/>
              </w:rPr>
              <w:tab/>
            </w:r>
            <w:r w:rsidR="00EF4444">
              <w:rPr>
                <w:noProof/>
                <w:webHidden/>
              </w:rPr>
              <w:fldChar w:fldCharType="begin"/>
            </w:r>
            <w:r w:rsidR="00EF4444">
              <w:rPr>
                <w:noProof/>
                <w:webHidden/>
              </w:rPr>
              <w:instrText xml:space="preserve"> PAGEREF _Toc107395315 \h </w:instrText>
            </w:r>
            <w:r w:rsidR="00EF4444">
              <w:rPr>
                <w:noProof/>
                <w:webHidden/>
              </w:rPr>
            </w:r>
            <w:r w:rsidR="00EF4444">
              <w:rPr>
                <w:noProof/>
                <w:webHidden/>
              </w:rPr>
              <w:fldChar w:fldCharType="separate"/>
            </w:r>
            <w:r w:rsidR="007A56E1">
              <w:rPr>
                <w:noProof/>
                <w:webHidden/>
              </w:rPr>
              <w:t>27</w:t>
            </w:r>
            <w:r w:rsidR="00EF4444">
              <w:rPr>
                <w:noProof/>
                <w:webHidden/>
              </w:rPr>
              <w:fldChar w:fldCharType="end"/>
            </w:r>
          </w:hyperlink>
        </w:p>
        <w:p w14:paraId="6017EC61" w14:textId="7122A007" w:rsidR="00EF4444" w:rsidRDefault="00E26661">
          <w:pPr>
            <w:pStyle w:val="TOC1"/>
            <w:tabs>
              <w:tab w:val="left" w:pos="400"/>
            </w:tabs>
            <w:rPr>
              <w:rFonts w:eastAsiaTheme="minorEastAsia"/>
              <w:noProof/>
              <w:color w:val="auto"/>
              <w:sz w:val="22"/>
              <w:szCs w:val="22"/>
              <w:lang w:eastAsia="en-AU"/>
            </w:rPr>
          </w:pPr>
          <w:hyperlink w:anchor="_Toc107395316" w:history="1">
            <w:r w:rsidR="00EF4444" w:rsidRPr="002972E5">
              <w:rPr>
                <w:rStyle w:val="Hyperlink"/>
                <w:noProof/>
              </w:rPr>
              <w:t>4</w:t>
            </w:r>
            <w:r w:rsidR="00EF4444">
              <w:rPr>
                <w:rFonts w:eastAsiaTheme="minorEastAsia"/>
                <w:noProof/>
                <w:color w:val="auto"/>
                <w:sz w:val="22"/>
                <w:szCs w:val="22"/>
                <w:lang w:eastAsia="en-AU"/>
              </w:rPr>
              <w:tab/>
            </w:r>
            <w:r w:rsidR="00EF4444" w:rsidRPr="002972E5">
              <w:rPr>
                <w:rStyle w:val="Hyperlink"/>
                <w:noProof/>
              </w:rPr>
              <w:t>What policy options are being considered?</w:t>
            </w:r>
            <w:r w:rsidR="00EF4444">
              <w:rPr>
                <w:noProof/>
                <w:webHidden/>
              </w:rPr>
              <w:tab/>
            </w:r>
            <w:r w:rsidR="00EF4444">
              <w:rPr>
                <w:noProof/>
                <w:webHidden/>
              </w:rPr>
              <w:fldChar w:fldCharType="begin"/>
            </w:r>
            <w:r w:rsidR="00EF4444">
              <w:rPr>
                <w:noProof/>
                <w:webHidden/>
              </w:rPr>
              <w:instrText xml:space="preserve"> PAGEREF _Toc107395316 \h </w:instrText>
            </w:r>
            <w:r w:rsidR="00EF4444">
              <w:rPr>
                <w:noProof/>
                <w:webHidden/>
              </w:rPr>
            </w:r>
            <w:r w:rsidR="00EF4444">
              <w:rPr>
                <w:noProof/>
                <w:webHidden/>
              </w:rPr>
              <w:fldChar w:fldCharType="separate"/>
            </w:r>
            <w:r w:rsidR="007A56E1">
              <w:rPr>
                <w:noProof/>
                <w:webHidden/>
              </w:rPr>
              <w:t>28</w:t>
            </w:r>
            <w:r w:rsidR="00EF4444">
              <w:rPr>
                <w:noProof/>
                <w:webHidden/>
              </w:rPr>
              <w:fldChar w:fldCharType="end"/>
            </w:r>
          </w:hyperlink>
        </w:p>
        <w:p w14:paraId="10D42BAB" w14:textId="462B11DD" w:rsidR="00EF4444" w:rsidRDefault="00E26661">
          <w:pPr>
            <w:pStyle w:val="TOC2"/>
            <w:rPr>
              <w:rFonts w:eastAsiaTheme="minorEastAsia"/>
              <w:noProof/>
              <w:color w:val="auto"/>
              <w:sz w:val="22"/>
              <w:szCs w:val="22"/>
              <w:lang w:eastAsia="en-AU"/>
            </w:rPr>
          </w:pPr>
          <w:hyperlink w:anchor="_Toc107395317" w:history="1">
            <w:r w:rsidR="00EF4444" w:rsidRPr="002972E5">
              <w:rPr>
                <w:rStyle w:val="Hyperlink"/>
                <w:noProof/>
              </w:rPr>
              <w:t>4.1</w:t>
            </w:r>
            <w:r w:rsidR="00EF4444">
              <w:rPr>
                <w:rFonts w:eastAsiaTheme="minorEastAsia"/>
                <w:noProof/>
                <w:color w:val="auto"/>
                <w:sz w:val="22"/>
                <w:szCs w:val="22"/>
                <w:lang w:eastAsia="en-AU"/>
              </w:rPr>
              <w:tab/>
            </w:r>
            <w:r w:rsidR="00EF4444" w:rsidRPr="002972E5">
              <w:rPr>
                <w:rStyle w:val="Hyperlink"/>
                <w:noProof/>
              </w:rPr>
              <w:t>Overview</w:t>
            </w:r>
            <w:r w:rsidR="00EF4444">
              <w:rPr>
                <w:noProof/>
                <w:webHidden/>
              </w:rPr>
              <w:tab/>
            </w:r>
            <w:r w:rsidR="00EF4444">
              <w:rPr>
                <w:noProof/>
                <w:webHidden/>
              </w:rPr>
              <w:fldChar w:fldCharType="begin"/>
            </w:r>
            <w:r w:rsidR="00EF4444">
              <w:rPr>
                <w:noProof/>
                <w:webHidden/>
              </w:rPr>
              <w:instrText xml:space="preserve"> PAGEREF _Toc107395317 \h </w:instrText>
            </w:r>
            <w:r w:rsidR="00EF4444">
              <w:rPr>
                <w:noProof/>
                <w:webHidden/>
              </w:rPr>
            </w:r>
            <w:r w:rsidR="00EF4444">
              <w:rPr>
                <w:noProof/>
                <w:webHidden/>
              </w:rPr>
              <w:fldChar w:fldCharType="separate"/>
            </w:r>
            <w:r w:rsidR="007A56E1">
              <w:rPr>
                <w:noProof/>
                <w:webHidden/>
              </w:rPr>
              <w:t>28</w:t>
            </w:r>
            <w:r w:rsidR="00EF4444">
              <w:rPr>
                <w:noProof/>
                <w:webHidden/>
              </w:rPr>
              <w:fldChar w:fldCharType="end"/>
            </w:r>
          </w:hyperlink>
        </w:p>
        <w:p w14:paraId="369BFE36" w14:textId="5E17C3A2" w:rsidR="00EF4444" w:rsidRDefault="00E26661">
          <w:pPr>
            <w:pStyle w:val="TOC2"/>
            <w:rPr>
              <w:rFonts w:eastAsiaTheme="minorEastAsia"/>
              <w:noProof/>
              <w:color w:val="auto"/>
              <w:sz w:val="22"/>
              <w:szCs w:val="22"/>
              <w:lang w:eastAsia="en-AU"/>
            </w:rPr>
          </w:pPr>
          <w:hyperlink w:anchor="_Toc107395318" w:history="1">
            <w:r w:rsidR="00EF4444" w:rsidRPr="002972E5">
              <w:rPr>
                <w:rStyle w:val="Hyperlink"/>
                <w:noProof/>
              </w:rPr>
              <w:t>4.2</w:t>
            </w:r>
            <w:r w:rsidR="00EF4444">
              <w:rPr>
                <w:rFonts w:eastAsiaTheme="minorEastAsia"/>
                <w:noProof/>
                <w:color w:val="auto"/>
                <w:sz w:val="22"/>
                <w:szCs w:val="22"/>
                <w:lang w:eastAsia="en-AU"/>
              </w:rPr>
              <w:tab/>
            </w:r>
            <w:r w:rsidR="00EF4444" w:rsidRPr="002972E5">
              <w:rPr>
                <w:rStyle w:val="Hyperlink"/>
                <w:noProof/>
              </w:rPr>
              <w:t>Option 1: Base case</w:t>
            </w:r>
            <w:r w:rsidR="00EF4444">
              <w:rPr>
                <w:noProof/>
                <w:webHidden/>
              </w:rPr>
              <w:tab/>
            </w:r>
            <w:r w:rsidR="00EF4444">
              <w:rPr>
                <w:noProof/>
                <w:webHidden/>
              </w:rPr>
              <w:fldChar w:fldCharType="begin"/>
            </w:r>
            <w:r w:rsidR="00EF4444">
              <w:rPr>
                <w:noProof/>
                <w:webHidden/>
              </w:rPr>
              <w:instrText xml:space="preserve"> PAGEREF _Toc107395318 \h </w:instrText>
            </w:r>
            <w:r w:rsidR="00EF4444">
              <w:rPr>
                <w:noProof/>
                <w:webHidden/>
              </w:rPr>
            </w:r>
            <w:r w:rsidR="00EF4444">
              <w:rPr>
                <w:noProof/>
                <w:webHidden/>
              </w:rPr>
              <w:fldChar w:fldCharType="separate"/>
            </w:r>
            <w:r w:rsidR="007A56E1">
              <w:rPr>
                <w:noProof/>
                <w:webHidden/>
              </w:rPr>
              <w:t>28</w:t>
            </w:r>
            <w:r w:rsidR="00EF4444">
              <w:rPr>
                <w:noProof/>
                <w:webHidden/>
              </w:rPr>
              <w:fldChar w:fldCharType="end"/>
            </w:r>
          </w:hyperlink>
        </w:p>
        <w:p w14:paraId="19743536" w14:textId="671F23A3" w:rsidR="00EF4444" w:rsidRDefault="00E26661">
          <w:pPr>
            <w:pStyle w:val="TOC2"/>
            <w:rPr>
              <w:rFonts w:eastAsiaTheme="minorEastAsia"/>
              <w:noProof/>
              <w:color w:val="auto"/>
              <w:sz w:val="22"/>
              <w:szCs w:val="22"/>
              <w:lang w:eastAsia="en-AU"/>
            </w:rPr>
          </w:pPr>
          <w:hyperlink w:anchor="_Toc107395319" w:history="1">
            <w:r w:rsidR="00EF4444" w:rsidRPr="002972E5">
              <w:rPr>
                <w:rStyle w:val="Hyperlink"/>
                <w:noProof/>
              </w:rPr>
              <w:t>4.3</w:t>
            </w:r>
            <w:r w:rsidR="00EF4444">
              <w:rPr>
                <w:rFonts w:eastAsiaTheme="minorEastAsia"/>
                <w:noProof/>
                <w:color w:val="auto"/>
                <w:sz w:val="22"/>
                <w:szCs w:val="22"/>
                <w:lang w:eastAsia="en-AU"/>
              </w:rPr>
              <w:tab/>
            </w:r>
            <w:r w:rsidR="00EF4444" w:rsidRPr="002972E5">
              <w:rPr>
                <w:rStyle w:val="Hyperlink"/>
                <w:noProof/>
              </w:rPr>
              <w:t>Option 2: National awareness and behaviour change initiatives to minimise the risks of RCS exposure</w:t>
            </w:r>
            <w:r w:rsidR="00EF4444">
              <w:rPr>
                <w:noProof/>
                <w:webHidden/>
              </w:rPr>
              <w:tab/>
            </w:r>
            <w:r w:rsidR="00EF4444">
              <w:rPr>
                <w:noProof/>
                <w:webHidden/>
              </w:rPr>
              <w:fldChar w:fldCharType="begin"/>
            </w:r>
            <w:r w:rsidR="00EF4444">
              <w:rPr>
                <w:noProof/>
                <w:webHidden/>
              </w:rPr>
              <w:instrText xml:space="preserve"> PAGEREF _Toc107395319 \h </w:instrText>
            </w:r>
            <w:r w:rsidR="00EF4444">
              <w:rPr>
                <w:noProof/>
                <w:webHidden/>
              </w:rPr>
            </w:r>
            <w:r w:rsidR="00EF4444">
              <w:rPr>
                <w:noProof/>
                <w:webHidden/>
              </w:rPr>
              <w:fldChar w:fldCharType="separate"/>
            </w:r>
            <w:r w:rsidR="007A56E1">
              <w:rPr>
                <w:noProof/>
                <w:webHidden/>
              </w:rPr>
              <w:t>29</w:t>
            </w:r>
            <w:r w:rsidR="00EF4444">
              <w:rPr>
                <w:noProof/>
                <w:webHidden/>
              </w:rPr>
              <w:fldChar w:fldCharType="end"/>
            </w:r>
          </w:hyperlink>
        </w:p>
        <w:p w14:paraId="1A2A190F" w14:textId="154A0446" w:rsidR="00EF4444" w:rsidRDefault="00E26661">
          <w:pPr>
            <w:pStyle w:val="TOC2"/>
            <w:rPr>
              <w:rFonts w:eastAsiaTheme="minorEastAsia"/>
              <w:noProof/>
              <w:color w:val="auto"/>
              <w:sz w:val="22"/>
              <w:szCs w:val="22"/>
              <w:lang w:eastAsia="en-AU"/>
            </w:rPr>
          </w:pPr>
          <w:hyperlink w:anchor="_Toc107395320" w:history="1">
            <w:r w:rsidR="00EF4444" w:rsidRPr="002972E5">
              <w:rPr>
                <w:rStyle w:val="Hyperlink"/>
                <w:noProof/>
              </w:rPr>
              <w:t>4.4</w:t>
            </w:r>
            <w:r w:rsidR="00EF4444">
              <w:rPr>
                <w:rFonts w:eastAsiaTheme="minorEastAsia"/>
                <w:noProof/>
                <w:color w:val="auto"/>
                <w:sz w:val="22"/>
                <w:szCs w:val="22"/>
                <w:lang w:eastAsia="en-AU"/>
              </w:rPr>
              <w:tab/>
            </w:r>
            <w:r w:rsidR="00EF4444" w:rsidRPr="002972E5">
              <w:rPr>
                <w:rStyle w:val="Hyperlink"/>
                <w:noProof/>
              </w:rPr>
              <w:t>Option 3: Clarifying the existing requirements of the model WHS laws for high risk silica processes</w:t>
            </w:r>
            <w:r w:rsidR="00EF4444">
              <w:rPr>
                <w:noProof/>
                <w:webHidden/>
              </w:rPr>
              <w:tab/>
            </w:r>
            <w:r w:rsidR="00EF4444">
              <w:rPr>
                <w:noProof/>
                <w:webHidden/>
              </w:rPr>
              <w:fldChar w:fldCharType="begin"/>
            </w:r>
            <w:r w:rsidR="00EF4444">
              <w:rPr>
                <w:noProof/>
                <w:webHidden/>
              </w:rPr>
              <w:instrText xml:space="preserve"> PAGEREF _Toc107395320 \h </w:instrText>
            </w:r>
            <w:r w:rsidR="00EF4444">
              <w:rPr>
                <w:noProof/>
                <w:webHidden/>
              </w:rPr>
            </w:r>
            <w:r w:rsidR="00EF4444">
              <w:rPr>
                <w:noProof/>
                <w:webHidden/>
              </w:rPr>
              <w:fldChar w:fldCharType="separate"/>
            </w:r>
            <w:r w:rsidR="007A56E1">
              <w:rPr>
                <w:noProof/>
                <w:webHidden/>
              </w:rPr>
              <w:t>30</w:t>
            </w:r>
            <w:r w:rsidR="00EF4444">
              <w:rPr>
                <w:noProof/>
                <w:webHidden/>
              </w:rPr>
              <w:fldChar w:fldCharType="end"/>
            </w:r>
          </w:hyperlink>
        </w:p>
        <w:p w14:paraId="5C101004" w14:textId="3C00E7A0" w:rsidR="00EF4444" w:rsidRDefault="00E26661">
          <w:pPr>
            <w:pStyle w:val="TOC2"/>
            <w:rPr>
              <w:rFonts w:eastAsiaTheme="minorEastAsia"/>
              <w:noProof/>
              <w:color w:val="auto"/>
              <w:sz w:val="22"/>
              <w:szCs w:val="22"/>
              <w:lang w:eastAsia="en-AU"/>
            </w:rPr>
          </w:pPr>
          <w:hyperlink w:anchor="_Toc107395321" w:history="1">
            <w:r w:rsidR="00EF4444" w:rsidRPr="002972E5">
              <w:rPr>
                <w:rStyle w:val="Hyperlink"/>
                <w:noProof/>
              </w:rPr>
              <w:t>4.5</w:t>
            </w:r>
            <w:r w:rsidR="00EF4444">
              <w:rPr>
                <w:rFonts w:eastAsiaTheme="minorEastAsia"/>
                <w:noProof/>
                <w:color w:val="auto"/>
                <w:sz w:val="22"/>
                <w:szCs w:val="22"/>
                <w:lang w:eastAsia="en-AU"/>
              </w:rPr>
              <w:tab/>
            </w:r>
            <w:r w:rsidR="00EF4444" w:rsidRPr="002972E5">
              <w:rPr>
                <w:rStyle w:val="Hyperlink"/>
                <w:noProof/>
              </w:rPr>
              <w:t>Option 4: Implementation of a national licensing framework for PCBUs working with engineered stone</w:t>
            </w:r>
            <w:r w:rsidR="00EF4444">
              <w:rPr>
                <w:noProof/>
                <w:webHidden/>
              </w:rPr>
              <w:tab/>
            </w:r>
            <w:r w:rsidR="00EF4444">
              <w:rPr>
                <w:noProof/>
                <w:webHidden/>
              </w:rPr>
              <w:fldChar w:fldCharType="begin"/>
            </w:r>
            <w:r w:rsidR="00EF4444">
              <w:rPr>
                <w:noProof/>
                <w:webHidden/>
              </w:rPr>
              <w:instrText xml:space="preserve"> PAGEREF _Toc107395321 \h </w:instrText>
            </w:r>
            <w:r w:rsidR="00EF4444">
              <w:rPr>
                <w:noProof/>
                <w:webHidden/>
              </w:rPr>
            </w:r>
            <w:r w:rsidR="00EF4444">
              <w:rPr>
                <w:noProof/>
                <w:webHidden/>
              </w:rPr>
              <w:fldChar w:fldCharType="separate"/>
            </w:r>
            <w:r w:rsidR="007A56E1">
              <w:rPr>
                <w:noProof/>
                <w:webHidden/>
              </w:rPr>
              <w:t>31</w:t>
            </w:r>
            <w:r w:rsidR="00EF4444">
              <w:rPr>
                <w:noProof/>
                <w:webHidden/>
              </w:rPr>
              <w:fldChar w:fldCharType="end"/>
            </w:r>
          </w:hyperlink>
        </w:p>
        <w:p w14:paraId="6F4352CD" w14:textId="0F7557C9" w:rsidR="00EF4444" w:rsidRDefault="00E26661">
          <w:pPr>
            <w:pStyle w:val="TOC2"/>
            <w:rPr>
              <w:rFonts w:eastAsiaTheme="minorEastAsia"/>
              <w:noProof/>
              <w:color w:val="auto"/>
              <w:sz w:val="22"/>
              <w:szCs w:val="22"/>
              <w:lang w:eastAsia="en-AU"/>
            </w:rPr>
          </w:pPr>
          <w:hyperlink w:anchor="_Toc107395322" w:history="1">
            <w:r w:rsidR="00EF4444" w:rsidRPr="002972E5">
              <w:rPr>
                <w:rStyle w:val="Hyperlink"/>
                <w:noProof/>
              </w:rPr>
              <w:t>4.6</w:t>
            </w:r>
            <w:r w:rsidR="00EF4444">
              <w:rPr>
                <w:rFonts w:eastAsiaTheme="minorEastAsia"/>
                <w:noProof/>
                <w:color w:val="auto"/>
                <w:sz w:val="22"/>
                <w:szCs w:val="22"/>
                <w:lang w:eastAsia="en-AU"/>
              </w:rPr>
              <w:tab/>
            </w:r>
            <w:r w:rsidR="00EF4444" w:rsidRPr="002972E5">
              <w:rPr>
                <w:rStyle w:val="Hyperlink"/>
                <w:noProof/>
              </w:rPr>
              <w:t>Option 5a: Additional regulation of high risk crystalline silica processes for all materials including engineered stone</w:t>
            </w:r>
            <w:r w:rsidR="00EF4444">
              <w:rPr>
                <w:noProof/>
                <w:webHidden/>
              </w:rPr>
              <w:tab/>
            </w:r>
            <w:r w:rsidR="00EF4444">
              <w:rPr>
                <w:noProof/>
                <w:webHidden/>
              </w:rPr>
              <w:fldChar w:fldCharType="begin"/>
            </w:r>
            <w:r w:rsidR="00EF4444">
              <w:rPr>
                <w:noProof/>
                <w:webHidden/>
              </w:rPr>
              <w:instrText xml:space="preserve"> PAGEREF _Toc107395322 \h </w:instrText>
            </w:r>
            <w:r w:rsidR="00EF4444">
              <w:rPr>
                <w:noProof/>
                <w:webHidden/>
              </w:rPr>
            </w:r>
            <w:r w:rsidR="00EF4444">
              <w:rPr>
                <w:noProof/>
                <w:webHidden/>
              </w:rPr>
              <w:fldChar w:fldCharType="separate"/>
            </w:r>
            <w:r w:rsidR="007A56E1">
              <w:rPr>
                <w:noProof/>
                <w:webHidden/>
              </w:rPr>
              <w:t>33</w:t>
            </w:r>
            <w:r w:rsidR="00EF4444">
              <w:rPr>
                <w:noProof/>
                <w:webHidden/>
              </w:rPr>
              <w:fldChar w:fldCharType="end"/>
            </w:r>
          </w:hyperlink>
        </w:p>
        <w:p w14:paraId="04CC6B27" w14:textId="0219B41B" w:rsidR="00EF4444" w:rsidRDefault="00E26661">
          <w:pPr>
            <w:pStyle w:val="TOC2"/>
            <w:rPr>
              <w:rFonts w:eastAsiaTheme="minorEastAsia"/>
              <w:noProof/>
              <w:color w:val="auto"/>
              <w:sz w:val="22"/>
              <w:szCs w:val="22"/>
              <w:lang w:eastAsia="en-AU"/>
            </w:rPr>
          </w:pPr>
          <w:hyperlink w:anchor="_Toc107395323" w:history="1">
            <w:r w:rsidR="00EF4444" w:rsidRPr="002972E5">
              <w:rPr>
                <w:rStyle w:val="Hyperlink"/>
                <w:noProof/>
              </w:rPr>
              <w:t>4.7</w:t>
            </w:r>
            <w:r w:rsidR="00EF4444">
              <w:rPr>
                <w:rFonts w:eastAsiaTheme="minorEastAsia"/>
                <w:noProof/>
                <w:color w:val="auto"/>
                <w:sz w:val="22"/>
                <w:szCs w:val="22"/>
                <w:lang w:eastAsia="en-AU"/>
              </w:rPr>
              <w:tab/>
            </w:r>
            <w:r w:rsidR="00EF4444" w:rsidRPr="002972E5">
              <w:rPr>
                <w:rStyle w:val="Hyperlink"/>
                <w:noProof/>
              </w:rPr>
              <w:t>Option 5b: Regulation of defined high risk crystalline silica processes for all materials excluding engineered stone</w:t>
            </w:r>
            <w:r w:rsidR="00EF4444">
              <w:rPr>
                <w:noProof/>
                <w:webHidden/>
              </w:rPr>
              <w:tab/>
            </w:r>
            <w:r w:rsidR="00EF4444">
              <w:rPr>
                <w:noProof/>
                <w:webHidden/>
              </w:rPr>
              <w:fldChar w:fldCharType="begin"/>
            </w:r>
            <w:r w:rsidR="00EF4444">
              <w:rPr>
                <w:noProof/>
                <w:webHidden/>
              </w:rPr>
              <w:instrText xml:space="preserve"> PAGEREF _Toc107395323 \h </w:instrText>
            </w:r>
            <w:r w:rsidR="00EF4444">
              <w:rPr>
                <w:noProof/>
                <w:webHidden/>
              </w:rPr>
            </w:r>
            <w:r w:rsidR="00EF4444">
              <w:rPr>
                <w:noProof/>
                <w:webHidden/>
              </w:rPr>
              <w:fldChar w:fldCharType="separate"/>
            </w:r>
            <w:r w:rsidR="007A56E1">
              <w:rPr>
                <w:noProof/>
                <w:webHidden/>
              </w:rPr>
              <w:t>34</w:t>
            </w:r>
            <w:r w:rsidR="00EF4444">
              <w:rPr>
                <w:noProof/>
                <w:webHidden/>
              </w:rPr>
              <w:fldChar w:fldCharType="end"/>
            </w:r>
          </w:hyperlink>
        </w:p>
        <w:p w14:paraId="31376134" w14:textId="58F5750E" w:rsidR="00EF4444" w:rsidRDefault="00E26661">
          <w:pPr>
            <w:pStyle w:val="TOC2"/>
            <w:rPr>
              <w:rFonts w:eastAsiaTheme="minorEastAsia"/>
              <w:noProof/>
              <w:color w:val="auto"/>
              <w:sz w:val="22"/>
              <w:szCs w:val="22"/>
              <w:lang w:eastAsia="en-AU"/>
            </w:rPr>
          </w:pPr>
          <w:hyperlink w:anchor="_Toc107395324" w:history="1">
            <w:r w:rsidR="00EF4444" w:rsidRPr="002972E5">
              <w:rPr>
                <w:rStyle w:val="Hyperlink"/>
                <w:noProof/>
              </w:rPr>
              <w:t>4.8</w:t>
            </w:r>
            <w:r w:rsidR="00EF4444">
              <w:rPr>
                <w:rFonts w:eastAsiaTheme="minorEastAsia"/>
                <w:noProof/>
                <w:color w:val="auto"/>
                <w:sz w:val="22"/>
                <w:szCs w:val="22"/>
                <w:lang w:eastAsia="en-AU"/>
              </w:rPr>
              <w:tab/>
            </w:r>
            <w:r w:rsidR="00EF4444" w:rsidRPr="002972E5">
              <w:rPr>
                <w:rStyle w:val="Hyperlink"/>
                <w:noProof/>
              </w:rPr>
              <w:t>Options that were considered but assessed as infeasible</w:t>
            </w:r>
            <w:r w:rsidR="00EF4444">
              <w:rPr>
                <w:noProof/>
                <w:webHidden/>
              </w:rPr>
              <w:tab/>
            </w:r>
            <w:r w:rsidR="00EF4444">
              <w:rPr>
                <w:noProof/>
                <w:webHidden/>
              </w:rPr>
              <w:fldChar w:fldCharType="begin"/>
            </w:r>
            <w:r w:rsidR="00EF4444">
              <w:rPr>
                <w:noProof/>
                <w:webHidden/>
              </w:rPr>
              <w:instrText xml:space="preserve"> PAGEREF _Toc107395324 \h </w:instrText>
            </w:r>
            <w:r w:rsidR="00EF4444">
              <w:rPr>
                <w:noProof/>
                <w:webHidden/>
              </w:rPr>
            </w:r>
            <w:r w:rsidR="00EF4444">
              <w:rPr>
                <w:noProof/>
                <w:webHidden/>
              </w:rPr>
              <w:fldChar w:fldCharType="separate"/>
            </w:r>
            <w:r w:rsidR="007A56E1">
              <w:rPr>
                <w:noProof/>
                <w:webHidden/>
              </w:rPr>
              <w:t>34</w:t>
            </w:r>
            <w:r w:rsidR="00EF4444">
              <w:rPr>
                <w:noProof/>
                <w:webHidden/>
              </w:rPr>
              <w:fldChar w:fldCharType="end"/>
            </w:r>
          </w:hyperlink>
        </w:p>
        <w:p w14:paraId="3498DDE9" w14:textId="038172D1" w:rsidR="00EF4444" w:rsidRDefault="00E26661">
          <w:pPr>
            <w:pStyle w:val="TOC2"/>
            <w:rPr>
              <w:rFonts w:eastAsiaTheme="minorEastAsia"/>
              <w:noProof/>
              <w:color w:val="auto"/>
              <w:sz w:val="22"/>
              <w:szCs w:val="22"/>
              <w:lang w:eastAsia="en-AU"/>
            </w:rPr>
          </w:pPr>
          <w:hyperlink w:anchor="_Toc107395325" w:history="1">
            <w:r w:rsidR="00EF4444" w:rsidRPr="002972E5">
              <w:rPr>
                <w:rStyle w:val="Hyperlink"/>
                <w:noProof/>
              </w:rPr>
              <w:t>4.9</w:t>
            </w:r>
            <w:r w:rsidR="00EF4444">
              <w:rPr>
                <w:rFonts w:eastAsiaTheme="minorEastAsia"/>
                <w:noProof/>
                <w:color w:val="auto"/>
                <w:sz w:val="22"/>
                <w:szCs w:val="22"/>
                <w:lang w:eastAsia="en-AU"/>
              </w:rPr>
              <w:tab/>
            </w:r>
            <w:r w:rsidR="00EF4444" w:rsidRPr="002972E5">
              <w:rPr>
                <w:rStyle w:val="Hyperlink"/>
                <w:noProof/>
              </w:rPr>
              <w:t>Consultation questions</w:t>
            </w:r>
            <w:r w:rsidR="00EF4444">
              <w:rPr>
                <w:noProof/>
                <w:webHidden/>
              </w:rPr>
              <w:tab/>
            </w:r>
            <w:r w:rsidR="00EF4444">
              <w:rPr>
                <w:noProof/>
                <w:webHidden/>
              </w:rPr>
              <w:fldChar w:fldCharType="begin"/>
            </w:r>
            <w:r w:rsidR="00EF4444">
              <w:rPr>
                <w:noProof/>
                <w:webHidden/>
              </w:rPr>
              <w:instrText xml:space="preserve"> PAGEREF _Toc107395325 \h </w:instrText>
            </w:r>
            <w:r w:rsidR="00EF4444">
              <w:rPr>
                <w:noProof/>
                <w:webHidden/>
              </w:rPr>
            </w:r>
            <w:r w:rsidR="00EF4444">
              <w:rPr>
                <w:noProof/>
                <w:webHidden/>
              </w:rPr>
              <w:fldChar w:fldCharType="separate"/>
            </w:r>
            <w:r w:rsidR="007A56E1">
              <w:rPr>
                <w:noProof/>
                <w:webHidden/>
              </w:rPr>
              <w:t>36</w:t>
            </w:r>
            <w:r w:rsidR="00EF4444">
              <w:rPr>
                <w:noProof/>
                <w:webHidden/>
              </w:rPr>
              <w:fldChar w:fldCharType="end"/>
            </w:r>
          </w:hyperlink>
        </w:p>
        <w:p w14:paraId="6785FB33" w14:textId="6103C6D7" w:rsidR="00EF4444" w:rsidRDefault="00E26661">
          <w:pPr>
            <w:pStyle w:val="TOC1"/>
            <w:tabs>
              <w:tab w:val="left" w:pos="400"/>
            </w:tabs>
            <w:rPr>
              <w:rFonts w:eastAsiaTheme="minorEastAsia"/>
              <w:noProof/>
              <w:color w:val="auto"/>
              <w:sz w:val="22"/>
              <w:szCs w:val="22"/>
              <w:lang w:eastAsia="en-AU"/>
            </w:rPr>
          </w:pPr>
          <w:hyperlink w:anchor="_Toc107395326" w:history="1">
            <w:r w:rsidR="00EF4444" w:rsidRPr="002972E5">
              <w:rPr>
                <w:rStyle w:val="Hyperlink"/>
                <w:noProof/>
              </w:rPr>
              <w:t>5</w:t>
            </w:r>
            <w:r w:rsidR="00EF4444">
              <w:rPr>
                <w:rFonts w:eastAsiaTheme="minorEastAsia"/>
                <w:noProof/>
                <w:color w:val="auto"/>
                <w:sz w:val="22"/>
                <w:szCs w:val="22"/>
                <w:lang w:eastAsia="en-AU"/>
              </w:rPr>
              <w:tab/>
            </w:r>
            <w:r w:rsidR="00EF4444" w:rsidRPr="002972E5">
              <w:rPr>
                <w:rStyle w:val="Hyperlink"/>
                <w:noProof/>
              </w:rPr>
              <w:t>Who was engaged in preliminary consultation and how was their feedback incorporated?</w:t>
            </w:r>
            <w:r w:rsidR="00EF4444">
              <w:rPr>
                <w:noProof/>
                <w:webHidden/>
              </w:rPr>
              <w:tab/>
            </w:r>
            <w:r w:rsidR="00EF4444">
              <w:rPr>
                <w:noProof/>
                <w:webHidden/>
              </w:rPr>
              <w:fldChar w:fldCharType="begin"/>
            </w:r>
            <w:r w:rsidR="00EF4444">
              <w:rPr>
                <w:noProof/>
                <w:webHidden/>
              </w:rPr>
              <w:instrText xml:space="preserve"> PAGEREF _Toc107395326 \h </w:instrText>
            </w:r>
            <w:r w:rsidR="00EF4444">
              <w:rPr>
                <w:noProof/>
                <w:webHidden/>
              </w:rPr>
            </w:r>
            <w:r w:rsidR="00EF4444">
              <w:rPr>
                <w:noProof/>
                <w:webHidden/>
              </w:rPr>
              <w:fldChar w:fldCharType="separate"/>
            </w:r>
            <w:r w:rsidR="007A56E1">
              <w:rPr>
                <w:noProof/>
                <w:webHidden/>
              </w:rPr>
              <w:t>37</w:t>
            </w:r>
            <w:r w:rsidR="00EF4444">
              <w:rPr>
                <w:noProof/>
                <w:webHidden/>
              </w:rPr>
              <w:fldChar w:fldCharType="end"/>
            </w:r>
          </w:hyperlink>
        </w:p>
        <w:p w14:paraId="1A02BF47" w14:textId="5D797336" w:rsidR="00EF4444" w:rsidRDefault="00E26661">
          <w:pPr>
            <w:pStyle w:val="TOC2"/>
            <w:rPr>
              <w:rFonts w:eastAsiaTheme="minorEastAsia"/>
              <w:noProof/>
              <w:color w:val="auto"/>
              <w:sz w:val="22"/>
              <w:szCs w:val="22"/>
              <w:lang w:eastAsia="en-AU"/>
            </w:rPr>
          </w:pPr>
          <w:hyperlink w:anchor="_Toc107395327" w:history="1">
            <w:r w:rsidR="00EF4444" w:rsidRPr="002972E5">
              <w:rPr>
                <w:rStyle w:val="Hyperlink"/>
                <w:noProof/>
              </w:rPr>
              <w:t>5.1</w:t>
            </w:r>
            <w:r w:rsidR="00EF4444">
              <w:rPr>
                <w:rFonts w:eastAsiaTheme="minorEastAsia"/>
                <w:noProof/>
                <w:color w:val="auto"/>
                <w:sz w:val="22"/>
                <w:szCs w:val="22"/>
                <w:lang w:eastAsia="en-AU"/>
              </w:rPr>
              <w:tab/>
            </w:r>
            <w:r w:rsidR="00EF4444" w:rsidRPr="002972E5">
              <w:rPr>
                <w:rStyle w:val="Hyperlink"/>
                <w:noProof/>
              </w:rPr>
              <w:t>Overview</w:t>
            </w:r>
            <w:r w:rsidR="00EF4444">
              <w:rPr>
                <w:noProof/>
                <w:webHidden/>
              </w:rPr>
              <w:tab/>
            </w:r>
            <w:r w:rsidR="00EF4444">
              <w:rPr>
                <w:noProof/>
                <w:webHidden/>
              </w:rPr>
              <w:fldChar w:fldCharType="begin"/>
            </w:r>
            <w:r w:rsidR="00EF4444">
              <w:rPr>
                <w:noProof/>
                <w:webHidden/>
              </w:rPr>
              <w:instrText xml:space="preserve"> PAGEREF _Toc107395327 \h </w:instrText>
            </w:r>
            <w:r w:rsidR="00EF4444">
              <w:rPr>
                <w:noProof/>
                <w:webHidden/>
              </w:rPr>
            </w:r>
            <w:r w:rsidR="00EF4444">
              <w:rPr>
                <w:noProof/>
                <w:webHidden/>
              </w:rPr>
              <w:fldChar w:fldCharType="separate"/>
            </w:r>
            <w:r w:rsidR="007A56E1">
              <w:rPr>
                <w:noProof/>
                <w:webHidden/>
              </w:rPr>
              <w:t>37</w:t>
            </w:r>
            <w:r w:rsidR="00EF4444">
              <w:rPr>
                <w:noProof/>
                <w:webHidden/>
              </w:rPr>
              <w:fldChar w:fldCharType="end"/>
            </w:r>
          </w:hyperlink>
        </w:p>
        <w:p w14:paraId="7670C1E9" w14:textId="686ED5ED" w:rsidR="00EF4444" w:rsidRDefault="00E26661">
          <w:pPr>
            <w:pStyle w:val="TOC2"/>
            <w:rPr>
              <w:rFonts w:eastAsiaTheme="minorEastAsia"/>
              <w:noProof/>
              <w:color w:val="auto"/>
              <w:sz w:val="22"/>
              <w:szCs w:val="22"/>
              <w:lang w:eastAsia="en-AU"/>
            </w:rPr>
          </w:pPr>
          <w:hyperlink w:anchor="_Toc107395328" w:history="1">
            <w:r w:rsidR="00EF4444" w:rsidRPr="002972E5">
              <w:rPr>
                <w:rStyle w:val="Hyperlink"/>
                <w:noProof/>
              </w:rPr>
              <w:t>5.2</w:t>
            </w:r>
            <w:r w:rsidR="00EF4444">
              <w:rPr>
                <w:rFonts w:eastAsiaTheme="minorEastAsia"/>
                <w:noProof/>
                <w:color w:val="auto"/>
                <w:sz w:val="22"/>
                <w:szCs w:val="22"/>
                <w:lang w:eastAsia="en-AU"/>
              </w:rPr>
              <w:tab/>
            </w:r>
            <w:r w:rsidR="00EF4444" w:rsidRPr="002972E5">
              <w:rPr>
                <w:rStyle w:val="Hyperlink"/>
                <w:noProof/>
              </w:rPr>
              <w:t>Stakeholder consultation</w:t>
            </w:r>
            <w:r w:rsidR="00EF4444">
              <w:rPr>
                <w:noProof/>
                <w:webHidden/>
              </w:rPr>
              <w:tab/>
            </w:r>
            <w:r w:rsidR="00EF4444">
              <w:rPr>
                <w:noProof/>
                <w:webHidden/>
              </w:rPr>
              <w:fldChar w:fldCharType="begin"/>
            </w:r>
            <w:r w:rsidR="00EF4444">
              <w:rPr>
                <w:noProof/>
                <w:webHidden/>
              </w:rPr>
              <w:instrText xml:space="preserve"> PAGEREF _Toc107395328 \h </w:instrText>
            </w:r>
            <w:r w:rsidR="00EF4444">
              <w:rPr>
                <w:noProof/>
                <w:webHidden/>
              </w:rPr>
            </w:r>
            <w:r w:rsidR="00EF4444">
              <w:rPr>
                <w:noProof/>
                <w:webHidden/>
              </w:rPr>
              <w:fldChar w:fldCharType="separate"/>
            </w:r>
            <w:r w:rsidR="007A56E1">
              <w:rPr>
                <w:noProof/>
                <w:webHidden/>
              </w:rPr>
              <w:t>37</w:t>
            </w:r>
            <w:r w:rsidR="00EF4444">
              <w:rPr>
                <w:noProof/>
                <w:webHidden/>
              </w:rPr>
              <w:fldChar w:fldCharType="end"/>
            </w:r>
          </w:hyperlink>
        </w:p>
        <w:p w14:paraId="5ECBED8C" w14:textId="676F2801" w:rsidR="00EF4444" w:rsidRDefault="00E26661">
          <w:pPr>
            <w:pStyle w:val="TOC1"/>
            <w:tabs>
              <w:tab w:val="left" w:pos="400"/>
            </w:tabs>
            <w:rPr>
              <w:rFonts w:eastAsiaTheme="minorEastAsia"/>
              <w:noProof/>
              <w:color w:val="auto"/>
              <w:sz w:val="22"/>
              <w:szCs w:val="22"/>
              <w:lang w:eastAsia="en-AU"/>
            </w:rPr>
          </w:pPr>
          <w:hyperlink w:anchor="_Toc107395329" w:history="1">
            <w:r w:rsidR="00EF4444" w:rsidRPr="002972E5">
              <w:rPr>
                <w:rStyle w:val="Hyperlink"/>
                <w:noProof/>
              </w:rPr>
              <w:t>6</w:t>
            </w:r>
            <w:r w:rsidR="00EF4444">
              <w:rPr>
                <w:rFonts w:eastAsiaTheme="minorEastAsia"/>
                <w:noProof/>
                <w:color w:val="auto"/>
                <w:sz w:val="22"/>
                <w:szCs w:val="22"/>
                <w:lang w:eastAsia="en-AU"/>
              </w:rPr>
              <w:tab/>
            </w:r>
            <w:r w:rsidR="00EF4444" w:rsidRPr="002972E5">
              <w:rPr>
                <w:rStyle w:val="Hyperlink"/>
                <w:noProof/>
              </w:rPr>
              <w:t>What is the likely impact of each option?</w:t>
            </w:r>
            <w:r w:rsidR="00EF4444">
              <w:rPr>
                <w:noProof/>
                <w:webHidden/>
              </w:rPr>
              <w:tab/>
            </w:r>
            <w:r w:rsidR="00EF4444">
              <w:rPr>
                <w:noProof/>
                <w:webHidden/>
              </w:rPr>
              <w:fldChar w:fldCharType="begin"/>
            </w:r>
            <w:r w:rsidR="00EF4444">
              <w:rPr>
                <w:noProof/>
                <w:webHidden/>
              </w:rPr>
              <w:instrText xml:space="preserve"> PAGEREF _Toc107395329 \h </w:instrText>
            </w:r>
            <w:r w:rsidR="00EF4444">
              <w:rPr>
                <w:noProof/>
                <w:webHidden/>
              </w:rPr>
            </w:r>
            <w:r w:rsidR="00EF4444">
              <w:rPr>
                <w:noProof/>
                <w:webHidden/>
              </w:rPr>
              <w:fldChar w:fldCharType="separate"/>
            </w:r>
            <w:r w:rsidR="007A56E1">
              <w:rPr>
                <w:noProof/>
                <w:webHidden/>
              </w:rPr>
              <w:t>41</w:t>
            </w:r>
            <w:r w:rsidR="00EF4444">
              <w:rPr>
                <w:noProof/>
                <w:webHidden/>
              </w:rPr>
              <w:fldChar w:fldCharType="end"/>
            </w:r>
          </w:hyperlink>
        </w:p>
        <w:p w14:paraId="5064EEE6" w14:textId="7D50F0E7" w:rsidR="00EF4444" w:rsidRDefault="00E26661">
          <w:pPr>
            <w:pStyle w:val="TOC2"/>
            <w:rPr>
              <w:rFonts w:eastAsiaTheme="minorEastAsia"/>
              <w:noProof/>
              <w:color w:val="auto"/>
              <w:sz w:val="22"/>
              <w:szCs w:val="22"/>
              <w:lang w:eastAsia="en-AU"/>
            </w:rPr>
          </w:pPr>
          <w:hyperlink w:anchor="_Toc107395330" w:history="1">
            <w:r w:rsidR="00EF4444" w:rsidRPr="002972E5">
              <w:rPr>
                <w:rStyle w:val="Hyperlink"/>
                <w:noProof/>
              </w:rPr>
              <w:t>6.1</w:t>
            </w:r>
            <w:r w:rsidR="00EF4444">
              <w:rPr>
                <w:rFonts w:eastAsiaTheme="minorEastAsia"/>
                <w:noProof/>
                <w:color w:val="auto"/>
                <w:sz w:val="22"/>
                <w:szCs w:val="22"/>
                <w:lang w:eastAsia="en-AU"/>
              </w:rPr>
              <w:tab/>
            </w:r>
            <w:r w:rsidR="00EF4444" w:rsidRPr="002972E5">
              <w:rPr>
                <w:rStyle w:val="Hyperlink"/>
                <w:noProof/>
              </w:rPr>
              <w:t>Approach to impact analysis</w:t>
            </w:r>
            <w:r w:rsidR="00EF4444">
              <w:rPr>
                <w:noProof/>
                <w:webHidden/>
              </w:rPr>
              <w:tab/>
            </w:r>
            <w:r w:rsidR="00EF4444">
              <w:rPr>
                <w:noProof/>
                <w:webHidden/>
              </w:rPr>
              <w:fldChar w:fldCharType="begin"/>
            </w:r>
            <w:r w:rsidR="00EF4444">
              <w:rPr>
                <w:noProof/>
                <w:webHidden/>
              </w:rPr>
              <w:instrText xml:space="preserve"> PAGEREF _Toc107395330 \h </w:instrText>
            </w:r>
            <w:r w:rsidR="00EF4444">
              <w:rPr>
                <w:noProof/>
                <w:webHidden/>
              </w:rPr>
            </w:r>
            <w:r w:rsidR="00EF4444">
              <w:rPr>
                <w:noProof/>
                <w:webHidden/>
              </w:rPr>
              <w:fldChar w:fldCharType="separate"/>
            </w:r>
            <w:r w:rsidR="007A56E1">
              <w:rPr>
                <w:noProof/>
                <w:webHidden/>
              </w:rPr>
              <w:t>41</w:t>
            </w:r>
            <w:r w:rsidR="00EF4444">
              <w:rPr>
                <w:noProof/>
                <w:webHidden/>
              </w:rPr>
              <w:fldChar w:fldCharType="end"/>
            </w:r>
          </w:hyperlink>
        </w:p>
        <w:p w14:paraId="4B2DBBA1" w14:textId="409A2383" w:rsidR="00EF4444" w:rsidRDefault="00E26661">
          <w:pPr>
            <w:pStyle w:val="TOC2"/>
            <w:rPr>
              <w:rFonts w:eastAsiaTheme="minorEastAsia"/>
              <w:noProof/>
              <w:color w:val="auto"/>
              <w:sz w:val="22"/>
              <w:szCs w:val="22"/>
              <w:lang w:eastAsia="en-AU"/>
            </w:rPr>
          </w:pPr>
          <w:hyperlink w:anchor="_Toc107395331" w:history="1">
            <w:r w:rsidR="00EF4444" w:rsidRPr="002972E5">
              <w:rPr>
                <w:rStyle w:val="Hyperlink"/>
                <w:noProof/>
              </w:rPr>
              <w:t>6.2</w:t>
            </w:r>
            <w:r w:rsidR="00EF4444">
              <w:rPr>
                <w:rFonts w:eastAsiaTheme="minorEastAsia"/>
                <w:noProof/>
                <w:color w:val="auto"/>
                <w:sz w:val="22"/>
                <w:szCs w:val="22"/>
                <w:lang w:eastAsia="en-AU"/>
              </w:rPr>
              <w:tab/>
            </w:r>
            <w:r w:rsidR="00EF4444" w:rsidRPr="002972E5">
              <w:rPr>
                <w:rStyle w:val="Hyperlink"/>
                <w:noProof/>
              </w:rPr>
              <w:t>Criteria development for multicriteria analysis</w:t>
            </w:r>
            <w:r w:rsidR="00EF4444">
              <w:rPr>
                <w:noProof/>
                <w:webHidden/>
              </w:rPr>
              <w:tab/>
            </w:r>
            <w:r w:rsidR="00EF4444">
              <w:rPr>
                <w:noProof/>
                <w:webHidden/>
              </w:rPr>
              <w:fldChar w:fldCharType="begin"/>
            </w:r>
            <w:r w:rsidR="00EF4444">
              <w:rPr>
                <w:noProof/>
                <w:webHidden/>
              </w:rPr>
              <w:instrText xml:space="preserve"> PAGEREF _Toc107395331 \h </w:instrText>
            </w:r>
            <w:r w:rsidR="00EF4444">
              <w:rPr>
                <w:noProof/>
                <w:webHidden/>
              </w:rPr>
            </w:r>
            <w:r w:rsidR="00EF4444">
              <w:rPr>
                <w:noProof/>
                <w:webHidden/>
              </w:rPr>
              <w:fldChar w:fldCharType="separate"/>
            </w:r>
            <w:r w:rsidR="007A56E1">
              <w:rPr>
                <w:noProof/>
                <w:webHidden/>
              </w:rPr>
              <w:t>41</w:t>
            </w:r>
            <w:r w:rsidR="00EF4444">
              <w:rPr>
                <w:noProof/>
                <w:webHidden/>
              </w:rPr>
              <w:fldChar w:fldCharType="end"/>
            </w:r>
          </w:hyperlink>
        </w:p>
        <w:p w14:paraId="3483F3AB" w14:textId="693C60D0" w:rsidR="00EF4444" w:rsidRDefault="00E26661">
          <w:pPr>
            <w:pStyle w:val="TOC2"/>
            <w:rPr>
              <w:rFonts w:eastAsiaTheme="minorEastAsia"/>
              <w:noProof/>
              <w:color w:val="auto"/>
              <w:sz w:val="22"/>
              <w:szCs w:val="22"/>
              <w:lang w:eastAsia="en-AU"/>
            </w:rPr>
          </w:pPr>
          <w:hyperlink w:anchor="_Toc107395332" w:history="1">
            <w:r w:rsidR="00EF4444" w:rsidRPr="002972E5">
              <w:rPr>
                <w:rStyle w:val="Hyperlink"/>
                <w:noProof/>
              </w:rPr>
              <w:t>6.3</w:t>
            </w:r>
            <w:r w:rsidR="00EF4444">
              <w:rPr>
                <w:rFonts w:eastAsiaTheme="minorEastAsia"/>
                <w:noProof/>
                <w:color w:val="auto"/>
                <w:sz w:val="22"/>
                <w:szCs w:val="22"/>
                <w:lang w:eastAsia="en-AU"/>
              </w:rPr>
              <w:tab/>
            </w:r>
            <w:r w:rsidR="00EF4444" w:rsidRPr="002972E5">
              <w:rPr>
                <w:rStyle w:val="Hyperlink"/>
                <w:noProof/>
              </w:rPr>
              <w:t>Defining the additional costs to industry and government</w:t>
            </w:r>
            <w:r w:rsidR="00EF4444">
              <w:rPr>
                <w:noProof/>
                <w:webHidden/>
              </w:rPr>
              <w:tab/>
            </w:r>
            <w:r w:rsidR="00EF4444">
              <w:rPr>
                <w:noProof/>
                <w:webHidden/>
              </w:rPr>
              <w:fldChar w:fldCharType="begin"/>
            </w:r>
            <w:r w:rsidR="00EF4444">
              <w:rPr>
                <w:noProof/>
                <w:webHidden/>
              </w:rPr>
              <w:instrText xml:space="preserve"> PAGEREF _Toc107395332 \h </w:instrText>
            </w:r>
            <w:r w:rsidR="00EF4444">
              <w:rPr>
                <w:noProof/>
                <w:webHidden/>
              </w:rPr>
            </w:r>
            <w:r w:rsidR="00EF4444">
              <w:rPr>
                <w:noProof/>
                <w:webHidden/>
              </w:rPr>
              <w:fldChar w:fldCharType="separate"/>
            </w:r>
            <w:r w:rsidR="007A56E1">
              <w:rPr>
                <w:noProof/>
                <w:webHidden/>
              </w:rPr>
              <w:t>42</w:t>
            </w:r>
            <w:r w:rsidR="00EF4444">
              <w:rPr>
                <w:noProof/>
                <w:webHidden/>
              </w:rPr>
              <w:fldChar w:fldCharType="end"/>
            </w:r>
          </w:hyperlink>
        </w:p>
        <w:p w14:paraId="4527BB57" w14:textId="59ABC939" w:rsidR="00EF4444" w:rsidRDefault="00E26661">
          <w:pPr>
            <w:pStyle w:val="TOC2"/>
            <w:rPr>
              <w:rFonts w:eastAsiaTheme="minorEastAsia"/>
              <w:noProof/>
              <w:color w:val="auto"/>
              <w:sz w:val="22"/>
              <w:szCs w:val="22"/>
              <w:lang w:eastAsia="en-AU"/>
            </w:rPr>
          </w:pPr>
          <w:hyperlink w:anchor="_Toc107395333" w:history="1">
            <w:r w:rsidR="00EF4444" w:rsidRPr="002972E5">
              <w:rPr>
                <w:rStyle w:val="Hyperlink"/>
                <w:noProof/>
              </w:rPr>
              <w:t>6.4</w:t>
            </w:r>
            <w:r w:rsidR="00EF4444">
              <w:rPr>
                <w:rFonts w:eastAsiaTheme="minorEastAsia"/>
                <w:noProof/>
                <w:color w:val="auto"/>
                <w:sz w:val="22"/>
                <w:szCs w:val="22"/>
                <w:lang w:eastAsia="en-AU"/>
              </w:rPr>
              <w:tab/>
            </w:r>
            <w:r w:rsidR="00EF4444" w:rsidRPr="002972E5">
              <w:rPr>
                <w:rStyle w:val="Hyperlink"/>
                <w:noProof/>
              </w:rPr>
              <w:t>Cost of options</w:t>
            </w:r>
            <w:r w:rsidR="00EF4444">
              <w:rPr>
                <w:noProof/>
                <w:webHidden/>
              </w:rPr>
              <w:tab/>
            </w:r>
            <w:r w:rsidR="00EF4444">
              <w:rPr>
                <w:noProof/>
                <w:webHidden/>
              </w:rPr>
              <w:fldChar w:fldCharType="begin"/>
            </w:r>
            <w:r w:rsidR="00EF4444">
              <w:rPr>
                <w:noProof/>
                <w:webHidden/>
              </w:rPr>
              <w:instrText xml:space="preserve"> PAGEREF _Toc107395333 \h </w:instrText>
            </w:r>
            <w:r w:rsidR="00EF4444">
              <w:rPr>
                <w:noProof/>
                <w:webHidden/>
              </w:rPr>
            </w:r>
            <w:r w:rsidR="00EF4444">
              <w:rPr>
                <w:noProof/>
                <w:webHidden/>
              </w:rPr>
              <w:fldChar w:fldCharType="separate"/>
            </w:r>
            <w:r w:rsidR="007A56E1">
              <w:rPr>
                <w:noProof/>
                <w:webHidden/>
              </w:rPr>
              <w:t>43</w:t>
            </w:r>
            <w:r w:rsidR="00EF4444">
              <w:rPr>
                <w:noProof/>
                <w:webHidden/>
              </w:rPr>
              <w:fldChar w:fldCharType="end"/>
            </w:r>
          </w:hyperlink>
        </w:p>
        <w:p w14:paraId="204AD8BE" w14:textId="51442EAF" w:rsidR="00EF4444" w:rsidRDefault="00E26661">
          <w:pPr>
            <w:pStyle w:val="TOC2"/>
            <w:rPr>
              <w:rFonts w:eastAsiaTheme="minorEastAsia"/>
              <w:noProof/>
              <w:color w:val="auto"/>
              <w:sz w:val="22"/>
              <w:szCs w:val="22"/>
              <w:lang w:eastAsia="en-AU"/>
            </w:rPr>
          </w:pPr>
          <w:hyperlink w:anchor="_Toc107395334" w:history="1">
            <w:r w:rsidR="00EF4444" w:rsidRPr="002972E5">
              <w:rPr>
                <w:rStyle w:val="Hyperlink"/>
                <w:noProof/>
              </w:rPr>
              <w:t>6.5</w:t>
            </w:r>
            <w:r w:rsidR="00EF4444">
              <w:rPr>
                <w:rFonts w:eastAsiaTheme="minorEastAsia"/>
                <w:noProof/>
                <w:color w:val="auto"/>
                <w:sz w:val="22"/>
                <w:szCs w:val="22"/>
                <w:lang w:eastAsia="en-AU"/>
              </w:rPr>
              <w:tab/>
            </w:r>
            <w:r w:rsidR="00EF4444" w:rsidRPr="002972E5">
              <w:rPr>
                <w:rStyle w:val="Hyperlink"/>
                <w:noProof/>
              </w:rPr>
              <w:t>Effectiveness</w:t>
            </w:r>
            <w:r w:rsidR="00EF4444">
              <w:rPr>
                <w:noProof/>
                <w:webHidden/>
              </w:rPr>
              <w:tab/>
            </w:r>
            <w:r w:rsidR="00EF4444">
              <w:rPr>
                <w:noProof/>
                <w:webHidden/>
              </w:rPr>
              <w:fldChar w:fldCharType="begin"/>
            </w:r>
            <w:r w:rsidR="00EF4444">
              <w:rPr>
                <w:noProof/>
                <w:webHidden/>
              </w:rPr>
              <w:instrText xml:space="preserve"> PAGEREF _Toc107395334 \h </w:instrText>
            </w:r>
            <w:r w:rsidR="00EF4444">
              <w:rPr>
                <w:noProof/>
                <w:webHidden/>
              </w:rPr>
            </w:r>
            <w:r w:rsidR="00EF4444">
              <w:rPr>
                <w:noProof/>
                <w:webHidden/>
              </w:rPr>
              <w:fldChar w:fldCharType="separate"/>
            </w:r>
            <w:r w:rsidR="007A56E1">
              <w:rPr>
                <w:noProof/>
                <w:webHidden/>
              </w:rPr>
              <w:t>47</w:t>
            </w:r>
            <w:r w:rsidR="00EF4444">
              <w:rPr>
                <w:noProof/>
                <w:webHidden/>
              </w:rPr>
              <w:fldChar w:fldCharType="end"/>
            </w:r>
          </w:hyperlink>
        </w:p>
        <w:p w14:paraId="7269A638" w14:textId="3F368FCC" w:rsidR="00EF4444" w:rsidRDefault="00E26661">
          <w:pPr>
            <w:pStyle w:val="TOC2"/>
            <w:rPr>
              <w:rFonts w:eastAsiaTheme="minorEastAsia"/>
              <w:noProof/>
              <w:color w:val="auto"/>
              <w:sz w:val="22"/>
              <w:szCs w:val="22"/>
              <w:lang w:eastAsia="en-AU"/>
            </w:rPr>
          </w:pPr>
          <w:hyperlink w:anchor="_Toc107395335" w:history="1">
            <w:r w:rsidR="00EF4444" w:rsidRPr="002972E5">
              <w:rPr>
                <w:rStyle w:val="Hyperlink"/>
                <w:noProof/>
              </w:rPr>
              <w:t>6.6</w:t>
            </w:r>
            <w:r w:rsidR="00EF4444">
              <w:rPr>
                <w:rFonts w:eastAsiaTheme="minorEastAsia"/>
                <w:noProof/>
                <w:color w:val="auto"/>
                <w:sz w:val="22"/>
                <w:szCs w:val="22"/>
                <w:lang w:eastAsia="en-AU"/>
              </w:rPr>
              <w:tab/>
            </w:r>
            <w:r w:rsidR="00EF4444" w:rsidRPr="002972E5">
              <w:rPr>
                <w:rStyle w:val="Hyperlink"/>
                <w:noProof/>
              </w:rPr>
              <w:t>Benefits assessment</w:t>
            </w:r>
            <w:r w:rsidR="00EF4444">
              <w:rPr>
                <w:noProof/>
                <w:webHidden/>
              </w:rPr>
              <w:tab/>
            </w:r>
            <w:r w:rsidR="00EF4444">
              <w:rPr>
                <w:noProof/>
                <w:webHidden/>
              </w:rPr>
              <w:fldChar w:fldCharType="begin"/>
            </w:r>
            <w:r w:rsidR="00EF4444">
              <w:rPr>
                <w:noProof/>
                <w:webHidden/>
              </w:rPr>
              <w:instrText xml:space="preserve"> PAGEREF _Toc107395335 \h </w:instrText>
            </w:r>
            <w:r w:rsidR="00EF4444">
              <w:rPr>
                <w:noProof/>
                <w:webHidden/>
              </w:rPr>
            </w:r>
            <w:r w:rsidR="00EF4444">
              <w:rPr>
                <w:noProof/>
                <w:webHidden/>
              </w:rPr>
              <w:fldChar w:fldCharType="separate"/>
            </w:r>
            <w:r w:rsidR="007A56E1">
              <w:rPr>
                <w:noProof/>
                <w:webHidden/>
              </w:rPr>
              <w:t>50</w:t>
            </w:r>
            <w:r w:rsidR="00EF4444">
              <w:rPr>
                <w:noProof/>
                <w:webHidden/>
              </w:rPr>
              <w:fldChar w:fldCharType="end"/>
            </w:r>
          </w:hyperlink>
        </w:p>
        <w:p w14:paraId="5A1AB132" w14:textId="04093B8F" w:rsidR="00EF4444" w:rsidRDefault="00E26661">
          <w:pPr>
            <w:pStyle w:val="TOC2"/>
            <w:rPr>
              <w:rFonts w:eastAsiaTheme="minorEastAsia"/>
              <w:noProof/>
              <w:color w:val="auto"/>
              <w:sz w:val="22"/>
              <w:szCs w:val="22"/>
              <w:lang w:eastAsia="en-AU"/>
            </w:rPr>
          </w:pPr>
          <w:hyperlink w:anchor="_Toc107395336" w:history="1">
            <w:r w:rsidR="00EF4444" w:rsidRPr="002972E5">
              <w:rPr>
                <w:rStyle w:val="Hyperlink"/>
                <w:noProof/>
              </w:rPr>
              <w:t>6.7</w:t>
            </w:r>
            <w:r w:rsidR="00EF4444">
              <w:rPr>
                <w:rFonts w:eastAsiaTheme="minorEastAsia"/>
                <w:noProof/>
                <w:color w:val="auto"/>
                <w:sz w:val="22"/>
                <w:szCs w:val="22"/>
                <w:lang w:eastAsia="en-AU"/>
              </w:rPr>
              <w:tab/>
            </w:r>
            <w:r w:rsidR="00EF4444" w:rsidRPr="002972E5">
              <w:rPr>
                <w:rStyle w:val="Hyperlink"/>
                <w:noProof/>
              </w:rPr>
              <w:t>Breakeven analysis</w:t>
            </w:r>
            <w:r w:rsidR="00EF4444">
              <w:rPr>
                <w:noProof/>
                <w:webHidden/>
              </w:rPr>
              <w:tab/>
            </w:r>
            <w:r w:rsidR="00EF4444">
              <w:rPr>
                <w:noProof/>
                <w:webHidden/>
              </w:rPr>
              <w:fldChar w:fldCharType="begin"/>
            </w:r>
            <w:r w:rsidR="00EF4444">
              <w:rPr>
                <w:noProof/>
                <w:webHidden/>
              </w:rPr>
              <w:instrText xml:space="preserve"> PAGEREF _Toc107395336 \h </w:instrText>
            </w:r>
            <w:r w:rsidR="00EF4444">
              <w:rPr>
                <w:noProof/>
                <w:webHidden/>
              </w:rPr>
            </w:r>
            <w:r w:rsidR="00EF4444">
              <w:rPr>
                <w:noProof/>
                <w:webHidden/>
              </w:rPr>
              <w:fldChar w:fldCharType="separate"/>
            </w:r>
            <w:r w:rsidR="007A56E1">
              <w:rPr>
                <w:noProof/>
                <w:webHidden/>
              </w:rPr>
              <w:t>51</w:t>
            </w:r>
            <w:r w:rsidR="00EF4444">
              <w:rPr>
                <w:noProof/>
                <w:webHidden/>
              </w:rPr>
              <w:fldChar w:fldCharType="end"/>
            </w:r>
          </w:hyperlink>
        </w:p>
        <w:p w14:paraId="4D0CB8EF" w14:textId="09B2E634" w:rsidR="00EF4444" w:rsidRDefault="00E26661">
          <w:pPr>
            <w:pStyle w:val="TOC2"/>
            <w:rPr>
              <w:rFonts w:eastAsiaTheme="minorEastAsia"/>
              <w:noProof/>
              <w:color w:val="auto"/>
              <w:sz w:val="22"/>
              <w:szCs w:val="22"/>
              <w:lang w:eastAsia="en-AU"/>
            </w:rPr>
          </w:pPr>
          <w:hyperlink w:anchor="_Toc107395337" w:history="1">
            <w:r w:rsidR="00EF4444" w:rsidRPr="002972E5">
              <w:rPr>
                <w:rStyle w:val="Hyperlink"/>
                <w:noProof/>
              </w:rPr>
              <w:t>6.8</w:t>
            </w:r>
            <w:r w:rsidR="00EF4444">
              <w:rPr>
                <w:rFonts w:eastAsiaTheme="minorEastAsia"/>
                <w:noProof/>
                <w:color w:val="auto"/>
                <w:sz w:val="22"/>
                <w:szCs w:val="22"/>
                <w:lang w:eastAsia="en-AU"/>
              </w:rPr>
              <w:tab/>
            </w:r>
            <w:r w:rsidR="00EF4444" w:rsidRPr="002972E5">
              <w:rPr>
                <w:rStyle w:val="Hyperlink"/>
                <w:noProof/>
              </w:rPr>
              <w:t>Consultation questions</w:t>
            </w:r>
            <w:r w:rsidR="00EF4444">
              <w:rPr>
                <w:noProof/>
                <w:webHidden/>
              </w:rPr>
              <w:tab/>
            </w:r>
            <w:r w:rsidR="00EF4444">
              <w:rPr>
                <w:noProof/>
                <w:webHidden/>
              </w:rPr>
              <w:fldChar w:fldCharType="begin"/>
            </w:r>
            <w:r w:rsidR="00EF4444">
              <w:rPr>
                <w:noProof/>
                <w:webHidden/>
              </w:rPr>
              <w:instrText xml:space="preserve"> PAGEREF _Toc107395337 \h </w:instrText>
            </w:r>
            <w:r w:rsidR="00EF4444">
              <w:rPr>
                <w:noProof/>
                <w:webHidden/>
              </w:rPr>
            </w:r>
            <w:r w:rsidR="00EF4444">
              <w:rPr>
                <w:noProof/>
                <w:webHidden/>
              </w:rPr>
              <w:fldChar w:fldCharType="separate"/>
            </w:r>
            <w:r w:rsidR="007A56E1">
              <w:rPr>
                <w:noProof/>
                <w:webHidden/>
              </w:rPr>
              <w:t>52</w:t>
            </w:r>
            <w:r w:rsidR="00EF4444">
              <w:rPr>
                <w:noProof/>
                <w:webHidden/>
              </w:rPr>
              <w:fldChar w:fldCharType="end"/>
            </w:r>
          </w:hyperlink>
        </w:p>
        <w:p w14:paraId="7C1F86A2" w14:textId="4671503C" w:rsidR="00EF4444" w:rsidRDefault="00E26661">
          <w:pPr>
            <w:pStyle w:val="TOC1"/>
            <w:tabs>
              <w:tab w:val="left" w:pos="400"/>
            </w:tabs>
            <w:rPr>
              <w:rFonts w:eastAsiaTheme="minorEastAsia"/>
              <w:noProof/>
              <w:color w:val="auto"/>
              <w:sz w:val="22"/>
              <w:szCs w:val="22"/>
              <w:lang w:eastAsia="en-AU"/>
            </w:rPr>
          </w:pPr>
          <w:hyperlink w:anchor="_Toc107395338" w:history="1">
            <w:r w:rsidR="00EF4444" w:rsidRPr="002972E5">
              <w:rPr>
                <w:rStyle w:val="Hyperlink"/>
                <w:noProof/>
              </w:rPr>
              <w:t>7</w:t>
            </w:r>
            <w:r w:rsidR="00EF4444">
              <w:rPr>
                <w:rFonts w:eastAsiaTheme="minorEastAsia"/>
                <w:noProof/>
                <w:color w:val="auto"/>
                <w:sz w:val="22"/>
                <w:szCs w:val="22"/>
                <w:lang w:eastAsia="en-AU"/>
              </w:rPr>
              <w:tab/>
            </w:r>
            <w:r w:rsidR="00EF4444" w:rsidRPr="002972E5">
              <w:rPr>
                <w:rStyle w:val="Hyperlink"/>
                <w:noProof/>
              </w:rPr>
              <w:t>Discussion of options</w:t>
            </w:r>
            <w:r w:rsidR="00EF4444">
              <w:rPr>
                <w:noProof/>
                <w:webHidden/>
              </w:rPr>
              <w:tab/>
            </w:r>
            <w:r w:rsidR="00EF4444">
              <w:rPr>
                <w:noProof/>
                <w:webHidden/>
              </w:rPr>
              <w:fldChar w:fldCharType="begin"/>
            </w:r>
            <w:r w:rsidR="00EF4444">
              <w:rPr>
                <w:noProof/>
                <w:webHidden/>
              </w:rPr>
              <w:instrText xml:space="preserve"> PAGEREF _Toc107395338 \h </w:instrText>
            </w:r>
            <w:r w:rsidR="00EF4444">
              <w:rPr>
                <w:noProof/>
                <w:webHidden/>
              </w:rPr>
            </w:r>
            <w:r w:rsidR="00EF4444">
              <w:rPr>
                <w:noProof/>
                <w:webHidden/>
              </w:rPr>
              <w:fldChar w:fldCharType="separate"/>
            </w:r>
            <w:r w:rsidR="007A56E1">
              <w:rPr>
                <w:noProof/>
                <w:webHidden/>
              </w:rPr>
              <w:t>53</w:t>
            </w:r>
            <w:r w:rsidR="00EF4444">
              <w:rPr>
                <w:noProof/>
                <w:webHidden/>
              </w:rPr>
              <w:fldChar w:fldCharType="end"/>
            </w:r>
          </w:hyperlink>
        </w:p>
        <w:p w14:paraId="607CDE93" w14:textId="58C0D5F8" w:rsidR="00EF4444" w:rsidRDefault="00E26661">
          <w:pPr>
            <w:pStyle w:val="TOC2"/>
            <w:rPr>
              <w:rFonts w:eastAsiaTheme="minorEastAsia"/>
              <w:noProof/>
              <w:color w:val="auto"/>
              <w:sz w:val="22"/>
              <w:szCs w:val="22"/>
              <w:lang w:eastAsia="en-AU"/>
            </w:rPr>
          </w:pPr>
          <w:hyperlink w:anchor="_Toc107395339" w:history="1">
            <w:r w:rsidR="00EF4444" w:rsidRPr="002972E5">
              <w:rPr>
                <w:rStyle w:val="Hyperlink"/>
                <w:noProof/>
              </w:rPr>
              <w:t>7.1</w:t>
            </w:r>
            <w:r w:rsidR="00EF4444">
              <w:rPr>
                <w:rFonts w:eastAsiaTheme="minorEastAsia"/>
                <w:noProof/>
                <w:color w:val="auto"/>
                <w:sz w:val="22"/>
                <w:szCs w:val="22"/>
                <w:lang w:eastAsia="en-AU"/>
              </w:rPr>
              <w:tab/>
            </w:r>
            <w:r w:rsidR="00EF4444" w:rsidRPr="002972E5">
              <w:rPr>
                <w:rStyle w:val="Hyperlink"/>
                <w:noProof/>
              </w:rPr>
              <w:t>Option 1: Base case</w:t>
            </w:r>
            <w:r w:rsidR="00EF4444">
              <w:rPr>
                <w:noProof/>
                <w:webHidden/>
              </w:rPr>
              <w:tab/>
            </w:r>
            <w:r w:rsidR="00EF4444">
              <w:rPr>
                <w:noProof/>
                <w:webHidden/>
              </w:rPr>
              <w:fldChar w:fldCharType="begin"/>
            </w:r>
            <w:r w:rsidR="00EF4444">
              <w:rPr>
                <w:noProof/>
                <w:webHidden/>
              </w:rPr>
              <w:instrText xml:space="preserve"> PAGEREF _Toc107395339 \h </w:instrText>
            </w:r>
            <w:r w:rsidR="00EF4444">
              <w:rPr>
                <w:noProof/>
                <w:webHidden/>
              </w:rPr>
            </w:r>
            <w:r w:rsidR="00EF4444">
              <w:rPr>
                <w:noProof/>
                <w:webHidden/>
              </w:rPr>
              <w:fldChar w:fldCharType="separate"/>
            </w:r>
            <w:r w:rsidR="007A56E1">
              <w:rPr>
                <w:noProof/>
                <w:webHidden/>
              </w:rPr>
              <w:t>53</w:t>
            </w:r>
            <w:r w:rsidR="00EF4444">
              <w:rPr>
                <w:noProof/>
                <w:webHidden/>
              </w:rPr>
              <w:fldChar w:fldCharType="end"/>
            </w:r>
          </w:hyperlink>
        </w:p>
        <w:p w14:paraId="317392A2" w14:textId="63055902" w:rsidR="00EF4444" w:rsidRDefault="00E26661">
          <w:pPr>
            <w:pStyle w:val="TOC2"/>
            <w:rPr>
              <w:rFonts w:eastAsiaTheme="minorEastAsia"/>
              <w:noProof/>
              <w:color w:val="auto"/>
              <w:sz w:val="22"/>
              <w:szCs w:val="22"/>
              <w:lang w:eastAsia="en-AU"/>
            </w:rPr>
          </w:pPr>
          <w:hyperlink w:anchor="_Toc107395340" w:history="1">
            <w:r w:rsidR="00EF4444" w:rsidRPr="002972E5">
              <w:rPr>
                <w:rStyle w:val="Hyperlink"/>
                <w:noProof/>
              </w:rPr>
              <w:t>7.2</w:t>
            </w:r>
            <w:r w:rsidR="00EF4444">
              <w:rPr>
                <w:rFonts w:eastAsiaTheme="minorEastAsia"/>
                <w:noProof/>
                <w:color w:val="auto"/>
                <w:sz w:val="22"/>
                <w:szCs w:val="22"/>
                <w:lang w:eastAsia="en-AU"/>
              </w:rPr>
              <w:tab/>
            </w:r>
            <w:r w:rsidR="00EF4444" w:rsidRPr="002972E5">
              <w:rPr>
                <w:rStyle w:val="Hyperlink"/>
                <w:noProof/>
              </w:rPr>
              <w:t>Option 2: National awareness and behaviour change initiatives to minimise the risks of RCS exposure</w:t>
            </w:r>
            <w:r w:rsidR="00EF4444">
              <w:rPr>
                <w:noProof/>
                <w:webHidden/>
              </w:rPr>
              <w:tab/>
            </w:r>
            <w:r w:rsidR="00EF4444">
              <w:rPr>
                <w:noProof/>
                <w:webHidden/>
              </w:rPr>
              <w:fldChar w:fldCharType="begin"/>
            </w:r>
            <w:r w:rsidR="00EF4444">
              <w:rPr>
                <w:noProof/>
                <w:webHidden/>
              </w:rPr>
              <w:instrText xml:space="preserve"> PAGEREF _Toc107395340 \h </w:instrText>
            </w:r>
            <w:r w:rsidR="00EF4444">
              <w:rPr>
                <w:noProof/>
                <w:webHidden/>
              </w:rPr>
            </w:r>
            <w:r w:rsidR="00EF4444">
              <w:rPr>
                <w:noProof/>
                <w:webHidden/>
              </w:rPr>
              <w:fldChar w:fldCharType="separate"/>
            </w:r>
            <w:r w:rsidR="007A56E1">
              <w:rPr>
                <w:noProof/>
                <w:webHidden/>
              </w:rPr>
              <w:t>53</w:t>
            </w:r>
            <w:r w:rsidR="00EF4444">
              <w:rPr>
                <w:noProof/>
                <w:webHidden/>
              </w:rPr>
              <w:fldChar w:fldCharType="end"/>
            </w:r>
          </w:hyperlink>
        </w:p>
        <w:p w14:paraId="39CD138A" w14:textId="7E551A3D" w:rsidR="00EF4444" w:rsidRDefault="00E26661">
          <w:pPr>
            <w:pStyle w:val="TOC2"/>
            <w:rPr>
              <w:rFonts w:eastAsiaTheme="minorEastAsia"/>
              <w:noProof/>
              <w:color w:val="auto"/>
              <w:sz w:val="22"/>
              <w:szCs w:val="22"/>
              <w:lang w:eastAsia="en-AU"/>
            </w:rPr>
          </w:pPr>
          <w:hyperlink w:anchor="_Toc107395341" w:history="1">
            <w:r w:rsidR="00EF4444" w:rsidRPr="002972E5">
              <w:rPr>
                <w:rStyle w:val="Hyperlink"/>
                <w:noProof/>
              </w:rPr>
              <w:t>7.3</w:t>
            </w:r>
            <w:r w:rsidR="00EF4444">
              <w:rPr>
                <w:rFonts w:eastAsiaTheme="minorEastAsia"/>
                <w:noProof/>
                <w:color w:val="auto"/>
                <w:sz w:val="22"/>
                <w:szCs w:val="22"/>
                <w:lang w:eastAsia="en-AU"/>
              </w:rPr>
              <w:tab/>
            </w:r>
            <w:r w:rsidR="00EF4444" w:rsidRPr="002972E5">
              <w:rPr>
                <w:rStyle w:val="Hyperlink"/>
                <w:noProof/>
              </w:rPr>
              <w:t>Option 3: Clarifying the existing requirements of the model WHS laws for high risk silica processes</w:t>
            </w:r>
            <w:r w:rsidR="00EF4444">
              <w:rPr>
                <w:noProof/>
                <w:webHidden/>
              </w:rPr>
              <w:tab/>
            </w:r>
            <w:r w:rsidR="00EF4444">
              <w:rPr>
                <w:noProof/>
                <w:webHidden/>
              </w:rPr>
              <w:fldChar w:fldCharType="begin"/>
            </w:r>
            <w:r w:rsidR="00EF4444">
              <w:rPr>
                <w:noProof/>
                <w:webHidden/>
              </w:rPr>
              <w:instrText xml:space="preserve"> PAGEREF _Toc107395341 \h </w:instrText>
            </w:r>
            <w:r w:rsidR="00EF4444">
              <w:rPr>
                <w:noProof/>
                <w:webHidden/>
              </w:rPr>
            </w:r>
            <w:r w:rsidR="00EF4444">
              <w:rPr>
                <w:noProof/>
                <w:webHidden/>
              </w:rPr>
              <w:fldChar w:fldCharType="separate"/>
            </w:r>
            <w:r w:rsidR="007A56E1">
              <w:rPr>
                <w:noProof/>
                <w:webHidden/>
              </w:rPr>
              <w:t>53</w:t>
            </w:r>
            <w:r w:rsidR="00EF4444">
              <w:rPr>
                <w:noProof/>
                <w:webHidden/>
              </w:rPr>
              <w:fldChar w:fldCharType="end"/>
            </w:r>
          </w:hyperlink>
        </w:p>
        <w:p w14:paraId="0B7361F0" w14:textId="2390216B" w:rsidR="00EF4444" w:rsidRDefault="00E26661">
          <w:pPr>
            <w:pStyle w:val="TOC2"/>
            <w:rPr>
              <w:rFonts w:eastAsiaTheme="minorEastAsia"/>
              <w:noProof/>
              <w:color w:val="auto"/>
              <w:sz w:val="22"/>
              <w:szCs w:val="22"/>
              <w:lang w:eastAsia="en-AU"/>
            </w:rPr>
          </w:pPr>
          <w:hyperlink w:anchor="_Toc107395342" w:history="1">
            <w:r w:rsidR="00EF4444" w:rsidRPr="002972E5">
              <w:rPr>
                <w:rStyle w:val="Hyperlink"/>
                <w:noProof/>
              </w:rPr>
              <w:t>7.4</w:t>
            </w:r>
            <w:r w:rsidR="00EF4444">
              <w:rPr>
                <w:rFonts w:eastAsiaTheme="minorEastAsia"/>
                <w:noProof/>
                <w:color w:val="auto"/>
                <w:sz w:val="22"/>
                <w:szCs w:val="22"/>
                <w:lang w:eastAsia="en-AU"/>
              </w:rPr>
              <w:tab/>
            </w:r>
            <w:r w:rsidR="00EF4444" w:rsidRPr="002972E5">
              <w:rPr>
                <w:rStyle w:val="Hyperlink"/>
                <w:noProof/>
              </w:rPr>
              <w:t>Option 4: Implementation of a national licensing framework for PCBUs working with engineered stone</w:t>
            </w:r>
            <w:r w:rsidR="00EF4444">
              <w:rPr>
                <w:noProof/>
                <w:webHidden/>
              </w:rPr>
              <w:tab/>
            </w:r>
            <w:r w:rsidR="00EF4444">
              <w:rPr>
                <w:noProof/>
                <w:webHidden/>
              </w:rPr>
              <w:fldChar w:fldCharType="begin"/>
            </w:r>
            <w:r w:rsidR="00EF4444">
              <w:rPr>
                <w:noProof/>
                <w:webHidden/>
              </w:rPr>
              <w:instrText xml:space="preserve"> PAGEREF _Toc107395342 \h </w:instrText>
            </w:r>
            <w:r w:rsidR="00EF4444">
              <w:rPr>
                <w:noProof/>
                <w:webHidden/>
              </w:rPr>
            </w:r>
            <w:r w:rsidR="00EF4444">
              <w:rPr>
                <w:noProof/>
                <w:webHidden/>
              </w:rPr>
              <w:fldChar w:fldCharType="separate"/>
            </w:r>
            <w:r w:rsidR="007A56E1">
              <w:rPr>
                <w:noProof/>
                <w:webHidden/>
              </w:rPr>
              <w:t>54</w:t>
            </w:r>
            <w:r w:rsidR="00EF4444">
              <w:rPr>
                <w:noProof/>
                <w:webHidden/>
              </w:rPr>
              <w:fldChar w:fldCharType="end"/>
            </w:r>
          </w:hyperlink>
        </w:p>
        <w:p w14:paraId="6480EEA1" w14:textId="2DC8282F" w:rsidR="00EF4444" w:rsidRDefault="00E26661">
          <w:pPr>
            <w:pStyle w:val="TOC2"/>
            <w:rPr>
              <w:rFonts w:eastAsiaTheme="minorEastAsia"/>
              <w:noProof/>
              <w:color w:val="auto"/>
              <w:sz w:val="22"/>
              <w:szCs w:val="22"/>
              <w:lang w:eastAsia="en-AU"/>
            </w:rPr>
          </w:pPr>
          <w:hyperlink w:anchor="_Toc107395343" w:history="1">
            <w:r w:rsidR="00EF4444" w:rsidRPr="002972E5">
              <w:rPr>
                <w:rStyle w:val="Hyperlink"/>
                <w:noProof/>
              </w:rPr>
              <w:t>7.5</w:t>
            </w:r>
            <w:r w:rsidR="00EF4444">
              <w:rPr>
                <w:rFonts w:eastAsiaTheme="minorEastAsia"/>
                <w:noProof/>
                <w:color w:val="auto"/>
                <w:sz w:val="22"/>
                <w:szCs w:val="22"/>
                <w:lang w:eastAsia="en-AU"/>
              </w:rPr>
              <w:tab/>
            </w:r>
            <w:r w:rsidR="00EF4444" w:rsidRPr="002972E5">
              <w:rPr>
                <w:rStyle w:val="Hyperlink"/>
                <w:noProof/>
              </w:rPr>
              <w:t>Options 5a and 5b: Additional regulation of high risk crystalline silica processes</w:t>
            </w:r>
            <w:r w:rsidR="00EF4444">
              <w:rPr>
                <w:noProof/>
                <w:webHidden/>
              </w:rPr>
              <w:tab/>
            </w:r>
            <w:r w:rsidR="00EF4444">
              <w:rPr>
                <w:noProof/>
                <w:webHidden/>
              </w:rPr>
              <w:fldChar w:fldCharType="begin"/>
            </w:r>
            <w:r w:rsidR="00EF4444">
              <w:rPr>
                <w:noProof/>
                <w:webHidden/>
              </w:rPr>
              <w:instrText xml:space="preserve"> PAGEREF _Toc107395343 \h </w:instrText>
            </w:r>
            <w:r w:rsidR="00EF4444">
              <w:rPr>
                <w:noProof/>
                <w:webHidden/>
              </w:rPr>
            </w:r>
            <w:r w:rsidR="00EF4444">
              <w:rPr>
                <w:noProof/>
                <w:webHidden/>
              </w:rPr>
              <w:fldChar w:fldCharType="separate"/>
            </w:r>
            <w:r w:rsidR="007A56E1">
              <w:rPr>
                <w:noProof/>
                <w:webHidden/>
              </w:rPr>
              <w:t>55</w:t>
            </w:r>
            <w:r w:rsidR="00EF4444">
              <w:rPr>
                <w:noProof/>
                <w:webHidden/>
              </w:rPr>
              <w:fldChar w:fldCharType="end"/>
            </w:r>
          </w:hyperlink>
        </w:p>
        <w:p w14:paraId="414F8A67" w14:textId="7330B2DA" w:rsidR="00EF4444" w:rsidRDefault="00E26661">
          <w:pPr>
            <w:pStyle w:val="TOC2"/>
            <w:rPr>
              <w:rFonts w:eastAsiaTheme="minorEastAsia"/>
              <w:noProof/>
              <w:color w:val="auto"/>
              <w:sz w:val="22"/>
              <w:szCs w:val="22"/>
              <w:lang w:eastAsia="en-AU"/>
            </w:rPr>
          </w:pPr>
          <w:hyperlink w:anchor="_Toc107395344" w:history="1">
            <w:r w:rsidR="00EF4444" w:rsidRPr="002972E5">
              <w:rPr>
                <w:rStyle w:val="Hyperlink"/>
                <w:noProof/>
              </w:rPr>
              <w:t>7.6</w:t>
            </w:r>
            <w:r w:rsidR="00EF4444">
              <w:rPr>
                <w:rFonts w:eastAsiaTheme="minorEastAsia"/>
                <w:noProof/>
                <w:color w:val="auto"/>
                <w:sz w:val="22"/>
                <w:szCs w:val="22"/>
                <w:lang w:eastAsia="en-AU"/>
              </w:rPr>
              <w:tab/>
            </w:r>
            <w:r w:rsidR="00EF4444" w:rsidRPr="002972E5">
              <w:rPr>
                <w:rStyle w:val="Hyperlink"/>
                <w:noProof/>
              </w:rPr>
              <w:t>Combinations of options</w:t>
            </w:r>
            <w:r w:rsidR="00EF4444">
              <w:rPr>
                <w:noProof/>
                <w:webHidden/>
              </w:rPr>
              <w:tab/>
            </w:r>
            <w:r w:rsidR="00EF4444">
              <w:rPr>
                <w:noProof/>
                <w:webHidden/>
              </w:rPr>
              <w:fldChar w:fldCharType="begin"/>
            </w:r>
            <w:r w:rsidR="00EF4444">
              <w:rPr>
                <w:noProof/>
                <w:webHidden/>
              </w:rPr>
              <w:instrText xml:space="preserve"> PAGEREF _Toc107395344 \h </w:instrText>
            </w:r>
            <w:r w:rsidR="00EF4444">
              <w:rPr>
                <w:noProof/>
                <w:webHidden/>
              </w:rPr>
            </w:r>
            <w:r w:rsidR="00EF4444">
              <w:rPr>
                <w:noProof/>
                <w:webHidden/>
              </w:rPr>
              <w:fldChar w:fldCharType="separate"/>
            </w:r>
            <w:r w:rsidR="007A56E1">
              <w:rPr>
                <w:noProof/>
                <w:webHidden/>
              </w:rPr>
              <w:t>55</w:t>
            </w:r>
            <w:r w:rsidR="00EF4444">
              <w:rPr>
                <w:noProof/>
                <w:webHidden/>
              </w:rPr>
              <w:fldChar w:fldCharType="end"/>
            </w:r>
          </w:hyperlink>
        </w:p>
        <w:p w14:paraId="237D6B2F" w14:textId="734B0C5A" w:rsidR="00EF4444" w:rsidRDefault="00E26661">
          <w:pPr>
            <w:pStyle w:val="TOC2"/>
            <w:rPr>
              <w:rFonts w:eastAsiaTheme="minorEastAsia"/>
              <w:noProof/>
              <w:color w:val="auto"/>
              <w:sz w:val="22"/>
              <w:szCs w:val="22"/>
              <w:lang w:eastAsia="en-AU"/>
            </w:rPr>
          </w:pPr>
          <w:hyperlink w:anchor="_Toc107395345" w:history="1">
            <w:r w:rsidR="00EF4444" w:rsidRPr="002972E5">
              <w:rPr>
                <w:rStyle w:val="Hyperlink"/>
                <w:noProof/>
              </w:rPr>
              <w:t>7.7</w:t>
            </w:r>
            <w:r w:rsidR="00EF4444">
              <w:rPr>
                <w:rFonts w:eastAsiaTheme="minorEastAsia"/>
                <w:noProof/>
                <w:color w:val="auto"/>
                <w:sz w:val="22"/>
                <w:szCs w:val="22"/>
                <w:lang w:eastAsia="en-AU"/>
              </w:rPr>
              <w:tab/>
            </w:r>
            <w:r w:rsidR="00EF4444" w:rsidRPr="002972E5">
              <w:rPr>
                <w:rStyle w:val="Hyperlink"/>
                <w:noProof/>
              </w:rPr>
              <w:t>Consultation questions</w:t>
            </w:r>
            <w:r w:rsidR="00EF4444">
              <w:rPr>
                <w:noProof/>
                <w:webHidden/>
              </w:rPr>
              <w:tab/>
            </w:r>
            <w:r w:rsidR="00EF4444">
              <w:rPr>
                <w:noProof/>
                <w:webHidden/>
              </w:rPr>
              <w:fldChar w:fldCharType="begin"/>
            </w:r>
            <w:r w:rsidR="00EF4444">
              <w:rPr>
                <w:noProof/>
                <w:webHidden/>
              </w:rPr>
              <w:instrText xml:space="preserve"> PAGEREF _Toc107395345 \h </w:instrText>
            </w:r>
            <w:r w:rsidR="00EF4444">
              <w:rPr>
                <w:noProof/>
                <w:webHidden/>
              </w:rPr>
            </w:r>
            <w:r w:rsidR="00EF4444">
              <w:rPr>
                <w:noProof/>
                <w:webHidden/>
              </w:rPr>
              <w:fldChar w:fldCharType="separate"/>
            </w:r>
            <w:r w:rsidR="007A56E1">
              <w:rPr>
                <w:noProof/>
                <w:webHidden/>
              </w:rPr>
              <w:t>56</w:t>
            </w:r>
            <w:r w:rsidR="00EF4444">
              <w:rPr>
                <w:noProof/>
                <w:webHidden/>
              </w:rPr>
              <w:fldChar w:fldCharType="end"/>
            </w:r>
          </w:hyperlink>
        </w:p>
        <w:p w14:paraId="1D85B4C8" w14:textId="4388E6AE" w:rsidR="00EF4444" w:rsidRDefault="00E26661">
          <w:pPr>
            <w:pStyle w:val="TOC1"/>
            <w:tabs>
              <w:tab w:val="left" w:pos="400"/>
            </w:tabs>
            <w:rPr>
              <w:rFonts w:eastAsiaTheme="minorEastAsia"/>
              <w:noProof/>
              <w:color w:val="auto"/>
              <w:sz w:val="22"/>
              <w:szCs w:val="22"/>
              <w:lang w:eastAsia="en-AU"/>
            </w:rPr>
          </w:pPr>
          <w:hyperlink w:anchor="_Toc107395346" w:history="1">
            <w:r w:rsidR="00EF4444" w:rsidRPr="002972E5">
              <w:rPr>
                <w:rStyle w:val="Hyperlink"/>
                <w:noProof/>
              </w:rPr>
              <w:t>8</w:t>
            </w:r>
            <w:r w:rsidR="00EF4444">
              <w:rPr>
                <w:rFonts w:eastAsiaTheme="minorEastAsia"/>
                <w:noProof/>
                <w:color w:val="auto"/>
                <w:sz w:val="22"/>
                <w:szCs w:val="22"/>
                <w:lang w:eastAsia="en-AU"/>
              </w:rPr>
              <w:tab/>
            </w:r>
            <w:r w:rsidR="00EF4444" w:rsidRPr="002972E5">
              <w:rPr>
                <w:rStyle w:val="Hyperlink"/>
                <w:noProof/>
              </w:rPr>
              <w:t>Consultation plan</w:t>
            </w:r>
            <w:r w:rsidR="00EF4444">
              <w:rPr>
                <w:noProof/>
                <w:webHidden/>
              </w:rPr>
              <w:tab/>
            </w:r>
            <w:r w:rsidR="00EF4444">
              <w:rPr>
                <w:noProof/>
                <w:webHidden/>
              </w:rPr>
              <w:fldChar w:fldCharType="begin"/>
            </w:r>
            <w:r w:rsidR="00EF4444">
              <w:rPr>
                <w:noProof/>
                <w:webHidden/>
              </w:rPr>
              <w:instrText xml:space="preserve"> PAGEREF _Toc107395346 \h </w:instrText>
            </w:r>
            <w:r w:rsidR="00EF4444">
              <w:rPr>
                <w:noProof/>
                <w:webHidden/>
              </w:rPr>
            </w:r>
            <w:r w:rsidR="00EF4444">
              <w:rPr>
                <w:noProof/>
                <w:webHidden/>
              </w:rPr>
              <w:fldChar w:fldCharType="separate"/>
            </w:r>
            <w:r w:rsidR="007A56E1">
              <w:rPr>
                <w:noProof/>
                <w:webHidden/>
              </w:rPr>
              <w:t>57</w:t>
            </w:r>
            <w:r w:rsidR="00EF4444">
              <w:rPr>
                <w:noProof/>
                <w:webHidden/>
              </w:rPr>
              <w:fldChar w:fldCharType="end"/>
            </w:r>
          </w:hyperlink>
        </w:p>
        <w:p w14:paraId="2D7513CE" w14:textId="7044238F" w:rsidR="00EF4444" w:rsidRDefault="00E26661">
          <w:pPr>
            <w:pStyle w:val="TOC2"/>
            <w:rPr>
              <w:rFonts w:eastAsiaTheme="minorEastAsia"/>
              <w:noProof/>
              <w:color w:val="auto"/>
              <w:sz w:val="22"/>
              <w:szCs w:val="22"/>
              <w:lang w:eastAsia="en-AU"/>
            </w:rPr>
          </w:pPr>
          <w:hyperlink w:anchor="_Toc107395347" w:history="1">
            <w:r w:rsidR="00EF4444" w:rsidRPr="002972E5">
              <w:rPr>
                <w:rStyle w:val="Hyperlink"/>
                <w:noProof/>
              </w:rPr>
              <w:t>8.1</w:t>
            </w:r>
            <w:r w:rsidR="00EF4444">
              <w:rPr>
                <w:rFonts w:eastAsiaTheme="minorEastAsia"/>
                <w:noProof/>
                <w:color w:val="auto"/>
                <w:sz w:val="22"/>
                <w:szCs w:val="22"/>
                <w:lang w:eastAsia="en-AU"/>
              </w:rPr>
              <w:tab/>
            </w:r>
            <w:r w:rsidR="00EF4444" w:rsidRPr="002972E5">
              <w:rPr>
                <w:rStyle w:val="Hyperlink"/>
                <w:noProof/>
              </w:rPr>
              <w:t>Objective</w:t>
            </w:r>
            <w:r w:rsidR="00EF4444">
              <w:rPr>
                <w:noProof/>
                <w:webHidden/>
              </w:rPr>
              <w:tab/>
            </w:r>
            <w:r w:rsidR="00EF4444">
              <w:rPr>
                <w:noProof/>
                <w:webHidden/>
              </w:rPr>
              <w:fldChar w:fldCharType="begin"/>
            </w:r>
            <w:r w:rsidR="00EF4444">
              <w:rPr>
                <w:noProof/>
                <w:webHidden/>
              </w:rPr>
              <w:instrText xml:space="preserve"> PAGEREF _Toc107395347 \h </w:instrText>
            </w:r>
            <w:r w:rsidR="00EF4444">
              <w:rPr>
                <w:noProof/>
                <w:webHidden/>
              </w:rPr>
            </w:r>
            <w:r w:rsidR="00EF4444">
              <w:rPr>
                <w:noProof/>
                <w:webHidden/>
              </w:rPr>
              <w:fldChar w:fldCharType="separate"/>
            </w:r>
            <w:r w:rsidR="007A56E1">
              <w:rPr>
                <w:noProof/>
                <w:webHidden/>
              </w:rPr>
              <w:t>57</w:t>
            </w:r>
            <w:r w:rsidR="00EF4444">
              <w:rPr>
                <w:noProof/>
                <w:webHidden/>
              </w:rPr>
              <w:fldChar w:fldCharType="end"/>
            </w:r>
          </w:hyperlink>
        </w:p>
        <w:p w14:paraId="7F8593AF" w14:textId="1FE68175" w:rsidR="00EF4444" w:rsidRDefault="00E26661">
          <w:pPr>
            <w:pStyle w:val="TOC2"/>
            <w:rPr>
              <w:rFonts w:eastAsiaTheme="minorEastAsia"/>
              <w:noProof/>
              <w:color w:val="auto"/>
              <w:sz w:val="22"/>
              <w:szCs w:val="22"/>
              <w:lang w:eastAsia="en-AU"/>
            </w:rPr>
          </w:pPr>
          <w:hyperlink w:anchor="_Toc107395348" w:history="1">
            <w:r w:rsidR="00EF4444" w:rsidRPr="002972E5">
              <w:rPr>
                <w:rStyle w:val="Hyperlink"/>
                <w:noProof/>
              </w:rPr>
              <w:t>8.2</w:t>
            </w:r>
            <w:r w:rsidR="00EF4444">
              <w:rPr>
                <w:rFonts w:eastAsiaTheme="minorEastAsia"/>
                <w:noProof/>
                <w:color w:val="auto"/>
                <w:sz w:val="22"/>
                <w:szCs w:val="22"/>
                <w:lang w:eastAsia="en-AU"/>
              </w:rPr>
              <w:tab/>
            </w:r>
            <w:r w:rsidR="00EF4444" w:rsidRPr="002972E5">
              <w:rPr>
                <w:rStyle w:val="Hyperlink"/>
                <w:noProof/>
              </w:rPr>
              <w:t>Stakeholders</w:t>
            </w:r>
            <w:r w:rsidR="00EF4444">
              <w:rPr>
                <w:noProof/>
                <w:webHidden/>
              </w:rPr>
              <w:tab/>
            </w:r>
            <w:r w:rsidR="00EF4444">
              <w:rPr>
                <w:noProof/>
                <w:webHidden/>
              </w:rPr>
              <w:fldChar w:fldCharType="begin"/>
            </w:r>
            <w:r w:rsidR="00EF4444">
              <w:rPr>
                <w:noProof/>
                <w:webHidden/>
              </w:rPr>
              <w:instrText xml:space="preserve"> PAGEREF _Toc107395348 \h </w:instrText>
            </w:r>
            <w:r w:rsidR="00EF4444">
              <w:rPr>
                <w:noProof/>
                <w:webHidden/>
              </w:rPr>
            </w:r>
            <w:r w:rsidR="00EF4444">
              <w:rPr>
                <w:noProof/>
                <w:webHidden/>
              </w:rPr>
              <w:fldChar w:fldCharType="separate"/>
            </w:r>
            <w:r w:rsidR="007A56E1">
              <w:rPr>
                <w:noProof/>
                <w:webHidden/>
              </w:rPr>
              <w:t>57</w:t>
            </w:r>
            <w:r w:rsidR="00EF4444">
              <w:rPr>
                <w:noProof/>
                <w:webHidden/>
              </w:rPr>
              <w:fldChar w:fldCharType="end"/>
            </w:r>
          </w:hyperlink>
        </w:p>
        <w:p w14:paraId="427F9636" w14:textId="6B338654" w:rsidR="00EF4444" w:rsidRDefault="00E26661">
          <w:pPr>
            <w:pStyle w:val="TOC2"/>
            <w:rPr>
              <w:rFonts w:eastAsiaTheme="minorEastAsia"/>
              <w:noProof/>
              <w:color w:val="auto"/>
              <w:sz w:val="22"/>
              <w:szCs w:val="22"/>
              <w:lang w:eastAsia="en-AU"/>
            </w:rPr>
          </w:pPr>
          <w:hyperlink w:anchor="_Toc107395349" w:history="1">
            <w:r w:rsidR="00EF4444" w:rsidRPr="002972E5">
              <w:rPr>
                <w:rStyle w:val="Hyperlink"/>
                <w:noProof/>
              </w:rPr>
              <w:t>8.3</w:t>
            </w:r>
            <w:r w:rsidR="00EF4444">
              <w:rPr>
                <w:rFonts w:eastAsiaTheme="minorEastAsia"/>
                <w:noProof/>
                <w:color w:val="auto"/>
                <w:sz w:val="22"/>
                <w:szCs w:val="22"/>
                <w:lang w:eastAsia="en-AU"/>
              </w:rPr>
              <w:tab/>
            </w:r>
            <w:r w:rsidR="00EF4444" w:rsidRPr="002972E5">
              <w:rPr>
                <w:rStyle w:val="Hyperlink"/>
                <w:noProof/>
              </w:rPr>
              <w:t>Consultation approach</w:t>
            </w:r>
            <w:r w:rsidR="00EF4444">
              <w:rPr>
                <w:noProof/>
                <w:webHidden/>
              </w:rPr>
              <w:tab/>
            </w:r>
            <w:r w:rsidR="00EF4444">
              <w:rPr>
                <w:noProof/>
                <w:webHidden/>
              </w:rPr>
              <w:fldChar w:fldCharType="begin"/>
            </w:r>
            <w:r w:rsidR="00EF4444">
              <w:rPr>
                <w:noProof/>
                <w:webHidden/>
              </w:rPr>
              <w:instrText xml:space="preserve"> PAGEREF _Toc107395349 \h </w:instrText>
            </w:r>
            <w:r w:rsidR="00EF4444">
              <w:rPr>
                <w:noProof/>
                <w:webHidden/>
              </w:rPr>
            </w:r>
            <w:r w:rsidR="00EF4444">
              <w:rPr>
                <w:noProof/>
                <w:webHidden/>
              </w:rPr>
              <w:fldChar w:fldCharType="separate"/>
            </w:r>
            <w:r w:rsidR="007A56E1">
              <w:rPr>
                <w:noProof/>
                <w:webHidden/>
              </w:rPr>
              <w:t>58</w:t>
            </w:r>
            <w:r w:rsidR="00EF4444">
              <w:rPr>
                <w:noProof/>
                <w:webHidden/>
              </w:rPr>
              <w:fldChar w:fldCharType="end"/>
            </w:r>
          </w:hyperlink>
        </w:p>
        <w:p w14:paraId="33B2765A" w14:textId="6B8AE1A9" w:rsidR="00EF4444" w:rsidRDefault="00E26661">
          <w:pPr>
            <w:pStyle w:val="TOC2"/>
            <w:rPr>
              <w:rFonts w:eastAsiaTheme="minorEastAsia"/>
              <w:noProof/>
              <w:color w:val="auto"/>
              <w:sz w:val="22"/>
              <w:szCs w:val="22"/>
              <w:lang w:eastAsia="en-AU"/>
            </w:rPr>
          </w:pPr>
          <w:hyperlink w:anchor="_Toc107395350" w:history="1">
            <w:r w:rsidR="00EF4444" w:rsidRPr="002972E5">
              <w:rPr>
                <w:rStyle w:val="Hyperlink"/>
                <w:noProof/>
              </w:rPr>
              <w:t>8.4</w:t>
            </w:r>
            <w:r w:rsidR="00EF4444">
              <w:rPr>
                <w:rFonts w:eastAsiaTheme="minorEastAsia"/>
                <w:noProof/>
                <w:color w:val="auto"/>
                <w:sz w:val="22"/>
                <w:szCs w:val="22"/>
                <w:lang w:eastAsia="en-AU"/>
              </w:rPr>
              <w:tab/>
            </w:r>
            <w:r w:rsidR="00EF4444" w:rsidRPr="002972E5">
              <w:rPr>
                <w:rStyle w:val="Hyperlink"/>
                <w:noProof/>
              </w:rPr>
              <w:t>Next steps following consultation</w:t>
            </w:r>
            <w:r w:rsidR="00EF4444">
              <w:rPr>
                <w:noProof/>
                <w:webHidden/>
              </w:rPr>
              <w:tab/>
            </w:r>
            <w:r w:rsidR="00EF4444">
              <w:rPr>
                <w:noProof/>
                <w:webHidden/>
              </w:rPr>
              <w:fldChar w:fldCharType="begin"/>
            </w:r>
            <w:r w:rsidR="00EF4444">
              <w:rPr>
                <w:noProof/>
                <w:webHidden/>
              </w:rPr>
              <w:instrText xml:space="preserve"> PAGEREF _Toc107395350 \h </w:instrText>
            </w:r>
            <w:r w:rsidR="00EF4444">
              <w:rPr>
                <w:noProof/>
                <w:webHidden/>
              </w:rPr>
            </w:r>
            <w:r w:rsidR="00EF4444">
              <w:rPr>
                <w:noProof/>
                <w:webHidden/>
              </w:rPr>
              <w:fldChar w:fldCharType="separate"/>
            </w:r>
            <w:r w:rsidR="007A56E1">
              <w:rPr>
                <w:noProof/>
                <w:webHidden/>
              </w:rPr>
              <w:t>58</w:t>
            </w:r>
            <w:r w:rsidR="00EF4444">
              <w:rPr>
                <w:noProof/>
                <w:webHidden/>
              </w:rPr>
              <w:fldChar w:fldCharType="end"/>
            </w:r>
          </w:hyperlink>
        </w:p>
        <w:p w14:paraId="60732147" w14:textId="7C1CD6D8" w:rsidR="00EF4444" w:rsidRDefault="00E26661">
          <w:pPr>
            <w:pStyle w:val="TOC2"/>
            <w:rPr>
              <w:rFonts w:eastAsiaTheme="minorEastAsia"/>
              <w:noProof/>
              <w:color w:val="auto"/>
              <w:sz w:val="22"/>
              <w:szCs w:val="22"/>
              <w:lang w:eastAsia="en-AU"/>
            </w:rPr>
          </w:pPr>
          <w:hyperlink w:anchor="_Toc107395351" w:history="1">
            <w:r w:rsidR="00EF4444" w:rsidRPr="002972E5">
              <w:rPr>
                <w:rStyle w:val="Hyperlink"/>
                <w:noProof/>
              </w:rPr>
              <w:t>8.5</w:t>
            </w:r>
            <w:r w:rsidR="00EF4444">
              <w:rPr>
                <w:rFonts w:eastAsiaTheme="minorEastAsia"/>
                <w:noProof/>
                <w:color w:val="auto"/>
                <w:sz w:val="22"/>
                <w:szCs w:val="22"/>
                <w:lang w:eastAsia="en-AU"/>
              </w:rPr>
              <w:tab/>
            </w:r>
            <w:r w:rsidR="00EF4444" w:rsidRPr="002972E5">
              <w:rPr>
                <w:rStyle w:val="Hyperlink"/>
                <w:noProof/>
              </w:rPr>
              <w:t>Implementation and evaluation</w:t>
            </w:r>
            <w:r w:rsidR="00EF4444">
              <w:rPr>
                <w:noProof/>
                <w:webHidden/>
              </w:rPr>
              <w:tab/>
            </w:r>
            <w:r w:rsidR="00EF4444">
              <w:rPr>
                <w:noProof/>
                <w:webHidden/>
              </w:rPr>
              <w:fldChar w:fldCharType="begin"/>
            </w:r>
            <w:r w:rsidR="00EF4444">
              <w:rPr>
                <w:noProof/>
                <w:webHidden/>
              </w:rPr>
              <w:instrText xml:space="preserve"> PAGEREF _Toc107395351 \h </w:instrText>
            </w:r>
            <w:r w:rsidR="00EF4444">
              <w:rPr>
                <w:noProof/>
                <w:webHidden/>
              </w:rPr>
            </w:r>
            <w:r w:rsidR="00EF4444">
              <w:rPr>
                <w:noProof/>
                <w:webHidden/>
              </w:rPr>
              <w:fldChar w:fldCharType="separate"/>
            </w:r>
            <w:r w:rsidR="007A56E1">
              <w:rPr>
                <w:noProof/>
                <w:webHidden/>
              </w:rPr>
              <w:t>58</w:t>
            </w:r>
            <w:r w:rsidR="00EF4444">
              <w:rPr>
                <w:noProof/>
                <w:webHidden/>
              </w:rPr>
              <w:fldChar w:fldCharType="end"/>
            </w:r>
          </w:hyperlink>
        </w:p>
        <w:p w14:paraId="3BD07EAE" w14:textId="1DE15CAE" w:rsidR="00EF4444" w:rsidRDefault="00E26661">
          <w:pPr>
            <w:pStyle w:val="TOC1"/>
            <w:tabs>
              <w:tab w:val="left" w:pos="400"/>
            </w:tabs>
            <w:rPr>
              <w:rFonts w:eastAsiaTheme="minorEastAsia"/>
              <w:noProof/>
              <w:color w:val="auto"/>
              <w:sz w:val="22"/>
              <w:szCs w:val="22"/>
              <w:lang w:eastAsia="en-AU"/>
            </w:rPr>
          </w:pPr>
          <w:hyperlink w:anchor="_Toc107395352" w:history="1">
            <w:r w:rsidR="00EF4444" w:rsidRPr="002972E5">
              <w:rPr>
                <w:rStyle w:val="Hyperlink"/>
                <w:noProof/>
              </w:rPr>
              <w:t>9</w:t>
            </w:r>
            <w:r w:rsidR="00EF4444">
              <w:rPr>
                <w:rFonts w:eastAsiaTheme="minorEastAsia"/>
                <w:noProof/>
                <w:color w:val="auto"/>
                <w:sz w:val="22"/>
                <w:szCs w:val="22"/>
                <w:lang w:eastAsia="en-AU"/>
              </w:rPr>
              <w:tab/>
            </w:r>
            <w:r w:rsidR="00EF4444" w:rsidRPr="002972E5">
              <w:rPr>
                <w:rStyle w:val="Hyperlink"/>
                <w:noProof/>
              </w:rPr>
              <w:t>References</w:t>
            </w:r>
            <w:r w:rsidR="00EF4444">
              <w:rPr>
                <w:noProof/>
                <w:webHidden/>
              </w:rPr>
              <w:tab/>
            </w:r>
            <w:r w:rsidR="00EF4444">
              <w:rPr>
                <w:noProof/>
                <w:webHidden/>
              </w:rPr>
              <w:fldChar w:fldCharType="begin"/>
            </w:r>
            <w:r w:rsidR="00EF4444">
              <w:rPr>
                <w:noProof/>
                <w:webHidden/>
              </w:rPr>
              <w:instrText xml:space="preserve"> PAGEREF _Toc107395352 \h </w:instrText>
            </w:r>
            <w:r w:rsidR="00EF4444">
              <w:rPr>
                <w:noProof/>
                <w:webHidden/>
              </w:rPr>
            </w:r>
            <w:r w:rsidR="00EF4444">
              <w:rPr>
                <w:noProof/>
                <w:webHidden/>
              </w:rPr>
              <w:fldChar w:fldCharType="separate"/>
            </w:r>
            <w:r w:rsidR="007A56E1">
              <w:rPr>
                <w:noProof/>
                <w:webHidden/>
              </w:rPr>
              <w:t>60</w:t>
            </w:r>
            <w:r w:rsidR="00EF4444">
              <w:rPr>
                <w:noProof/>
                <w:webHidden/>
              </w:rPr>
              <w:fldChar w:fldCharType="end"/>
            </w:r>
          </w:hyperlink>
        </w:p>
        <w:p w14:paraId="4898A38A" w14:textId="34955A93" w:rsidR="00EF4444" w:rsidRDefault="00E26661">
          <w:pPr>
            <w:pStyle w:val="TOC1"/>
            <w:rPr>
              <w:rFonts w:eastAsiaTheme="minorEastAsia"/>
              <w:noProof/>
              <w:color w:val="auto"/>
              <w:sz w:val="22"/>
              <w:szCs w:val="22"/>
              <w:lang w:eastAsia="en-AU"/>
            </w:rPr>
          </w:pPr>
          <w:hyperlink w:anchor="_Toc107395353" w:history="1">
            <w:r w:rsidR="00EF4444" w:rsidRPr="002972E5">
              <w:rPr>
                <w:rStyle w:val="Hyperlink"/>
                <w:noProof/>
              </w:rPr>
              <w:t>Appendix A: Legislative and regulatory framework for crystalline silica under the model WHS laws</w:t>
            </w:r>
            <w:r w:rsidR="00EF4444">
              <w:rPr>
                <w:noProof/>
                <w:webHidden/>
              </w:rPr>
              <w:tab/>
            </w:r>
            <w:r w:rsidR="00EF4444">
              <w:rPr>
                <w:noProof/>
                <w:webHidden/>
              </w:rPr>
              <w:fldChar w:fldCharType="begin"/>
            </w:r>
            <w:r w:rsidR="00EF4444">
              <w:rPr>
                <w:noProof/>
                <w:webHidden/>
              </w:rPr>
              <w:instrText xml:space="preserve"> PAGEREF _Toc107395353 \h </w:instrText>
            </w:r>
            <w:r w:rsidR="00EF4444">
              <w:rPr>
                <w:noProof/>
                <w:webHidden/>
              </w:rPr>
            </w:r>
            <w:r w:rsidR="00EF4444">
              <w:rPr>
                <w:noProof/>
                <w:webHidden/>
              </w:rPr>
              <w:fldChar w:fldCharType="separate"/>
            </w:r>
            <w:r w:rsidR="007A56E1">
              <w:rPr>
                <w:noProof/>
                <w:webHidden/>
              </w:rPr>
              <w:t>65</w:t>
            </w:r>
            <w:r w:rsidR="00EF4444">
              <w:rPr>
                <w:noProof/>
                <w:webHidden/>
              </w:rPr>
              <w:fldChar w:fldCharType="end"/>
            </w:r>
          </w:hyperlink>
        </w:p>
        <w:p w14:paraId="22C6C62B" w14:textId="579B3AA9" w:rsidR="00EF4444" w:rsidRDefault="00E26661">
          <w:pPr>
            <w:pStyle w:val="TOC1"/>
            <w:rPr>
              <w:rFonts w:eastAsiaTheme="minorEastAsia"/>
              <w:noProof/>
              <w:color w:val="auto"/>
              <w:sz w:val="22"/>
              <w:szCs w:val="22"/>
              <w:lang w:eastAsia="en-AU"/>
            </w:rPr>
          </w:pPr>
          <w:hyperlink w:anchor="_Toc107395354" w:history="1">
            <w:r w:rsidR="00EF4444" w:rsidRPr="002972E5">
              <w:rPr>
                <w:rStyle w:val="Hyperlink"/>
                <w:noProof/>
              </w:rPr>
              <w:t>Appendix B: Complementary initiatives</w:t>
            </w:r>
            <w:r w:rsidR="00EF4444">
              <w:rPr>
                <w:noProof/>
                <w:webHidden/>
              </w:rPr>
              <w:tab/>
            </w:r>
            <w:r w:rsidR="00EF4444">
              <w:rPr>
                <w:noProof/>
                <w:webHidden/>
              </w:rPr>
              <w:fldChar w:fldCharType="begin"/>
            </w:r>
            <w:r w:rsidR="00EF4444">
              <w:rPr>
                <w:noProof/>
                <w:webHidden/>
              </w:rPr>
              <w:instrText xml:space="preserve"> PAGEREF _Toc107395354 \h </w:instrText>
            </w:r>
            <w:r w:rsidR="00EF4444">
              <w:rPr>
                <w:noProof/>
                <w:webHidden/>
              </w:rPr>
            </w:r>
            <w:r w:rsidR="00EF4444">
              <w:rPr>
                <w:noProof/>
                <w:webHidden/>
              </w:rPr>
              <w:fldChar w:fldCharType="separate"/>
            </w:r>
            <w:r w:rsidR="007A56E1">
              <w:rPr>
                <w:noProof/>
                <w:webHidden/>
              </w:rPr>
              <w:t>69</w:t>
            </w:r>
            <w:r w:rsidR="00EF4444">
              <w:rPr>
                <w:noProof/>
                <w:webHidden/>
              </w:rPr>
              <w:fldChar w:fldCharType="end"/>
            </w:r>
          </w:hyperlink>
        </w:p>
        <w:p w14:paraId="3EAD1BB7" w14:textId="4ABF3931" w:rsidR="00EF4444" w:rsidRDefault="00E26661">
          <w:pPr>
            <w:pStyle w:val="TOC1"/>
            <w:rPr>
              <w:rFonts w:eastAsiaTheme="minorEastAsia"/>
              <w:noProof/>
              <w:color w:val="auto"/>
              <w:sz w:val="22"/>
              <w:szCs w:val="22"/>
              <w:lang w:eastAsia="en-AU"/>
            </w:rPr>
          </w:pPr>
          <w:hyperlink w:anchor="_Toc107395355" w:history="1">
            <w:r w:rsidR="00EF4444" w:rsidRPr="002972E5">
              <w:rPr>
                <w:rStyle w:val="Hyperlink"/>
                <w:noProof/>
              </w:rPr>
              <w:t>Appendix C: List of consultation questions</w:t>
            </w:r>
            <w:r w:rsidR="00EF4444">
              <w:rPr>
                <w:noProof/>
                <w:webHidden/>
              </w:rPr>
              <w:tab/>
            </w:r>
            <w:r w:rsidR="00EF4444">
              <w:rPr>
                <w:noProof/>
                <w:webHidden/>
              </w:rPr>
              <w:fldChar w:fldCharType="begin"/>
            </w:r>
            <w:r w:rsidR="00EF4444">
              <w:rPr>
                <w:noProof/>
                <w:webHidden/>
              </w:rPr>
              <w:instrText xml:space="preserve"> PAGEREF _Toc107395355 \h </w:instrText>
            </w:r>
            <w:r w:rsidR="00EF4444">
              <w:rPr>
                <w:noProof/>
                <w:webHidden/>
              </w:rPr>
            </w:r>
            <w:r w:rsidR="00EF4444">
              <w:rPr>
                <w:noProof/>
                <w:webHidden/>
              </w:rPr>
              <w:fldChar w:fldCharType="separate"/>
            </w:r>
            <w:r w:rsidR="007A56E1">
              <w:rPr>
                <w:noProof/>
                <w:webHidden/>
              </w:rPr>
              <w:t>71</w:t>
            </w:r>
            <w:r w:rsidR="00EF4444">
              <w:rPr>
                <w:noProof/>
                <w:webHidden/>
              </w:rPr>
              <w:fldChar w:fldCharType="end"/>
            </w:r>
          </w:hyperlink>
        </w:p>
        <w:p w14:paraId="120D08E2" w14:textId="584CCCF8" w:rsidR="00EF4444" w:rsidRDefault="00E26661">
          <w:pPr>
            <w:pStyle w:val="TOC1"/>
            <w:rPr>
              <w:rFonts w:eastAsiaTheme="minorEastAsia"/>
              <w:noProof/>
              <w:color w:val="auto"/>
              <w:sz w:val="22"/>
              <w:szCs w:val="22"/>
              <w:lang w:eastAsia="en-AU"/>
            </w:rPr>
          </w:pPr>
          <w:hyperlink w:anchor="_Toc107395356" w:history="1">
            <w:r w:rsidR="00EF4444" w:rsidRPr="002972E5">
              <w:rPr>
                <w:rStyle w:val="Hyperlink"/>
                <w:noProof/>
              </w:rPr>
              <w:t>Appendix D: Cost modelling key assumptions and methodology</w:t>
            </w:r>
            <w:r w:rsidR="00EF4444">
              <w:rPr>
                <w:noProof/>
                <w:webHidden/>
              </w:rPr>
              <w:tab/>
            </w:r>
            <w:r w:rsidR="00EF4444">
              <w:rPr>
                <w:noProof/>
                <w:webHidden/>
              </w:rPr>
              <w:fldChar w:fldCharType="begin"/>
            </w:r>
            <w:r w:rsidR="00EF4444">
              <w:rPr>
                <w:noProof/>
                <w:webHidden/>
              </w:rPr>
              <w:instrText xml:space="preserve"> PAGEREF _Toc107395356 \h </w:instrText>
            </w:r>
            <w:r w:rsidR="00EF4444">
              <w:rPr>
                <w:noProof/>
                <w:webHidden/>
              </w:rPr>
            </w:r>
            <w:r w:rsidR="00EF4444">
              <w:rPr>
                <w:noProof/>
                <w:webHidden/>
              </w:rPr>
              <w:fldChar w:fldCharType="separate"/>
            </w:r>
            <w:r w:rsidR="007A56E1">
              <w:rPr>
                <w:noProof/>
                <w:webHidden/>
              </w:rPr>
              <w:t>72</w:t>
            </w:r>
            <w:r w:rsidR="00EF4444">
              <w:rPr>
                <w:noProof/>
                <w:webHidden/>
              </w:rPr>
              <w:fldChar w:fldCharType="end"/>
            </w:r>
          </w:hyperlink>
        </w:p>
        <w:p w14:paraId="126A9BE9" w14:textId="191A91EF" w:rsidR="0093781A" w:rsidRPr="009D0A4A" w:rsidRDefault="00F8519A" w:rsidP="00183C12">
          <w:pPr>
            <w:jc w:val="both"/>
            <w:rPr>
              <w:color w:val="2B579A"/>
              <w:shd w:val="clear" w:color="auto" w:fill="E6E6E6"/>
            </w:rPr>
          </w:pPr>
          <w:r w:rsidRPr="009D0A4A">
            <w:rPr>
              <w:color w:val="2B579A"/>
              <w:shd w:val="clear" w:color="auto" w:fill="E6E6E6"/>
            </w:rPr>
            <w:fldChar w:fldCharType="end"/>
          </w:r>
        </w:p>
        <w:p w14:paraId="5DE2F9B0" w14:textId="77777777" w:rsidR="0093781A" w:rsidRPr="009D0A4A" w:rsidRDefault="0093781A" w:rsidP="00183C12">
          <w:pPr>
            <w:jc w:val="both"/>
            <w:rPr>
              <w:color w:val="2B579A"/>
              <w:shd w:val="clear" w:color="auto" w:fill="E6E6E6"/>
            </w:rPr>
          </w:pPr>
        </w:p>
        <w:p w14:paraId="5DDBF814" w14:textId="77777777" w:rsidR="0093781A" w:rsidRPr="009D0A4A" w:rsidRDefault="0093781A" w:rsidP="00183C12">
          <w:pPr>
            <w:jc w:val="both"/>
            <w:rPr>
              <w:color w:val="2B579A"/>
              <w:shd w:val="clear" w:color="auto" w:fill="E6E6E6"/>
            </w:rPr>
          </w:pPr>
        </w:p>
        <w:p w14:paraId="74FA8990" w14:textId="6791C268" w:rsidR="00C51551" w:rsidRPr="009D0A4A" w:rsidRDefault="00E26661" w:rsidP="00183C12">
          <w:pPr>
            <w:jc w:val="both"/>
          </w:pPr>
        </w:p>
      </w:sdtContent>
    </w:sdt>
    <w:bookmarkEnd w:id="2" w:displacedByCustomXml="prev"/>
    <w:p w14:paraId="4CE9AC10" w14:textId="77777777" w:rsidR="00916103" w:rsidRPr="009D0A4A" w:rsidRDefault="00916103" w:rsidP="00916103">
      <w:pPr>
        <w:pStyle w:val="BodyText"/>
      </w:pPr>
      <w:bookmarkStart w:id="3" w:name="_Toc92873031"/>
      <w:bookmarkStart w:id="4" w:name="_Toc92873119"/>
    </w:p>
    <w:p w14:paraId="758BBB2C" w14:textId="2806EB67" w:rsidR="00E64DD9" w:rsidRPr="009D0A4A" w:rsidRDefault="00C35E30" w:rsidP="00FC4908">
      <w:pPr>
        <w:pStyle w:val="Title"/>
        <w:numPr>
          <w:ilvl w:val="0"/>
          <w:numId w:val="0"/>
        </w:numPr>
      </w:pPr>
      <w:bookmarkStart w:id="5" w:name="_Toc107395294"/>
      <w:r w:rsidRPr="009D0A4A">
        <w:lastRenderedPageBreak/>
        <w:t>Abbreviations</w:t>
      </w:r>
      <w:bookmarkEnd w:id="5"/>
    </w:p>
    <w:tbl>
      <w:tblPr>
        <w:tblStyle w:val="PlainTable4"/>
        <w:tblW w:w="0" w:type="auto"/>
        <w:tblInd w:w="0" w:type="dxa"/>
        <w:tblLook w:val="04A0" w:firstRow="1" w:lastRow="0" w:firstColumn="1" w:lastColumn="0" w:noHBand="0" w:noVBand="1"/>
      </w:tblPr>
      <w:tblGrid>
        <w:gridCol w:w="2972"/>
        <w:gridCol w:w="6044"/>
      </w:tblGrid>
      <w:tr w:rsidR="00865859" w:rsidRPr="009D0A4A" w14:paraId="203FAD6C" w14:textId="77777777" w:rsidTr="00865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14:paraId="4122BCFF" w14:textId="77777777" w:rsidR="00865859" w:rsidRPr="009D0A4A" w:rsidRDefault="00865859" w:rsidP="00865859">
            <w:pPr>
              <w:pStyle w:val="BodyText"/>
              <w:spacing w:before="60" w:after="60" w:line="264" w:lineRule="auto"/>
              <w:rPr>
                <w:rFonts w:asciiTheme="majorHAnsi" w:hAnsiTheme="majorHAnsi"/>
                <w:sz w:val="18"/>
                <w:szCs w:val="18"/>
              </w:rPr>
            </w:pPr>
            <w:r w:rsidRPr="009D0A4A">
              <w:rPr>
                <w:rFonts w:asciiTheme="majorHAnsi" w:hAnsiTheme="majorHAnsi"/>
                <w:sz w:val="18"/>
                <w:szCs w:val="18"/>
              </w:rPr>
              <w:t>Acronym or term</w:t>
            </w:r>
          </w:p>
        </w:tc>
        <w:tc>
          <w:tcPr>
            <w:tcW w:w="6044" w:type="dxa"/>
            <w:hideMark/>
          </w:tcPr>
          <w:p w14:paraId="6CB96AB6" w14:textId="77777777" w:rsidR="00865859" w:rsidRPr="009D0A4A" w:rsidRDefault="00865859" w:rsidP="00865859">
            <w:pPr>
              <w:pStyle w:val="BodyText"/>
              <w:spacing w:before="60" w:after="60" w:line="264"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9D0A4A">
              <w:rPr>
                <w:rFonts w:asciiTheme="majorHAnsi" w:hAnsiTheme="majorHAnsi"/>
                <w:sz w:val="18"/>
                <w:szCs w:val="18"/>
              </w:rPr>
              <w:t>Meaning</w:t>
            </w:r>
          </w:p>
        </w:tc>
      </w:tr>
      <w:tr w:rsidR="00865859" w:rsidRPr="009D0A4A" w14:paraId="1F7DBC69"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14:paraId="45ECD1E4" w14:textId="77777777" w:rsidR="00865859" w:rsidRPr="009D0A4A" w:rsidRDefault="00865859" w:rsidP="00865859">
            <w:pPr>
              <w:pStyle w:val="BodyText"/>
              <w:spacing w:before="60" w:after="60" w:line="264" w:lineRule="auto"/>
              <w:rPr>
                <w:b w:val="0"/>
                <w:bCs w:val="0"/>
                <w:sz w:val="18"/>
                <w:szCs w:val="18"/>
              </w:rPr>
            </w:pPr>
            <w:r w:rsidRPr="009D0A4A">
              <w:rPr>
                <w:b w:val="0"/>
                <w:bCs w:val="0"/>
                <w:sz w:val="18"/>
                <w:szCs w:val="18"/>
              </w:rPr>
              <w:t>ABS</w:t>
            </w:r>
          </w:p>
        </w:tc>
        <w:tc>
          <w:tcPr>
            <w:tcW w:w="6044" w:type="dxa"/>
            <w:hideMark/>
          </w:tcPr>
          <w:p w14:paraId="293CE083" w14:textId="77777777" w:rsidR="00865859" w:rsidRPr="009D0A4A" w:rsidRDefault="00865859" w:rsidP="00865859">
            <w:pPr>
              <w:pStyle w:val="BodyText"/>
              <w:spacing w:before="60" w:after="60" w:line="264" w:lineRule="auto"/>
              <w:cnfStyle w:val="000000100000" w:firstRow="0" w:lastRow="0" w:firstColumn="0" w:lastColumn="0" w:oddVBand="0" w:evenVBand="0" w:oddHBand="1" w:evenHBand="0" w:firstRowFirstColumn="0" w:firstRowLastColumn="0" w:lastRowFirstColumn="0" w:lastRowLastColumn="0"/>
              <w:rPr>
                <w:sz w:val="18"/>
                <w:szCs w:val="18"/>
              </w:rPr>
            </w:pPr>
            <w:r w:rsidRPr="009D0A4A">
              <w:rPr>
                <w:sz w:val="18"/>
                <w:szCs w:val="18"/>
              </w:rPr>
              <w:t xml:space="preserve">Australian Bureau of Statistics </w:t>
            </w:r>
          </w:p>
        </w:tc>
      </w:tr>
      <w:tr w:rsidR="00865859" w:rsidRPr="009D0A4A" w14:paraId="7550C0CD" w14:textId="77777777" w:rsidTr="00865859">
        <w:tc>
          <w:tcPr>
            <w:cnfStyle w:val="001000000000" w:firstRow="0" w:lastRow="0" w:firstColumn="1" w:lastColumn="0" w:oddVBand="0" w:evenVBand="0" w:oddHBand="0" w:evenHBand="0" w:firstRowFirstColumn="0" w:firstRowLastColumn="0" w:lastRowFirstColumn="0" w:lastRowLastColumn="0"/>
            <w:tcW w:w="2972" w:type="dxa"/>
            <w:hideMark/>
          </w:tcPr>
          <w:p w14:paraId="35B1D22D" w14:textId="77777777" w:rsidR="00865859" w:rsidRPr="009D0A4A" w:rsidRDefault="00865859" w:rsidP="00865859">
            <w:pPr>
              <w:pStyle w:val="BodyText"/>
              <w:spacing w:before="60" w:after="60" w:line="264" w:lineRule="auto"/>
              <w:rPr>
                <w:b w:val="0"/>
                <w:bCs w:val="0"/>
                <w:sz w:val="18"/>
                <w:szCs w:val="18"/>
              </w:rPr>
            </w:pPr>
            <w:r w:rsidRPr="009D0A4A">
              <w:rPr>
                <w:b w:val="0"/>
                <w:bCs w:val="0"/>
                <w:sz w:val="18"/>
                <w:szCs w:val="18"/>
              </w:rPr>
              <w:t>AIOH</w:t>
            </w:r>
          </w:p>
        </w:tc>
        <w:tc>
          <w:tcPr>
            <w:tcW w:w="6044" w:type="dxa"/>
            <w:hideMark/>
          </w:tcPr>
          <w:p w14:paraId="01D8CD83" w14:textId="77777777" w:rsidR="00865859" w:rsidRPr="009D0A4A" w:rsidRDefault="00865859" w:rsidP="00865859">
            <w:pPr>
              <w:pStyle w:val="BodyText"/>
              <w:spacing w:before="60" w:after="60" w:line="264" w:lineRule="auto"/>
              <w:cnfStyle w:val="000000000000" w:firstRow="0" w:lastRow="0" w:firstColumn="0" w:lastColumn="0" w:oddVBand="0" w:evenVBand="0" w:oddHBand="0" w:evenHBand="0" w:firstRowFirstColumn="0" w:firstRowLastColumn="0" w:lastRowFirstColumn="0" w:lastRowLastColumn="0"/>
              <w:rPr>
                <w:sz w:val="18"/>
                <w:szCs w:val="18"/>
              </w:rPr>
            </w:pPr>
            <w:r w:rsidRPr="009D0A4A">
              <w:rPr>
                <w:sz w:val="18"/>
                <w:szCs w:val="18"/>
              </w:rPr>
              <w:t>Australian Institute of Occupational Hygienists</w:t>
            </w:r>
          </w:p>
        </w:tc>
      </w:tr>
      <w:tr w:rsidR="00865859" w:rsidRPr="009D0A4A" w14:paraId="21708E57"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14:paraId="36016ABE" w14:textId="77777777" w:rsidR="00865859" w:rsidRPr="009D0A4A" w:rsidRDefault="00865859" w:rsidP="00865859">
            <w:pPr>
              <w:pStyle w:val="BodyText"/>
              <w:spacing w:before="60" w:after="60" w:line="264" w:lineRule="auto"/>
              <w:rPr>
                <w:b w:val="0"/>
                <w:bCs w:val="0"/>
                <w:sz w:val="18"/>
                <w:szCs w:val="18"/>
              </w:rPr>
            </w:pPr>
            <w:r w:rsidRPr="009D0A4A">
              <w:rPr>
                <w:b w:val="0"/>
                <w:bCs w:val="0"/>
                <w:sz w:val="18"/>
                <w:szCs w:val="18"/>
              </w:rPr>
              <w:t>BEA</w:t>
            </w:r>
          </w:p>
        </w:tc>
        <w:tc>
          <w:tcPr>
            <w:tcW w:w="6044" w:type="dxa"/>
            <w:hideMark/>
          </w:tcPr>
          <w:p w14:paraId="6F68C593" w14:textId="77777777" w:rsidR="00865859" w:rsidRPr="009D0A4A" w:rsidRDefault="00865859" w:rsidP="00865859">
            <w:pPr>
              <w:pStyle w:val="BodyText"/>
              <w:spacing w:before="60" w:after="60" w:line="264" w:lineRule="auto"/>
              <w:cnfStyle w:val="000000100000" w:firstRow="0" w:lastRow="0" w:firstColumn="0" w:lastColumn="0" w:oddVBand="0" w:evenVBand="0" w:oddHBand="1" w:evenHBand="0" w:firstRowFirstColumn="0" w:firstRowLastColumn="0" w:lastRowFirstColumn="0" w:lastRowLastColumn="0"/>
              <w:rPr>
                <w:sz w:val="18"/>
                <w:szCs w:val="18"/>
              </w:rPr>
            </w:pPr>
            <w:r w:rsidRPr="009D0A4A">
              <w:rPr>
                <w:sz w:val="18"/>
                <w:szCs w:val="18"/>
              </w:rPr>
              <w:t>Breakeven analysis</w:t>
            </w:r>
          </w:p>
        </w:tc>
      </w:tr>
      <w:tr w:rsidR="00865859" w:rsidRPr="009D0A4A" w14:paraId="191036C8" w14:textId="77777777" w:rsidTr="00865859">
        <w:tc>
          <w:tcPr>
            <w:cnfStyle w:val="001000000000" w:firstRow="0" w:lastRow="0" w:firstColumn="1" w:lastColumn="0" w:oddVBand="0" w:evenVBand="0" w:oddHBand="0" w:evenHBand="0" w:firstRowFirstColumn="0" w:firstRowLastColumn="0" w:lastRowFirstColumn="0" w:lastRowLastColumn="0"/>
            <w:tcW w:w="2972" w:type="dxa"/>
            <w:hideMark/>
          </w:tcPr>
          <w:p w14:paraId="761175D8" w14:textId="77777777" w:rsidR="00865859" w:rsidRPr="009D0A4A" w:rsidRDefault="00865859" w:rsidP="00865859">
            <w:pPr>
              <w:pStyle w:val="BodyText"/>
              <w:spacing w:before="60" w:after="60" w:line="264" w:lineRule="auto"/>
              <w:rPr>
                <w:b w:val="0"/>
                <w:bCs w:val="0"/>
                <w:sz w:val="18"/>
                <w:szCs w:val="18"/>
              </w:rPr>
            </w:pPr>
            <w:r w:rsidRPr="009D0A4A">
              <w:rPr>
                <w:b w:val="0"/>
                <w:bCs w:val="0"/>
                <w:sz w:val="18"/>
                <w:szCs w:val="18"/>
              </w:rPr>
              <w:t>CRIS</w:t>
            </w:r>
          </w:p>
        </w:tc>
        <w:tc>
          <w:tcPr>
            <w:tcW w:w="6044" w:type="dxa"/>
            <w:hideMark/>
          </w:tcPr>
          <w:p w14:paraId="16E2E24C" w14:textId="77777777" w:rsidR="00865859" w:rsidRPr="009D0A4A" w:rsidRDefault="00865859" w:rsidP="00865859">
            <w:pPr>
              <w:pStyle w:val="BodyText"/>
              <w:spacing w:before="60" w:after="60" w:line="264" w:lineRule="auto"/>
              <w:cnfStyle w:val="000000000000" w:firstRow="0" w:lastRow="0" w:firstColumn="0" w:lastColumn="0" w:oddVBand="0" w:evenVBand="0" w:oddHBand="0" w:evenHBand="0" w:firstRowFirstColumn="0" w:firstRowLastColumn="0" w:lastRowFirstColumn="0" w:lastRowLastColumn="0"/>
              <w:rPr>
                <w:sz w:val="18"/>
                <w:szCs w:val="18"/>
              </w:rPr>
            </w:pPr>
            <w:r w:rsidRPr="009D0A4A">
              <w:rPr>
                <w:sz w:val="18"/>
                <w:szCs w:val="18"/>
              </w:rPr>
              <w:t>Consultation Regulation Impact Statement</w:t>
            </w:r>
          </w:p>
        </w:tc>
      </w:tr>
      <w:tr w:rsidR="00865859" w:rsidRPr="009D0A4A" w14:paraId="29CED300"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286C331" w14:textId="1FB055DC" w:rsidR="00865859" w:rsidRPr="009D0A4A" w:rsidRDefault="00865859" w:rsidP="00865859">
            <w:pPr>
              <w:pStyle w:val="BodyText"/>
              <w:spacing w:before="60" w:after="60"/>
              <w:rPr>
                <w:b w:val="0"/>
                <w:bCs w:val="0"/>
                <w:sz w:val="18"/>
                <w:szCs w:val="18"/>
              </w:rPr>
            </w:pPr>
            <w:r w:rsidRPr="009D0A4A">
              <w:rPr>
                <w:b w:val="0"/>
                <w:bCs w:val="0"/>
                <w:sz w:val="18"/>
                <w:szCs w:val="18"/>
              </w:rPr>
              <w:t>CSC material</w:t>
            </w:r>
          </w:p>
        </w:tc>
        <w:tc>
          <w:tcPr>
            <w:tcW w:w="6044" w:type="dxa"/>
          </w:tcPr>
          <w:p w14:paraId="46FB17DA" w14:textId="736DD3EF" w:rsidR="00865859" w:rsidRPr="009D0A4A" w:rsidRDefault="00865859" w:rsidP="00865859">
            <w:pPr>
              <w:pStyle w:val="BodyText"/>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9D0A4A">
              <w:rPr>
                <w:sz w:val="18"/>
                <w:szCs w:val="18"/>
              </w:rPr>
              <w:t>Crystalline silica containing material</w:t>
            </w:r>
          </w:p>
        </w:tc>
      </w:tr>
      <w:tr w:rsidR="007C4FA8" w:rsidRPr="009D0A4A" w14:paraId="7612D119" w14:textId="77777777" w:rsidTr="00865859">
        <w:tc>
          <w:tcPr>
            <w:cnfStyle w:val="001000000000" w:firstRow="0" w:lastRow="0" w:firstColumn="1" w:lastColumn="0" w:oddVBand="0" w:evenVBand="0" w:oddHBand="0" w:evenHBand="0" w:firstRowFirstColumn="0" w:firstRowLastColumn="0" w:lastRowFirstColumn="0" w:lastRowLastColumn="0"/>
            <w:tcW w:w="2972" w:type="dxa"/>
          </w:tcPr>
          <w:p w14:paraId="3EF139E2" w14:textId="5D550142" w:rsidR="007C4FA8" w:rsidRPr="009D0A4A" w:rsidRDefault="007C4FA8" w:rsidP="00865859">
            <w:pPr>
              <w:pStyle w:val="BodyText"/>
              <w:spacing w:before="60" w:after="60"/>
              <w:rPr>
                <w:b w:val="0"/>
                <w:bCs w:val="0"/>
                <w:sz w:val="18"/>
                <w:szCs w:val="18"/>
              </w:rPr>
            </w:pPr>
            <w:r w:rsidRPr="009D0A4A">
              <w:rPr>
                <w:b w:val="0"/>
                <w:bCs w:val="0"/>
                <w:sz w:val="18"/>
                <w:szCs w:val="18"/>
              </w:rPr>
              <w:t>DALY</w:t>
            </w:r>
          </w:p>
        </w:tc>
        <w:tc>
          <w:tcPr>
            <w:tcW w:w="6044" w:type="dxa"/>
          </w:tcPr>
          <w:p w14:paraId="47467C13" w14:textId="69FB5D0F" w:rsidR="007C4FA8" w:rsidRPr="009D0A4A" w:rsidRDefault="007C4FA8" w:rsidP="00865859">
            <w:pPr>
              <w:pStyle w:val="BodyText"/>
              <w:spacing w:before="60" w:after="60"/>
              <w:cnfStyle w:val="000000000000" w:firstRow="0" w:lastRow="0" w:firstColumn="0" w:lastColumn="0" w:oddVBand="0" w:evenVBand="0" w:oddHBand="0" w:evenHBand="0" w:firstRowFirstColumn="0" w:firstRowLastColumn="0" w:lastRowFirstColumn="0" w:lastRowLastColumn="0"/>
              <w:rPr>
                <w:sz w:val="18"/>
                <w:szCs w:val="18"/>
              </w:rPr>
            </w:pPr>
            <w:r w:rsidRPr="009D0A4A">
              <w:rPr>
                <w:sz w:val="18"/>
                <w:szCs w:val="18"/>
              </w:rPr>
              <w:t>Disability adjusted life year</w:t>
            </w:r>
          </w:p>
        </w:tc>
      </w:tr>
      <w:tr w:rsidR="007C4FA8" w:rsidRPr="009D0A4A" w14:paraId="265373D0"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D78ECB5" w14:textId="02EB581B" w:rsidR="007C4FA8" w:rsidRPr="009D0A4A" w:rsidRDefault="007C4FA8" w:rsidP="00865859">
            <w:pPr>
              <w:pStyle w:val="BodyText"/>
              <w:spacing w:before="60" w:after="60"/>
              <w:rPr>
                <w:b w:val="0"/>
                <w:bCs w:val="0"/>
                <w:sz w:val="18"/>
                <w:szCs w:val="18"/>
              </w:rPr>
            </w:pPr>
            <w:r w:rsidRPr="009D0A4A">
              <w:rPr>
                <w:b w:val="0"/>
                <w:bCs w:val="0"/>
                <w:sz w:val="18"/>
                <w:szCs w:val="18"/>
              </w:rPr>
              <w:t>EY</w:t>
            </w:r>
          </w:p>
        </w:tc>
        <w:tc>
          <w:tcPr>
            <w:tcW w:w="6044" w:type="dxa"/>
          </w:tcPr>
          <w:p w14:paraId="031DB91E" w14:textId="63AC6740" w:rsidR="007C4FA8" w:rsidRPr="009D0A4A" w:rsidRDefault="007C4FA8" w:rsidP="00865859">
            <w:pPr>
              <w:pStyle w:val="BodyText"/>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9D0A4A">
              <w:rPr>
                <w:sz w:val="18"/>
                <w:szCs w:val="18"/>
              </w:rPr>
              <w:t>Ernst and Young Pty Ltd</w:t>
            </w:r>
          </w:p>
        </w:tc>
      </w:tr>
      <w:tr w:rsidR="00865859" w:rsidRPr="009D0A4A" w14:paraId="71A13070" w14:textId="77777777" w:rsidTr="00865859">
        <w:tc>
          <w:tcPr>
            <w:cnfStyle w:val="001000000000" w:firstRow="0" w:lastRow="0" w:firstColumn="1" w:lastColumn="0" w:oddVBand="0" w:evenVBand="0" w:oddHBand="0" w:evenHBand="0" w:firstRowFirstColumn="0" w:firstRowLastColumn="0" w:lastRowFirstColumn="0" w:lastRowLastColumn="0"/>
            <w:tcW w:w="2972" w:type="dxa"/>
            <w:hideMark/>
          </w:tcPr>
          <w:p w14:paraId="1E1260D6" w14:textId="2B002106" w:rsidR="00865859" w:rsidRPr="009D0A4A" w:rsidRDefault="00C35E30" w:rsidP="00865859">
            <w:pPr>
              <w:pStyle w:val="BodyText"/>
              <w:spacing w:before="60" w:after="60" w:line="264" w:lineRule="auto"/>
              <w:rPr>
                <w:b w:val="0"/>
                <w:bCs w:val="0"/>
                <w:sz w:val="18"/>
                <w:szCs w:val="18"/>
              </w:rPr>
            </w:pPr>
            <w:r w:rsidRPr="009D0A4A">
              <w:rPr>
                <w:b w:val="0"/>
                <w:bCs w:val="0"/>
                <w:sz w:val="18"/>
                <w:szCs w:val="18"/>
              </w:rPr>
              <w:t>HRCT</w:t>
            </w:r>
          </w:p>
        </w:tc>
        <w:tc>
          <w:tcPr>
            <w:tcW w:w="6044" w:type="dxa"/>
            <w:hideMark/>
          </w:tcPr>
          <w:p w14:paraId="4219C4D6" w14:textId="77777777" w:rsidR="00865859" w:rsidRPr="009D0A4A" w:rsidRDefault="00865859" w:rsidP="00865859">
            <w:pPr>
              <w:pStyle w:val="BodyText"/>
              <w:spacing w:before="60" w:after="60" w:line="264" w:lineRule="auto"/>
              <w:cnfStyle w:val="000000000000" w:firstRow="0" w:lastRow="0" w:firstColumn="0" w:lastColumn="0" w:oddVBand="0" w:evenVBand="0" w:oddHBand="0" w:evenHBand="0" w:firstRowFirstColumn="0" w:firstRowLastColumn="0" w:lastRowFirstColumn="0" w:lastRowLastColumn="0"/>
              <w:rPr>
                <w:sz w:val="18"/>
                <w:szCs w:val="18"/>
              </w:rPr>
            </w:pPr>
            <w:r w:rsidRPr="009D0A4A">
              <w:rPr>
                <w:sz w:val="18"/>
                <w:szCs w:val="18"/>
              </w:rPr>
              <w:t>High-resolution computed tomography</w:t>
            </w:r>
          </w:p>
        </w:tc>
      </w:tr>
      <w:tr w:rsidR="00865859" w:rsidRPr="009D0A4A" w14:paraId="58E39F01"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14:paraId="4FCC2BB4" w14:textId="591F43C1" w:rsidR="00865859" w:rsidRPr="009D0A4A" w:rsidRDefault="00865859" w:rsidP="00865859">
            <w:pPr>
              <w:pStyle w:val="BodyText"/>
              <w:spacing w:before="60" w:after="60" w:line="264" w:lineRule="auto"/>
              <w:rPr>
                <w:b w:val="0"/>
                <w:bCs w:val="0"/>
                <w:sz w:val="18"/>
                <w:szCs w:val="18"/>
              </w:rPr>
            </w:pPr>
            <w:r w:rsidRPr="009D0A4A">
              <w:rPr>
                <w:b w:val="0"/>
                <w:bCs w:val="0"/>
                <w:sz w:val="18"/>
                <w:szCs w:val="18"/>
              </w:rPr>
              <w:t>i</w:t>
            </w:r>
            <w:r w:rsidR="00C35E30" w:rsidRPr="009D0A4A">
              <w:rPr>
                <w:b w:val="0"/>
                <w:bCs w:val="0"/>
                <w:sz w:val="18"/>
                <w:szCs w:val="18"/>
              </w:rPr>
              <w:t>c</w:t>
            </w:r>
            <w:r w:rsidRPr="009D0A4A">
              <w:rPr>
                <w:b w:val="0"/>
                <w:bCs w:val="0"/>
                <w:sz w:val="18"/>
                <w:szCs w:val="18"/>
              </w:rPr>
              <w:t>are</w:t>
            </w:r>
          </w:p>
        </w:tc>
        <w:tc>
          <w:tcPr>
            <w:tcW w:w="6044" w:type="dxa"/>
            <w:hideMark/>
          </w:tcPr>
          <w:p w14:paraId="66B56B56" w14:textId="77777777" w:rsidR="00865859" w:rsidRPr="009D0A4A" w:rsidRDefault="00865859" w:rsidP="00865859">
            <w:pPr>
              <w:pStyle w:val="BodyText"/>
              <w:spacing w:before="60" w:after="60" w:line="264" w:lineRule="auto"/>
              <w:cnfStyle w:val="000000100000" w:firstRow="0" w:lastRow="0" w:firstColumn="0" w:lastColumn="0" w:oddVBand="0" w:evenVBand="0" w:oddHBand="1" w:evenHBand="0" w:firstRowFirstColumn="0" w:firstRowLastColumn="0" w:lastRowFirstColumn="0" w:lastRowLastColumn="0"/>
              <w:rPr>
                <w:sz w:val="18"/>
                <w:szCs w:val="18"/>
              </w:rPr>
            </w:pPr>
            <w:r w:rsidRPr="009D0A4A">
              <w:rPr>
                <w:sz w:val="18"/>
                <w:szCs w:val="18"/>
              </w:rPr>
              <w:t>Insurance and Care NSW</w:t>
            </w:r>
          </w:p>
        </w:tc>
      </w:tr>
      <w:tr w:rsidR="00865859" w:rsidRPr="009D0A4A" w14:paraId="067EE7EC" w14:textId="77777777" w:rsidTr="00865859">
        <w:tc>
          <w:tcPr>
            <w:cnfStyle w:val="001000000000" w:firstRow="0" w:lastRow="0" w:firstColumn="1" w:lastColumn="0" w:oddVBand="0" w:evenVBand="0" w:oddHBand="0" w:evenHBand="0" w:firstRowFirstColumn="0" w:firstRowLastColumn="0" w:lastRowFirstColumn="0" w:lastRowLastColumn="0"/>
            <w:tcW w:w="2972" w:type="dxa"/>
            <w:hideMark/>
          </w:tcPr>
          <w:p w14:paraId="2F57BE42" w14:textId="77777777" w:rsidR="00865859" w:rsidRPr="009D0A4A" w:rsidRDefault="00865859" w:rsidP="00865859">
            <w:pPr>
              <w:pStyle w:val="BodyText"/>
              <w:spacing w:before="60" w:after="60" w:line="264" w:lineRule="auto"/>
              <w:rPr>
                <w:b w:val="0"/>
                <w:bCs w:val="0"/>
                <w:sz w:val="18"/>
                <w:szCs w:val="18"/>
              </w:rPr>
            </w:pPr>
            <w:r w:rsidRPr="009D0A4A">
              <w:rPr>
                <w:b w:val="0"/>
                <w:bCs w:val="0"/>
                <w:sz w:val="18"/>
                <w:szCs w:val="18"/>
              </w:rPr>
              <w:t>OBPR</w:t>
            </w:r>
          </w:p>
        </w:tc>
        <w:tc>
          <w:tcPr>
            <w:tcW w:w="6044" w:type="dxa"/>
            <w:hideMark/>
          </w:tcPr>
          <w:p w14:paraId="542ABC19" w14:textId="77777777" w:rsidR="00865859" w:rsidRPr="009D0A4A" w:rsidRDefault="00865859" w:rsidP="00865859">
            <w:pPr>
              <w:pStyle w:val="BodyText"/>
              <w:spacing w:before="60" w:after="60" w:line="264" w:lineRule="auto"/>
              <w:cnfStyle w:val="000000000000" w:firstRow="0" w:lastRow="0" w:firstColumn="0" w:lastColumn="0" w:oddVBand="0" w:evenVBand="0" w:oddHBand="0" w:evenHBand="0" w:firstRowFirstColumn="0" w:firstRowLastColumn="0" w:lastRowFirstColumn="0" w:lastRowLastColumn="0"/>
              <w:rPr>
                <w:sz w:val="18"/>
                <w:szCs w:val="18"/>
              </w:rPr>
            </w:pPr>
            <w:r w:rsidRPr="009D0A4A">
              <w:rPr>
                <w:sz w:val="18"/>
                <w:szCs w:val="18"/>
              </w:rPr>
              <w:t>The Office of Best Practice Regulation</w:t>
            </w:r>
          </w:p>
        </w:tc>
      </w:tr>
      <w:tr w:rsidR="00865859" w:rsidRPr="009D0A4A" w14:paraId="5BF09C52"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14:paraId="4D93FE3C" w14:textId="77777777" w:rsidR="00865859" w:rsidRPr="009D0A4A" w:rsidRDefault="00865859" w:rsidP="00865859">
            <w:pPr>
              <w:pStyle w:val="BodyText"/>
              <w:spacing w:before="60" w:after="60" w:line="264" w:lineRule="auto"/>
              <w:rPr>
                <w:b w:val="0"/>
                <w:bCs w:val="0"/>
                <w:sz w:val="18"/>
                <w:szCs w:val="18"/>
              </w:rPr>
            </w:pPr>
            <w:r w:rsidRPr="009D0A4A">
              <w:rPr>
                <w:b w:val="0"/>
                <w:bCs w:val="0"/>
                <w:sz w:val="18"/>
                <w:szCs w:val="18"/>
              </w:rPr>
              <w:t>MCA</w:t>
            </w:r>
          </w:p>
        </w:tc>
        <w:tc>
          <w:tcPr>
            <w:tcW w:w="6044" w:type="dxa"/>
            <w:hideMark/>
          </w:tcPr>
          <w:p w14:paraId="418D11CC" w14:textId="77777777" w:rsidR="00865859" w:rsidRPr="009D0A4A" w:rsidRDefault="00865859" w:rsidP="00865859">
            <w:pPr>
              <w:pStyle w:val="BodyText"/>
              <w:spacing w:before="60" w:after="60" w:line="264" w:lineRule="auto"/>
              <w:cnfStyle w:val="000000100000" w:firstRow="0" w:lastRow="0" w:firstColumn="0" w:lastColumn="0" w:oddVBand="0" w:evenVBand="0" w:oddHBand="1" w:evenHBand="0" w:firstRowFirstColumn="0" w:firstRowLastColumn="0" w:lastRowFirstColumn="0" w:lastRowLastColumn="0"/>
              <w:rPr>
                <w:sz w:val="18"/>
                <w:szCs w:val="18"/>
              </w:rPr>
            </w:pPr>
            <w:r w:rsidRPr="009D0A4A">
              <w:rPr>
                <w:sz w:val="18"/>
                <w:szCs w:val="18"/>
              </w:rPr>
              <w:t>Multi-criteria analysis</w:t>
            </w:r>
          </w:p>
        </w:tc>
      </w:tr>
      <w:tr w:rsidR="00865859" w:rsidRPr="009D0A4A" w14:paraId="22112979" w14:textId="77777777" w:rsidTr="00865859">
        <w:tc>
          <w:tcPr>
            <w:cnfStyle w:val="001000000000" w:firstRow="0" w:lastRow="0" w:firstColumn="1" w:lastColumn="0" w:oddVBand="0" w:evenVBand="0" w:oddHBand="0" w:evenHBand="0" w:firstRowFirstColumn="0" w:firstRowLastColumn="0" w:lastRowFirstColumn="0" w:lastRowLastColumn="0"/>
            <w:tcW w:w="2972" w:type="dxa"/>
            <w:hideMark/>
          </w:tcPr>
          <w:p w14:paraId="38A9CE21" w14:textId="77777777" w:rsidR="00865859" w:rsidRPr="009D0A4A" w:rsidRDefault="00865859" w:rsidP="00865859">
            <w:pPr>
              <w:pStyle w:val="BodyText"/>
              <w:spacing w:before="60" w:after="60" w:line="264" w:lineRule="auto"/>
              <w:rPr>
                <w:b w:val="0"/>
                <w:bCs w:val="0"/>
                <w:sz w:val="18"/>
                <w:szCs w:val="18"/>
              </w:rPr>
            </w:pPr>
            <w:r w:rsidRPr="009D0A4A">
              <w:rPr>
                <w:b w:val="0"/>
                <w:bCs w:val="0"/>
                <w:sz w:val="18"/>
                <w:szCs w:val="18"/>
              </w:rPr>
              <w:t>PCBU</w:t>
            </w:r>
          </w:p>
        </w:tc>
        <w:tc>
          <w:tcPr>
            <w:tcW w:w="6044" w:type="dxa"/>
            <w:hideMark/>
          </w:tcPr>
          <w:p w14:paraId="6555A7BF" w14:textId="77777777" w:rsidR="00865859" w:rsidRPr="009D0A4A" w:rsidRDefault="00865859" w:rsidP="00865859">
            <w:pPr>
              <w:pStyle w:val="BodyText"/>
              <w:spacing w:before="60" w:after="60" w:line="264" w:lineRule="auto"/>
              <w:cnfStyle w:val="000000000000" w:firstRow="0" w:lastRow="0" w:firstColumn="0" w:lastColumn="0" w:oddVBand="0" w:evenVBand="0" w:oddHBand="0" w:evenHBand="0" w:firstRowFirstColumn="0" w:firstRowLastColumn="0" w:lastRowFirstColumn="0" w:lastRowLastColumn="0"/>
              <w:rPr>
                <w:sz w:val="18"/>
                <w:szCs w:val="18"/>
              </w:rPr>
            </w:pPr>
            <w:r w:rsidRPr="009D0A4A">
              <w:rPr>
                <w:sz w:val="18"/>
                <w:szCs w:val="18"/>
              </w:rPr>
              <w:t>Person conducting a business or undertaking</w:t>
            </w:r>
          </w:p>
        </w:tc>
      </w:tr>
      <w:tr w:rsidR="00865859" w:rsidRPr="009D0A4A" w14:paraId="5F7C2EED"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14:paraId="0770CDB1" w14:textId="77777777" w:rsidR="00865859" w:rsidRPr="009D0A4A" w:rsidRDefault="00865859" w:rsidP="00865859">
            <w:pPr>
              <w:pStyle w:val="BodyText"/>
              <w:spacing w:before="60" w:after="60" w:line="264" w:lineRule="auto"/>
              <w:rPr>
                <w:b w:val="0"/>
                <w:bCs w:val="0"/>
                <w:sz w:val="18"/>
                <w:szCs w:val="18"/>
              </w:rPr>
            </w:pPr>
            <w:r w:rsidRPr="009D0A4A">
              <w:rPr>
                <w:b w:val="0"/>
                <w:bCs w:val="0"/>
                <w:sz w:val="18"/>
                <w:szCs w:val="18"/>
              </w:rPr>
              <w:t>PPE</w:t>
            </w:r>
          </w:p>
        </w:tc>
        <w:tc>
          <w:tcPr>
            <w:tcW w:w="6044" w:type="dxa"/>
            <w:hideMark/>
          </w:tcPr>
          <w:p w14:paraId="0D8FC4C3" w14:textId="77777777" w:rsidR="00865859" w:rsidRPr="009D0A4A" w:rsidRDefault="00865859" w:rsidP="00865859">
            <w:pPr>
              <w:pStyle w:val="BodyText"/>
              <w:spacing w:before="60" w:after="60" w:line="264" w:lineRule="auto"/>
              <w:cnfStyle w:val="000000100000" w:firstRow="0" w:lastRow="0" w:firstColumn="0" w:lastColumn="0" w:oddVBand="0" w:evenVBand="0" w:oddHBand="1" w:evenHBand="0" w:firstRowFirstColumn="0" w:firstRowLastColumn="0" w:lastRowFirstColumn="0" w:lastRowLastColumn="0"/>
              <w:rPr>
                <w:sz w:val="18"/>
                <w:szCs w:val="18"/>
              </w:rPr>
            </w:pPr>
            <w:r w:rsidRPr="009D0A4A">
              <w:rPr>
                <w:sz w:val="18"/>
                <w:szCs w:val="18"/>
              </w:rPr>
              <w:t>Personal protective equipment</w:t>
            </w:r>
          </w:p>
        </w:tc>
      </w:tr>
      <w:tr w:rsidR="00865859" w:rsidRPr="009D0A4A" w14:paraId="1EBD3CB9" w14:textId="77777777" w:rsidTr="00865859">
        <w:tc>
          <w:tcPr>
            <w:cnfStyle w:val="001000000000" w:firstRow="0" w:lastRow="0" w:firstColumn="1" w:lastColumn="0" w:oddVBand="0" w:evenVBand="0" w:oddHBand="0" w:evenHBand="0" w:firstRowFirstColumn="0" w:firstRowLastColumn="0" w:lastRowFirstColumn="0" w:lastRowLastColumn="0"/>
            <w:tcW w:w="2972" w:type="dxa"/>
            <w:hideMark/>
          </w:tcPr>
          <w:p w14:paraId="3A211BE1" w14:textId="77777777" w:rsidR="00865859" w:rsidRPr="009D0A4A" w:rsidRDefault="00865859" w:rsidP="00865859">
            <w:pPr>
              <w:pStyle w:val="BodyText"/>
              <w:spacing w:before="60" w:after="60" w:line="264" w:lineRule="auto"/>
              <w:rPr>
                <w:b w:val="0"/>
                <w:bCs w:val="0"/>
                <w:sz w:val="18"/>
                <w:szCs w:val="18"/>
              </w:rPr>
            </w:pPr>
            <w:r w:rsidRPr="009D0A4A">
              <w:rPr>
                <w:b w:val="0"/>
                <w:bCs w:val="0"/>
                <w:sz w:val="18"/>
                <w:szCs w:val="18"/>
              </w:rPr>
              <w:t>RCS</w:t>
            </w:r>
          </w:p>
        </w:tc>
        <w:tc>
          <w:tcPr>
            <w:tcW w:w="6044" w:type="dxa"/>
            <w:hideMark/>
          </w:tcPr>
          <w:p w14:paraId="23376227" w14:textId="77777777" w:rsidR="00865859" w:rsidRPr="009D0A4A" w:rsidRDefault="00865859" w:rsidP="00865859">
            <w:pPr>
              <w:pStyle w:val="BodyText"/>
              <w:spacing w:before="60" w:after="60" w:line="264" w:lineRule="auto"/>
              <w:cnfStyle w:val="000000000000" w:firstRow="0" w:lastRow="0" w:firstColumn="0" w:lastColumn="0" w:oddVBand="0" w:evenVBand="0" w:oddHBand="0" w:evenHBand="0" w:firstRowFirstColumn="0" w:firstRowLastColumn="0" w:lastRowFirstColumn="0" w:lastRowLastColumn="0"/>
              <w:rPr>
                <w:sz w:val="18"/>
                <w:szCs w:val="18"/>
              </w:rPr>
            </w:pPr>
            <w:r w:rsidRPr="009D0A4A">
              <w:rPr>
                <w:sz w:val="18"/>
                <w:szCs w:val="18"/>
              </w:rPr>
              <w:t>Respirable crystalline silica</w:t>
            </w:r>
          </w:p>
        </w:tc>
      </w:tr>
      <w:tr w:rsidR="007C4FA8" w:rsidRPr="009D0A4A" w14:paraId="7DDA2F81"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1280212" w14:textId="5B9DA2CF" w:rsidR="007C4FA8" w:rsidRPr="009D0A4A" w:rsidRDefault="007C4FA8" w:rsidP="00865859">
            <w:pPr>
              <w:pStyle w:val="BodyText"/>
              <w:spacing w:before="60" w:after="60"/>
              <w:rPr>
                <w:sz w:val="18"/>
                <w:szCs w:val="18"/>
              </w:rPr>
            </w:pPr>
            <w:r w:rsidRPr="009D0A4A">
              <w:rPr>
                <w:sz w:val="18"/>
                <w:szCs w:val="18"/>
              </w:rPr>
              <w:t>RIS</w:t>
            </w:r>
          </w:p>
        </w:tc>
        <w:tc>
          <w:tcPr>
            <w:tcW w:w="6044" w:type="dxa"/>
          </w:tcPr>
          <w:p w14:paraId="06E44290" w14:textId="3274B7DA" w:rsidR="007C4FA8" w:rsidRPr="009D0A4A" w:rsidRDefault="007C4FA8" w:rsidP="00865859">
            <w:pPr>
              <w:pStyle w:val="BodyText"/>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9D0A4A">
              <w:rPr>
                <w:sz w:val="18"/>
                <w:szCs w:val="18"/>
              </w:rPr>
              <w:t>Regulation Impact Statement</w:t>
            </w:r>
          </w:p>
        </w:tc>
      </w:tr>
      <w:tr w:rsidR="00865859" w:rsidRPr="009D0A4A" w14:paraId="70175E46" w14:textId="77777777" w:rsidTr="00865859">
        <w:tc>
          <w:tcPr>
            <w:cnfStyle w:val="001000000000" w:firstRow="0" w:lastRow="0" w:firstColumn="1" w:lastColumn="0" w:oddVBand="0" w:evenVBand="0" w:oddHBand="0" w:evenHBand="0" w:firstRowFirstColumn="0" w:firstRowLastColumn="0" w:lastRowFirstColumn="0" w:lastRowLastColumn="0"/>
            <w:tcW w:w="2972" w:type="dxa"/>
            <w:hideMark/>
          </w:tcPr>
          <w:p w14:paraId="5CCF54C8" w14:textId="77777777" w:rsidR="00865859" w:rsidRPr="009D0A4A" w:rsidRDefault="00865859" w:rsidP="00865859">
            <w:pPr>
              <w:pStyle w:val="BodyText"/>
              <w:spacing w:before="60" w:after="60" w:line="264" w:lineRule="auto"/>
              <w:rPr>
                <w:b w:val="0"/>
                <w:bCs w:val="0"/>
                <w:sz w:val="18"/>
                <w:szCs w:val="18"/>
              </w:rPr>
            </w:pPr>
            <w:r w:rsidRPr="009D0A4A">
              <w:rPr>
                <w:b w:val="0"/>
                <w:bCs w:val="0"/>
                <w:sz w:val="18"/>
                <w:szCs w:val="18"/>
              </w:rPr>
              <w:t>RPE</w:t>
            </w:r>
          </w:p>
        </w:tc>
        <w:tc>
          <w:tcPr>
            <w:tcW w:w="6044" w:type="dxa"/>
            <w:hideMark/>
          </w:tcPr>
          <w:p w14:paraId="18F452C0" w14:textId="77777777" w:rsidR="00865859" w:rsidRPr="009D0A4A" w:rsidRDefault="00865859" w:rsidP="00865859">
            <w:pPr>
              <w:pStyle w:val="BodyText"/>
              <w:spacing w:before="60" w:after="60" w:line="264" w:lineRule="auto"/>
              <w:cnfStyle w:val="000000000000" w:firstRow="0" w:lastRow="0" w:firstColumn="0" w:lastColumn="0" w:oddVBand="0" w:evenVBand="0" w:oddHBand="0" w:evenHBand="0" w:firstRowFirstColumn="0" w:firstRowLastColumn="0" w:lastRowFirstColumn="0" w:lastRowLastColumn="0"/>
              <w:rPr>
                <w:sz w:val="18"/>
                <w:szCs w:val="18"/>
              </w:rPr>
            </w:pPr>
            <w:r w:rsidRPr="009D0A4A">
              <w:rPr>
                <w:sz w:val="18"/>
                <w:szCs w:val="18"/>
              </w:rPr>
              <w:t>Respiratory protective equipment</w:t>
            </w:r>
          </w:p>
        </w:tc>
      </w:tr>
      <w:tr w:rsidR="00865859" w:rsidRPr="009D0A4A" w14:paraId="7A94D4CD"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hideMark/>
          </w:tcPr>
          <w:p w14:paraId="4B888B0E" w14:textId="77777777" w:rsidR="00865859" w:rsidRPr="009D0A4A" w:rsidRDefault="00865859" w:rsidP="00865859">
            <w:pPr>
              <w:pStyle w:val="BodyText"/>
              <w:spacing w:before="60" w:after="60" w:line="264" w:lineRule="auto"/>
              <w:rPr>
                <w:b w:val="0"/>
                <w:bCs w:val="0"/>
                <w:sz w:val="18"/>
                <w:szCs w:val="18"/>
              </w:rPr>
            </w:pPr>
            <w:r w:rsidRPr="009D0A4A">
              <w:rPr>
                <w:b w:val="0"/>
                <w:bCs w:val="0"/>
                <w:sz w:val="18"/>
                <w:szCs w:val="18"/>
              </w:rPr>
              <w:t>SWMS</w:t>
            </w:r>
          </w:p>
        </w:tc>
        <w:tc>
          <w:tcPr>
            <w:tcW w:w="6044" w:type="dxa"/>
            <w:hideMark/>
          </w:tcPr>
          <w:p w14:paraId="504B7A04" w14:textId="77777777" w:rsidR="00865859" w:rsidRPr="009D0A4A" w:rsidRDefault="00865859" w:rsidP="00865859">
            <w:pPr>
              <w:pStyle w:val="BodyText"/>
              <w:spacing w:before="60" w:after="60" w:line="264" w:lineRule="auto"/>
              <w:cnfStyle w:val="000000100000" w:firstRow="0" w:lastRow="0" w:firstColumn="0" w:lastColumn="0" w:oddVBand="0" w:evenVBand="0" w:oddHBand="1" w:evenHBand="0" w:firstRowFirstColumn="0" w:firstRowLastColumn="0" w:lastRowFirstColumn="0" w:lastRowLastColumn="0"/>
              <w:rPr>
                <w:sz w:val="18"/>
                <w:szCs w:val="18"/>
              </w:rPr>
            </w:pPr>
            <w:r w:rsidRPr="009D0A4A">
              <w:rPr>
                <w:sz w:val="18"/>
                <w:szCs w:val="18"/>
              </w:rPr>
              <w:t xml:space="preserve">Safe work method statement </w:t>
            </w:r>
          </w:p>
        </w:tc>
      </w:tr>
      <w:tr w:rsidR="00865859" w:rsidRPr="009D0A4A" w14:paraId="40C067E9" w14:textId="77777777" w:rsidTr="00865859">
        <w:tc>
          <w:tcPr>
            <w:cnfStyle w:val="001000000000" w:firstRow="0" w:lastRow="0" w:firstColumn="1" w:lastColumn="0" w:oddVBand="0" w:evenVBand="0" w:oddHBand="0" w:evenHBand="0" w:firstRowFirstColumn="0" w:firstRowLastColumn="0" w:lastRowFirstColumn="0" w:lastRowLastColumn="0"/>
            <w:tcW w:w="2972" w:type="dxa"/>
            <w:hideMark/>
          </w:tcPr>
          <w:p w14:paraId="3AB4A526" w14:textId="77777777" w:rsidR="00865859" w:rsidRPr="009D0A4A" w:rsidRDefault="00865859" w:rsidP="00865859">
            <w:pPr>
              <w:pStyle w:val="BodyText"/>
              <w:spacing w:before="60" w:after="60" w:line="264" w:lineRule="auto"/>
              <w:rPr>
                <w:b w:val="0"/>
                <w:bCs w:val="0"/>
                <w:sz w:val="18"/>
                <w:szCs w:val="18"/>
              </w:rPr>
            </w:pPr>
            <w:r w:rsidRPr="009D0A4A">
              <w:rPr>
                <w:b w:val="0"/>
                <w:bCs w:val="0"/>
                <w:sz w:val="18"/>
                <w:szCs w:val="18"/>
              </w:rPr>
              <w:t>TWA</w:t>
            </w:r>
          </w:p>
        </w:tc>
        <w:tc>
          <w:tcPr>
            <w:tcW w:w="6044" w:type="dxa"/>
            <w:hideMark/>
          </w:tcPr>
          <w:p w14:paraId="3F307334" w14:textId="77777777" w:rsidR="00865859" w:rsidRPr="009D0A4A" w:rsidRDefault="00865859" w:rsidP="00865859">
            <w:pPr>
              <w:pStyle w:val="BodyText"/>
              <w:spacing w:before="60" w:after="60" w:line="264" w:lineRule="auto"/>
              <w:cnfStyle w:val="000000000000" w:firstRow="0" w:lastRow="0" w:firstColumn="0" w:lastColumn="0" w:oddVBand="0" w:evenVBand="0" w:oddHBand="0" w:evenHBand="0" w:firstRowFirstColumn="0" w:firstRowLastColumn="0" w:lastRowFirstColumn="0" w:lastRowLastColumn="0"/>
              <w:rPr>
                <w:sz w:val="18"/>
                <w:szCs w:val="18"/>
              </w:rPr>
            </w:pPr>
            <w:r w:rsidRPr="009D0A4A">
              <w:rPr>
                <w:sz w:val="18"/>
                <w:szCs w:val="18"/>
              </w:rPr>
              <w:t>Time weighted average</w:t>
            </w:r>
          </w:p>
        </w:tc>
      </w:tr>
      <w:tr w:rsidR="007C4FA8" w:rsidRPr="009D0A4A" w14:paraId="75E6E73B" w14:textId="77777777" w:rsidTr="008658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02638DD" w14:textId="5EBC9362" w:rsidR="007C4FA8" w:rsidRPr="009D0A4A" w:rsidRDefault="007C4FA8" w:rsidP="00865859">
            <w:pPr>
              <w:pStyle w:val="BodyText"/>
              <w:spacing w:before="60" w:after="60"/>
              <w:rPr>
                <w:b w:val="0"/>
                <w:bCs w:val="0"/>
                <w:sz w:val="18"/>
                <w:szCs w:val="18"/>
              </w:rPr>
            </w:pPr>
            <w:r w:rsidRPr="009D0A4A">
              <w:rPr>
                <w:b w:val="0"/>
                <w:bCs w:val="0"/>
                <w:sz w:val="18"/>
                <w:szCs w:val="18"/>
              </w:rPr>
              <w:t>VSL</w:t>
            </w:r>
          </w:p>
        </w:tc>
        <w:tc>
          <w:tcPr>
            <w:tcW w:w="6044" w:type="dxa"/>
          </w:tcPr>
          <w:p w14:paraId="25602E8F" w14:textId="7EC2D9D9" w:rsidR="007C4FA8" w:rsidRPr="009D0A4A" w:rsidRDefault="007C4FA8" w:rsidP="00865859">
            <w:pPr>
              <w:pStyle w:val="BodyText"/>
              <w:spacing w:before="60" w:after="60"/>
              <w:cnfStyle w:val="000000100000" w:firstRow="0" w:lastRow="0" w:firstColumn="0" w:lastColumn="0" w:oddVBand="0" w:evenVBand="0" w:oddHBand="1" w:evenHBand="0" w:firstRowFirstColumn="0" w:firstRowLastColumn="0" w:lastRowFirstColumn="0" w:lastRowLastColumn="0"/>
              <w:rPr>
                <w:sz w:val="18"/>
                <w:szCs w:val="18"/>
              </w:rPr>
            </w:pPr>
            <w:r w:rsidRPr="009D0A4A">
              <w:rPr>
                <w:sz w:val="18"/>
                <w:szCs w:val="18"/>
              </w:rPr>
              <w:t>Value of a statistical life year</w:t>
            </w:r>
          </w:p>
        </w:tc>
      </w:tr>
      <w:tr w:rsidR="00865859" w:rsidRPr="009D0A4A" w14:paraId="550673E9" w14:textId="77777777" w:rsidTr="00865859">
        <w:tc>
          <w:tcPr>
            <w:cnfStyle w:val="001000000000" w:firstRow="0" w:lastRow="0" w:firstColumn="1" w:lastColumn="0" w:oddVBand="0" w:evenVBand="0" w:oddHBand="0" w:evenHBand="0" w:firstRowFirstColumn="0" w:firstRowLastColumn="0" w:lastRowFirstColumn="0" w:lastRowLastColumn="0"/>
            <w:tcW w:w="2972" w:type="dxa"/>
            <w:hideMark/>
          </w:tcPr>
          <w:p w14:paraId="305F1D34" w14:textId="77777777" w:rsidR="00865859" w:rsidRPr="009D0A4A" w:rsidRDefault="00865859" w:rsidP="00865859">
            <w:pPr>
              <w:pStyle w:val="BodyText"/>
              <w:spacing w:before="60" w:after="60" w:line="264" w:lineRule="auto"/>
              <w:rPr>
                <w:b w:val="0"/>
                <w:bCs w:val="0"/>
                <w:sz w:val="18"/>
                <w:szCs w:val="18"/>
              </w:rPr>
            </w:pPr>
            <w:r w:rsidRPr="009D0A4A">
              <w:rPr>
                <w:b w:val="0"/>
                <w:bCs w:val="0"/>
                <w:sz w:val="18"/>
                <w:szCs w:val="18"/>
              </w:rPr>
              <w:t>WES</w:t>
            </w:r>
          </w:p>
        </w:tc>
        <w:tc>
          <w:tcPr>
            <w:tcW w:w="6044" w:type="dxa"/>
            <w:hideMark/>
          </w:tcPr>
          <w:p w14:paraId="4BF01946" w14:textId="77777777" w:rsidR="00865859" w:rsidRPr="009D0A4A" w:rsidRDefault="00865859" w:rsidP="00865859">
            <w:pPr>
              <w:pStyle w:val="BodyText"/>
              <w:spacing w:before="60" w:after="60" w:line="264" w:lineRule="auto"/>
              <w:cnfStyle w:val="000000000000" w:firstRow="0" w:lastRow="0" w:firstColumn="0" w:lastColumn="0" w:oddVBand="0" w:evenVBand="0" w:oddHBand="0" w:evenHBand="0" w:firstRowFirstColumn="0" w:firstRowLastColumn="0" w:lastRowFirstColumn="0" w:lastRowLastColumn="0"/>
              <w:rPr>
                <w:sz w:val="18"/>
                <w:szCs w:val="18"/>
              </w:rPr>
            </w:pPr>
            <w:r w:rsidRPr="009D0A4A">
              <w:rPr>
                <w:sz w:val="18"/>
                <w:szCs w:val="18"/>
              </w:rPr>
              <w:t>Workplace exposure standard</w:t>
            </w:r>
          </w:p>
        </w:tc>
      </w:tr>
      <w:tr w:rsidR="00865859" w:rsidRPr="009D0A4A" w14:paraId="4D2A35B4" w14:textId="77777777" w:rsidTr="00865859">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972" w:type="dxa"/>
            <w:hideMark/>
          </w:tcPr>
          <w:p w14:paraId="7399978B" w14:textId="77777777" w:rsidR="00865859" w:rsidRPr="009D0A4A" w:rsidRDefault="00865859" w:rsidP="00865859">
            <w:pPr>
              <w:pStyle w:val="BodyText"/>
              <w:spacing w:before="60" w:after="60" w:line="264" w:lineRule="auto"/>
              <w:rPr>
                <w:b w:val="0"/>
                <w:bCs w:val="0"/>
                <w:sz w:val="18"/>
                <w:szCs w:val="18"/>
              </w:rPr>
            </w:pPr>
            <w:r w:rsidRPr="009D0A4A">
              <w:rPr>
                <w:b w:val="0"/>
                <w:bCs w:val="0"/>
                <w:sz w:val="18"/>
                <w:szCs w:val="18"/>
              </w:rPr>
              <w:t>WHS</w:t>
            </w:r>
          </w:p>
        </w:tc>
        <w:tc>
          <w:tcPr>
            <w:tcW w:w="6044" w:type="dxa"/>
            <w:hideMark/>
          </w:tcPr>
          <w:p w14:paraId="6657B0E5" w14:textId="77777777" w:rsidR="00865859" w:rsidRPr="009D0A4A" w:rsidRDefault="00865859" w:rsidP="00865859">
            <w:pPr>
              <w:pStyle w:val="BodyText"/>
              <w:spacing w:before="60" w:after="60" w:line="264" w:lineRule="auto"/>
              <w:cnfStyle w:val="000000100000" w:firstRow="0" w:lastRow="0" w:firstColumn="0" w:lastColumn="0" w:oddVBand="0" w:evenVBand="0" w:oddHBand="1" w:evenHBand="0" w:firstRowFirstColumn="0" w:firstRowLastColumn="0" w:lastRowFirstColumn="0" w:lastRowLastColumn="0"/>
              <w:rPr>
                <w:sz w:val="18"/>
                <w:szCs w:val="18"/>
              </w:rPr>
            </w:pPr>
            <w:r w:rsidRPr="009D0A4A">
              <w:rPr>
                <w:sz w:val="18"/>
                <w:szCs w:val="18"/>
              </w:rPr>
              <w:t>Work health and safety</w:t>
            </w:r>
          </w:p>
        </w:tc>
      </w:tr>
    </w:tbl>
    <w:p w14:paraId="26E2BF9C" w14:textId="77777777" w:rsidR="00812654" w:rsidRPr="009D0A4A" w:rsidRDefault="00812654" w:rsidP="00183C12">
      <w:pPr>
        <w:pStyle w:val="BodyText"/>
        <w:jc w:val="both"/>
        <w:rPr>
          <w:sz w:val="18"/>
          <w:szCs w:val="18"/>
        </w:rPr>
      </w:pPr>
    </w:p>
    <w:p w14:paraId="19A1DF77" w14:textId="6A0B4C39" w:rsidR="00B0627D" w:rsidRPr="009D0A4A" w:rsidRDefault="00B0627D" w:rsidP="00183C12">
      <w:pPr>
        <w:jc w:val="both"/>
        <w:rPr>
          <w:rFonts w:eastAsiaTheme="minorEastAsia"/>
          <w:b/>
          <w:bCs/>
          <w:color w:val="auto"/>
        </w:rPr>
      </w:pPr>
      <w:r w:rsidRPr="009D0A4A">
        <w:rPr>
          <w:rFonts w:eastAsiaTheme="minorEastAsia"/>
          <w:b/>
          <w:bCs/>
        </w:rPr>
        <w:br w:type="page"/>
      </w:r>
    </w:p>
    <w:p w14:paraId="43BF69F8" w14:textId="4AD20E54" w:rsidR="00B0627D" w:rsidRPr="009D0A4A" w:rsidRDefault="00B0627D" w:rsidP="00FC4908">
      <w:pPr>
        <w:pStyle w:val="Title"/>
        <w:numPr>
          <w:ilvl w:val="0"/>
          <w:numId w:val="0"/>
        </w:numPr>
      </w:pPr>
      <w:bookmarkStart w:id="6" w:name="_Ref102054050"/>
      <w:bookmarkStart w:id="7" w:name="_Toc107395295"/>
      <w:r w:rsidRPr="009D0A4A">
        <w:lastRenderedPageBreak/>
        <w:t>Executive Summary</w:t>
      </w:r>
      <w:bookmarkEnd w:id="6"/>
      <w:bookmarkEnd w:id="7"/>
      <w:r w:rsidRPr="009D0A4A">
        <w:t xml:space="preserve"> </w:t>
      </w:r>
    </w:p>
    <w:p w14:paraId="09A76ACA" w14:textId="1DBA8DAD" w:rsidR="00865859" w:rsidRPr="009D0A4A" w:rsidRDefault="00C2132A" w:rsidP="00865859">
      <w:pPr>
        <w:pStyle w:val="BodyText"/>
        <w:jc w:val="both"/>
      </w:pPr>
      <w:r w:rsidRPr="009D0A4A">
        <w:t>This consultation regulation impact statement (CRIS) presents r</w:t>
      </w:r>
      <w:r w:rsidR="00865859" w:rsidRPr="009D0A4A">
        <w:t>egulatory and non-regulatory options</w:t>
      </w:r>
      <w:r w:rsidR="001E5623" w:rsidRPr="009D0A4A">
        <w:t>,</w:t>
      </w:r>
      <w:r w:rsidR="00865859" w:rsidRPr="009D0A4A">
        <w:t xml:space="preserve"> </w:t>
      </w:r>
      <w:r w:rsidR="001E5623" w:rsidRPr="009D0A4A">
        <w:t xml:space="preserve">under the model work health and safety (WHS) laws, </w:t>
      </w:r>
      <w:r w:rsidR="00865859" w:rsidRPr="009D0A4A">
        <w:t xml:space="preserve">to manage the risks of respirable crystalline silica (RCS) </w:t>
      </w:r>
      <w:r w:rsidRPr="009D0A4A">
        <w:t>to improve protection of</w:t>
      </w:r>
      <w:r w:rsidR="00865859" w:rsidRPr="009D0A4A">
        <w:t xml:space="preserve"> the health and safety of </w:t>
      </w:r>
      <w:r w:rsidRPr="009D0A4A">
        <w:t xml:space="preserve">workers. The objective of this CRIS is </w:t>
      </w:r>
      <w:r w:rsidR="00865859" w:rsidRPr="009D0A4A">
        <w:t xml:space="preserve">to seek stakeholder feedback on </w:t>
      </w:r>
      <w:r w:rsidRPr="009D0A4A">
        <w:t xml:space="preserve">the </w:t>
      </w:r>
      <w:r w:rsidR="00865859" w:rsidRPr="009D0A4A">
        <w:t xml:space="preserve">options </w:t>
      </w:r>
      <w:r w:rsidRPr="009D0A4A">
        <w:t>and analysis</w:t>
      </w:r>
      <w:r w:rsidR="00865859" w:rsidRPr="009D0A4A">
        <w:t>.</w:t>
      </w:r>
    </w:p>
    <w:p w14:paraId="76B86D38" w14:textId="1A5B275E" w:rsidR="00865859" w:rsidRPr="009D0A4A" w:rsidRDefault="00865859" w:rsidP="00865859">
      <w:pPr>
        <w:pStyle w:val="BodyText"/>
        <w:jc w:val="both"/>
      </w:pPr>
      <w:r w:rsidRPr="009D0A4A">
        <w:t xml:space="preserve">RCS is a significant health hazard for workers in Australia. Many materials used to fabricate products, such as </w:t>
      </w:r>
      <w:r w:rsidR="00C2132A" w:rsidRPr="009D0A4A">
        <w:t xml:space="preserve">engineered </w:t>
      </w:r>
      <w:r w:rsidRPr="009D0A4A">
        <w:t xml:space="preserve">stone benchtops, contain varying levels of crystalline silica. RCS is released when materials containing silica are processed, particularly with power tools. When airborne, workers can inhale RCS deep into their lungs where it can lead to a range of respiratory diseases, including silicosis, progressive massive fibrosis, chronic obstructive pulmonary disease, chronic bronchitis, and lung cancer. </w:t>
      </w:r>
    </w:p>
    <w:p w14:paraId="1C42F322" w14:textId="46952808" w:rsidR="00865859" w:rsidRPr="009D0A4A" w:rsidRDefault="00865859" w:rsidP="00865859">
      <w:pPr>
        <w:pStyle w:val="BodyText"/>
        <w:jc w:val="both"/>
        <w:rPr>
          <w:lang w:val="en-US"/>
        </w:rPr>
      </w:pPr>
      <w:r w:rsidRPr="009D0A4A">
        <w:rPr>
          <w:lang w:val="en-US"/>
        </w:rPr>
        <w:t xml:space="preserve">Silicosis is a serious, irreversible lung disease that causes permanent disability and can be fatal. </w:t>
      </w:r>
      <w:r w:rsidRPr="009D0A4A">
        <w:t>A silicosis diagnosis can have serious impacts on all aspects of as person’s life and that of their families.</w:t>
      </w:r>
      <w:r w:rsidRPr="009D0A4A">
        <w:rPr>
          <w:lang w:val="en-US"/>
        </w:rPr>
        <w:t xml:space="preserve"> There is no proven treatment for silicosis other than a lung transplant. However, all silicosis and silica related diseases are preventable.</w:t>
      </w:r>
    </w:p>
    <w:p w14:paraId="02D67CFF" w14:textId="77777777" w:rsidR="00865859" w:rsidRPr="009D0A4A" w:rsidRDefault="00865859" w:rsidP="006007D0">
      <w:pPr>
        <w:pStyle w:val="Heading3"/>
        <w:numPr>
          <w:ilvl w:val="0"/>
          <w:numId w:val="0"/>
        </w:numPr>
        <w:ind w:left="720" w:hanging="720"/>
      </w:pPr>
      <w:r w:rsidRPr="009D0A4A">
        <w:t>Statement of the problem</w:t>
      </w:r>
    </w:p>
    <w:p w14:paraId="79860326" w14:textId="632DA753" w:rsidR="00865859" w:rsidRPr="009D0A4A" w:rsidRDefault="00865859" w:rsidP="00865859">
      <w:pPr>
        <w:pStyle w:val="BodyText"/>
        <w:jc w:val="both"/>
      </w:pPr>
      <w:r w:rsidRPr="009D0A4A">
        <w:t>Workers in a broad range of industries including manufacturing, stonemasonry, construction, tunnelling, demolition, mining and quarrying are exposed to RCS. In 2011, an estimated 6.6 per cent of Australian workers were exposed</w:t>
      </w:r>
      <w:r w:rsidR="001E5623" w:rsidRPr="009D0A4A">
        <w:t>,</w:t>
      </w:r>
      <w:r w:rsidRPr="009D0A4A">
        <w:t xml:space="preserve"> and 3.7 per cent of workers were heavily exposed, to RCS. There are also multiple reports of personal exposure above the current workplace exposure standard</w:t>
      </w:r>
      <w:r w:rsidR="00722B43" w:rsidRPr="009D0A4A">
        <w:t xml:space="preserve"> </w:t>
      </w:r>
      <w:r w:rsidRPr="009D0A4A">
        <w:t xml:space="preserve">across industry sectors, where adequate engineering controls are not employed. </w:t>
      </w:r>
      <w:r w:rsidR="00397CB8" w:rsidRPr="009D0A4A">
        <w:t>There has been a recent focus on compliance in the engineered stone sector given the high prevalence of silicosis in stonemasons and engineered stone workers. However, workers in a broad range of industries outside of the engineered stone sector have also developed silicosis.</w:t>
      </w:r>
    </w:p>
    <w:p w14:paraId="2533B1B5" w14:textId="11019629" w:rsidR="00865859" w:rsidRPr="009D0A4A" w:rsidRDefault="00865859" w:rsidP="00865859">
      <w:pPr>
        <w:pStyle w:val="BodyText"/>
        <w:jc w:val="both"/>
      </w:pPr>
      <w:r w:rsidRPr="009D0A4A">
        <w:t xml:space="preserve">Preliminary consultation with stakeholders highlighted that a lack of awareness of the risks associated with RCS and a lack of clarity on how to comply with the model WHS laws contributes to the </w:t>
      </w:r>
      <w:r w:rsidR="00397CB8" w:rsidRPr="009D0A4A">
        <w:t>number of cases</w:t>
      </w:r>
      <w:r w:rsidRPr="009D0A4A">
        <w:t xml:space="preserve"> of silicosis and silica related diseases. Despite several awareness campaigns being undertaken since 2018, awareness of silica related risks remains sub-optimal. It was also highlighted that requirements of the model WHS laws are difficult to understand for those without regulatory expertise and that there has been an inadequate level of compliance </w:t>
      </w:r>
      <w:r w:rsidR="00C2132A" w:rsidRPr="009D0A4A">
        <w:t>with the</w:t>
      </w:r>
      <w:r w:rsidRPr="009D0A4A">
        <w:t xml:space="preserve"> current</w:t>
      </w:r>
      <w:r w:rsidR="00C2132A" w:rsidRPr="009D0A4A">
        <w:t xml:space="preserve"> requirements of the model WHS laws</w:t>
      </w:r>
      <w:r w:rsidRPr="009D0A4A">
        <w:t xml:space="preserve"> regarding RCS.</w:t>
      </w:r>
    </w:p>
    <w:p w14:paraId="4B3542B2" w14:textId="77777777" w:rsidR="00865859" w:rsidRPr="009D0A4A" w:rsidRDefault="00865859" w:rsidP="00865859">
      <w:pPr>
        <w:pStyle w:val="BodyText"/>
        <w:jc w:val="both"/>
      </w:pPr>
      <w:r w:rsidRPr="009D0A4A">
        <w:t>The following problem statement has been developed following preliminary consultation with stakeholders:</w:t>
      </w:r>
    </w:p>
    <w:p w14:paraId="554C8D9D" w14:textId="77777777" w:rsidR="00865859" w:rsidRPr="009D0A4A" w:rsidRDefault="00865859" w:rsidP="00865859">
      <w:pPr>
        <w:pStyle w:val="EmphasisPanelBody"/>
        <w:jc w:val="both"/>
      </w:pPr>
      <w:r w:rsidRPr="009D0A4A">
        <w:t xml:space="preserve">Workplace exposures to RCS have led to a substantial increase in the number of cases of silicosis in Australian workers.  Health screening programs of stonemasons and engineered stone workers in several Australian states have identified that approximately 1 in 4 workers screened have evidence of silicosis. </w:t>
      </w:r>
    </w:p>
    <w:p w14:paraId="74E1AFE6" w14:textId="77777777" w:rsidR="00865859" w:rsidRPr="009D0A4A" w:rsidRDefault="00865859" w:rsidP="00865859">
      <w:pPr>
        <w:pStyle w:val="EmphasisPanelBody"/>
        <w:jc w:val="both"/>
      </w:pPr>
      <w:r w:rsidRPr="009D0A4A">
        <w:t xml:space="preserve">Silicosis is an irreversible and debilitating disease, largely caused by workplace exposure to RCS. The National Dust Disease Taskforce noted that silicosis is “entirely preventable”, largely driven by the increase in use of engineered stone in Australia. They also noted that “… every case of silicosis affecting a stone benchtop worker is evidence that businesses, industry and governments need to do more to recognise and control the risks of working with engineered stone". Silicosis, and other silica related diseases, can be prevented by implementing effective controls to eliminate or minimise the generation of and exposure to RCS at the workplace. </w:t>
      </w:r>
    </w:p>
    <w:p w14:paraId="11261207" w14:textId="77777777" w:rsidR="00865859" w:rsidRPr="009D0A4A" w:rsidRDefault="00865859" w:rsidP="006007D0">
      <w:pPr>
        <w:pStyle w:val="Heading3"/>
        <w:numPr>
          <w:ilvl w:val="0"/>
          <w:numId w:val="0"/>
        </w:numPr>
        <w:ind w:left="720" w:hanging="720"/>
      </w:pPr>
      <w:r w:rsidRPr="009D0A4A">
        <w:t>Why is Government action needed?</w:t>
      </w:r>
    </w:p>
    <w:p w14:paraId="7C8E599A" w14:textId="36579CB5" w:rsidR="00865859" w:rsidRPr="009D0A4A" w:rsidRDefault="00865859" w:rsidP="00865859">
      <w:pPr>
        <w:pStyle w:val="BodyText"/>
        <w:jc w:val="both"/>
      </w:pPr>
      <w:r w:rsidRPr="009D0A4A">
        <w:t>Silicosis and silica related diseases pose an unacceptable health risk to workers. There are significant financial and non-financial costs associated with diagnosis of silicosis and other silica related disease, including significant physical and emotional harm, reduced ability to work, reduced quality of life and premature death of workers. There are also significant costs to the public health system, including for health screening, diagnosis, treatment</w:t>
      </w:r>
      <w:r w:rsidR="00FC4908" w:rsidRPr="009D0A4A">
        <w:t>,</w:t>
      </w:r>
      <w:r w:rsidRPr="009D0A4A">
        <w:t xml:space="preserve"> and disease management</w:t>
      </w:r>
      <w:r w:rsidR="00C2132A" w:rsidRPr="009D0A4A">
        <w:t>, and to the workers’ compensation system</w:t>
      </w:r>
      <w:r w:rsidRPr="009D0A4A">
        <w:t>.</w:t>
      </w:r>
    </w:p>
    <w:p w14:paraId="5AEE7FB0" w14:textId="6526EEB9" w:rsidR="00865859" w:rsidRPr="009D0A4A" w:rsidRDefault="00865859" w:rsidP="006007D0">
      <w:pPr>
        <w:pStyle w:val="BodyText"/>
        <w:jc w:val="both"/>
      </w:pPr>
      <w:r w:rsidRPr="009D0A4A">
        <w:lastRenderedPageBreak/>
        <w:t xml:space="preserve">The primary objective of government intervention is </w:t>
      </w:r>
      <w:r w:rsidR="001E5623" w:rsidRPr="009D0A4A">
        <w:t>reduce workplace</w:t>
      </w:r>
      <w:r w:rsidRPr="009D0A4A">
        <w:t xml:space="preserve"> exposure to RCS and reduce the </w:t>
      </w:r>
      <w:r w:rsidR="00397CB8" w:rsidRPr="009D0A4A">
        <w:t>number of cases</w:t>
      </w:r>
      <w:r w:rsidRPr="009D0A4A">
        <w:t xml:space="preserve"> of preventable silicosis and silica related diseases, and premature invalidity or death of workers. </w:t>
      </w:r>
    </w:p>
    <w:p w14:paraId="0AA57030" w14:textId="25EF936D" w:rsidR="00865859" w:rsidRPr="009D0A4A" w:rsidRDefault="00865859" w:rsidP="006007D0">
      <w:pPr>
        <w:pStyle w:val="Heading3"/>
        <w:numPr>
          <w:ilvl w:val="0"/>
          <w:numId w:val="0"/>
        </w:numPr>
        <w:ind w:left="720" w:hanging="720"/>
      </w:pPr>
      <w:r w:rsidRPr="009D0A4A">
        <w:t xml:space="preserve">What policy </w:t>
      </w:r>
      <w:r w:rsidR="00C2132A" w:rsidRPr="009D0A4A">
        <w:t>o</w:t>
      </w:r>
      <w:r w:rsidRPr="009D0A4A">
        <w:t>ptions are being considered?</w:t>
      </w:r>
    </w:p>
    <w:p w14:paraId="07CD8E79" w14:textId="3C3304D3" w:rsidR="00865859" w:rsidRPr="009D0A4A" w:rsidRDefault="00865859" w:rsidP="00865859">
      <w:pPr>
        <w:pStyle w:val="BodyText"/>
        <w:jc w:val="both"/>
      </w:pPr>
      <w:r w:rsidRPr="009D0A4A">
        <w:t>Safe</w:t>
      </w:r>
      <w:r w:rsidR="00C2132A" w:rsidRPr="009D0A4A">
        <w:t xml:space="preserve"> W</w:t>
      </w:r>
      <w:r w:rsidRPr="009D0A4A">
        <w:t xml:space="preserve">ork Australia is seeking feedback on the following regulatory and non-regulatory options that have been developed to reduce workplace exposures to RCS and the </w:t>
      </w:r>
      <w:r w:rsidR="00397CB8" w:rsidRPr="009D0A4A">
        <w:t>number of cases</w:t>
      </w:r>
      <w:r w:rsidRPr="009D0A4A">
        <w:t xml:space="preserve"> of silicosis and silica related diseases:</w:t>
      </w:r>
    </w:p>
    <w:p w14:paraId="73DF71CD" w14:textId="77777777" w:rsidR="00865859" w:rsidRPr="009D0A4A" w:rsidRDefault="00865859" w:rsidP="00865859">
      <w:pPr>
        <w:pStyle w:val="EmphasisPanelBody"/>
        <w:jc w:val="both"/>
      </w:pPr>
      <w:r w:rsidRPr="009D0A4A">
        <w:rPr>
          <w:b/>
          <w:bCs/>
        </w:rPr>
        <w:t>Option 1:</w:t>
      </w:r>
      <w:r w:rsidRPr="009D0A4A">
        <w:t xml:space="preserve"> </w:t>
      </w:r>
      <w:r w:rsidRPr="009D0A4A">
        <w:tab/>
        <w:t>Base case</w:t>
      </w:r>
    </w:p>
    <w:p w14:paraId="5E1DA800" w14:textId="77777777" w:rsidR="00865859" w:rsidRPr="009D0A4A" w:rsidRDefault="00865859" w:rsidP="00865859">
      <w:pPr>
        <w:pStyle w:val="EmphasisPanelBody"/>
        <w:jc w:val="both"/>
      </w:pPr>
      <w:r w:rsidRPr="009D0A4A">
        <w:rPr>
          <w:b/>
          <w:bCs/>
        </w:rPr>
        <w:t>Option 2:</w:t>
      </w:r>
      <w:r w:rsidRPr="009D0A4A">
        <w:t xml:space="preserve"> </w:t>
      </w:r>
      <w:r w:rsidRPr="009D0A4A">
        <w:tab/>
        <w:t>Awareness and behaviour change initiatives</w:t>
      </w:r>
    </w:p>
    <w:p w14:paraId="32C302CF" w14:textId="77777777" w:rsidR="00865859" w:rsidRPr="009D0A4A" w:rsidRDefault="00865859" w:rsidP="00865859">
      <w:pPr>
        <w:pStyle w:val="EmphasisPanelBody"/>
        <w:ind w:left="1440" w:hanging="1242"/>
        <w:jc w:val="both"/>
      </w:pPr>
      <w:r w:rsidRPr="009D0A4A">
        <w:rPr>
          <w:b/>
          <w:bCs/>
        </w:rPr>
        <w:t>Option 3:</w:t>
      </w:r>
      <w:r w:rsidRPr="009D0A4A">
        <w:t xml:space="preserve"> </w:t>
      </w:r>
      <w:r w:rsidRPr="009D0A4A">
        <w:tab/>
        <w:t>Clarification of existing requirements in the model WHS Regulations for defined high risk silica processes</w:t>
      </w:r>
    </w:p>
    <w:p w14:paraId="7E4F8DDF" w14:textId="77777777" w:rsidR="00865859" w:rsidRPr="009D0A4A" w:rsidRDefault="00865859" w:rsidP="00865859">
      <w:pPr>
        <w:pStyle w:val="EmphasisPanelBody"/>
        <w:jc w:val="both"/>
      </w:pPr>
      <w:r w:rsidRPr="009D0A4A">
        <w:rPr>
          <w:b/>
          <w:bCs/>
        </w:rPr>
        <w:t>Option 4:</w:t>
      </w:r>
      <w:r w:rsidRPr="009D0A4A">
        <w:t xml:space="preserve"> </w:t>
      </w:r>
      <w:r w:rsidRPr="009D0A4A">
        <w:tab/>
        <w:t>National licensing framework for PCBUs working with engineered stone</w:t>
      </w:r>
    </w:p>
    <w:p w14:paraId="4D029993" w14:textId="77777777" w:rsidR="00865859" w:rsidRPr="009D0A4A" w:rsidRDefault="00865859" w:rsidP="00865859">
      <w:pPr>
        <w:pStyle w:val="EmphasisPanelBody"/>
        <w:ind w:left="1440" w:hanging="1242"/>
        <w:jc w:val="both"/>
      </w:pPr>
      <w:r w:rsidRPr="009D0A4A">
        <w:rPr>
          <w:b/>
          <w:bCs/>
        </w:rPr>
        <w:t>Option 5a:</w:t>
      </w:r>
      <w:r w:rsidRPr="009D0A4A">
        <w:t xml:space="preserve"> </w:t>
      </w:r>
      <w:r w:rsidRPr="009D0A4A">
        <w:tab/>
        <w:t>Additional regulation of defined high risk crystalline silica processes, including engineered stone</w:t>
      </w:r>
    </w:p>
    <w:p w14:paraId="77CA7617" w14:textId="77777777" w:rsidR="00865859" w:rsidRPr="009D0A4A" w:rsidRDefault="00865859" w:rsidP="00865859">
      <w:pPr>
        <w:pStyle w:val="EmphasisPanelBody"/>
        <w:ind w:left="1440" w:hanging="1242"/>
        <w:jc w:val="both"/>
      </w:pPr>
      <w:r w:rsidRPr="009D0A4A">
        <w:rPr>
          <w:b/>
          <w:bCs/>
        </w:rPr>
        <w:t>Option 5b:</w:t>
      </w:r>
      <w:r w:rsidRPr="009D0A4A">
        <w:t xml:space="preserve"> </w:t>
      </w:r>
      <w:r w:rsidRPr="009D0A4A">
        <w:tab/>
        <w:t>Additional regulation of defined high risk crystalline silica processes, excluding engineered stone</w:t>
      </w:r>
    </w:p>
    <w:p w14:paraId="2D213A75" w14:textId="08AABE7E" w:rsidR="00865859" w:rsidRPr="009D0A4A" w:rsidRDefault="00865859" w:rsidP="00865859">
      <w:pPr>
        <w:jc w:val="both"/>
      </w:pPr>
      <w:r w:rsidRPr="009D0A4A">
        <w:t xml:space="preserve">A summary outlining the key elements associated with these options is presented in </w:t>
      </w:r>
      <w:r w:rsidR="00C2132A" w:rsidRPr="009D0A4A">
        <w:t>the table below</w:t>
      </w:r>
      <w:r w:rsidR="008E7B44" w:rsidRPr="009D0A4A">
        <w:t xml:space="preserve">, noting that combinations of options may also be considered. </w:t>
      </w:r>
    </w:p>
    <w:p w14:paraId="6ECC55C5" w14:textId="195A8AFE" w:rsidR="00865859" w:rsidRPr="009D0A4A" w:rsidRDefault="00865859" w:rsidP="001E6D09">
      <w:pPr>
        <w:pStyle w:val="Caption"/>
      </w:pPr>
      <w:r w:rsidRPr="009D0A4A">
        <w:t>Summary of proposed options</w:t>
      </w:r>
    </w:p>
    <w:tbl>
      <w:tblPr>
        <w:tblStyle w:val="PMCDefaultTableStyle"/>
        <w:tblW w:w="10201" w:type="dxa"/>
        <w:tblLayout w:type="fixed"/>
        <w:tblLook w:val="04A0" w:firstRow="1" w:lastRow="0" w:firstColumn="1" w:lastColumn="0" w:noHBand="0" w:noVBand="1"/>
      </w:tblPr>
      <w:tblGrid>
        <w:gridCol w:w="3256"/>
        <w:gridCol w:w="1157"/>
        <w:gridCol w:w="1158"/>
        <w:gridCol w:w="1157"/>
        <w:gridCol w:w="1158"/>
        <w:gridCol w:w="1157"/>
        <w:gridCol w:w="1158"/>
      </w:tblGrid>
      <w:tr w:rsidR="00865859" w:rsidRPr="009D0A4A" w14:paraId="5EC9C2C4" w14:textId="77777777" w:rsidTr="000823EF">
        <w:trPr>
          <w:cnfStyle w:val="100000000000" w:firstRow="1" w:lastRow="0" w:firstColumn="0" w:lastColumn="0" w:oddVBand="0" w:evenVBand="0" w:oddHBand="0" w:evenHBand="0" w:firstRowFirstColumn="0" w:firstRowLastColumn="0" w:lastRowFirstColumn="0" w:lastRowLastColumn="0"/>
        </w:trPr>
        <w:tc>
          <w:tcPr>
            <w:tcW w:w="3256" w:type="dxa"/>
          </w:tcPr>
          <w:p w14:paraId="30035A68" w14:textId="77777777" w:rsidR="00865859" w:rsidRPr="009D0A4A" w:rsidRDefault="00865859"/>
        </w:tc>
        <w:tc>
          <w:tcPr>
            <w:tcW w:w="1157" w:type="dxa"/>
            <w:hideMark/>
          </w:tcPr>
          <w:p w14:paraId="0BB01ABB" w14:textId="77777777" w:rsidR="00865859" w:rsidRPr="009D0A4A" w:rsidRDefault="00865859">
            <w:pPr>
              <w:rPr>
                <w:b w:val="0"/>
                <w:bCs/>
                <w:szCs w:val="18"/>
              </w:rPr>
            </w:pPr>
            <w:r w:rsidRPr="009D0A4A">
              <w:rPr>
                <w:bCs/>
                <w:szCs w:val="18"/>
              </w:rPr>
              <w:t>Option 1</w:t>
            </w:r>
          </w:p>
        </w:tc>
        <w:tc>
          <w:tcPr>
            <w:tcW w:w="1158" w:type="dxa"/>
            <w:hideMark/>
          </w:tcPr>
          <w:p w14:paraId="7DFE2E54" w14:textId="77777777" w:rsidR="00865859" w:rsidRPr="009D0A4A" w:rsidRDefault="00865859">
            <w:pPr>
              <w:rPr>
                <w:b w:val="0"/>
                <w:bCs/>
                <w:szCs w:val="18"/>
              </w:rPr>
            </w:pPr>
            <w:r w:rsidRPr="009D0A4A">
              <w:rPr>
                <w:bCs/>
                <w:szCs w:val="18"/>
              </w:rPr>
              <w:t>Option 2</w:t>
            </w:r>
          </w:p>
        </w:tc>
        <w:tc>
          <w:tcPr>
            <w:tcW w:w="1157" w:type="dxa"/>
            <w:hideMark/>
          </w:tcPr>
          <w:p w14:paraId="1B4447C6" w14:textId="77777777" w:rsidR="00865859" w:rsidRPr="009D0A4A" w:rsidRDefault="00865859">
            <w:pPr>
              <w:rPr>
                <w:b w:val="0"/>
                <w:bCs/>
                <w:szCs w:val="18"/>
              </w:rPr>
            </w:pPr>
            <w:r w:rsidRPr="009D0A4A">
              <w:rPr>
                <w:bCs/>
                <w:szCs w:val="18"/>
              </w:rPr>
              <w:t>Option 3</w:t>
            </w:r>
          </w:p>
        </w:tc>
        <w:tc>
          <w:tcPr>
            <w:tcW w:w="1158" w:type="dxa"/>
            <w:hideMark/>
          </w:tcPr>
          <w:p w14:paraId="25824921" w14:textId="77777777" w:rsidR="00865859" w:rsidRPr="009D0A4A" w:rsidRDefault="00865859">
            <w:pPr>
              <w:rPr>
                <w:b w:val="0"/>
                <w:bCs/>
                <w:szCs w:val="18"/>
              </w:rPr>
            </w:pPr>
            <w:r w:rsidRPr="009D0A4A">
              <w:rPr>
                <w:bCs/>
                <w:szCs w:val="18"/>
              </w:rPr>
              <w:t>Option 4</w:t>
            </w:r>
          </w:p>
        </w:tc>
        <w:tc>
          <w:tcPr>
            <w:tcW w:w="1157" w:type="dxa"/>
            <w:hideMark/>
          </w:tcPr>
          <w:p w14:paraId="123C346F" w14:textId="77777777" w:rsidR="00865859" w:rsidRPr="009D0A4A" w:rsidRDefault="00865859">
            <w:pPr>
              <w:rPr>
                <w:b w:val="0"/>
                <w:bCs/>
                <w:szCs w:val="18"/>
              </w:rPr>
            </w:pPr>
            <w:r w:rsidRPr="009D0A4A">
              <w:rPr>
                <w:bCs/>
                <w:szCs w:val="18"/>
              </w:rPr>
              <w:t>Option 5a</w:t>
            </w:r>
          </w:p>
        </w:tc>
        <w:tc>
          <w:tcPr>
            <w:tcW w:w="1158" w:type="dxa"/>
            <w:hideMark/>
          </w:tcPr>
          <w:p w14:paraId="2AB437B4" w14:textId="77777777" w:rsidR="00865859" w:rsidRPr="009D0A4A" w:rsidRDefault="00865859">
            <w:pPr>
              <w:rPr>
                <w:b w:val="0"/>
                <w:bCs/>
                <w:szCs w:val="18"/>
              </w:rPr>
            </w:pPr>
            <w:r w:rsidRPr="009D0A4A">
              <w:rPr>
                <w:bCs/>
                <w:szCs w:val="18"/>
              </w:rPr>
              <w:t>Option 5b</w:t>
            </w:r>
          </w:p>
        </w:tc>
      </w:tr>
      <w:tr w:rsidR="00865859" w:rsidRPr="009D0A4A" w14:paraId="1913E22A" w14:textId="77777777" w:rsidTr="000823EF">
        <w:trPr>
          <w:cnfStyle w:val="000000100000" w:firstRow="0" w:lastRow="0" w:firstColumn="0" w:lastColumn="0" w:oddVBand="0" w:evenVBand="0" w:oddHBand="1" w:evenHBand="0" w:firstRowFirstColumn="0" w:firstRowLastColumn="0" w:lastRowFirstColumn="0" w:lastRowLastColumn="0"/>
          <w:trHeight w:val="1021"/>
        </w:trPr>
        <w:tc>
          <w:tcPr>
            <w:tcW w:w="3256" w:type="dxa"/>
            <w:hideMark/>
          </w:tcPr>
          <w:p w14:paraId="2DF6AB03" w14:textId="77777777" w:rsidR="00865859" w:rsidRPr="009D0A4A" w:rsidRDefault="00865859">
            <w:pPr>
              <w:rPr>
                <w:b/>
                <w:bCs/>
              </w:rPr>
            </w:pPr>
            <w:r w:rsidRPr="009D0A4A">
              <w:rPr>
                <w:b/>
                <w:bCs/>
              </w:rPr>
              <w:t>National awareness and behaviour change initiatives</w:t>
            </w:r>
          </w:p>
        </w:tc>
        <w:tc>
          <w:tcPr>
            <w:tcW w:w="1157" w:type="dxa"/>
            <w:hideMark/>
          </w:tcPr>
          <w:p w14:paraId="6B0B58AC" w14:textId="0B0B990F" w:rsidR="00865859" w:rsidRPr="009D0A4A" w:rsidRDefault="00865859">
            <w:r w:rsidRPr="009D0A4A">
              <w:rPr>
                <w:noProof/>
                <w:lang w:eastAsia="en-AU"/>
              </w:rPr>
              <w:drawing>
                <wp:inline distT="0" distB="0" distL="0" distR="0" wp14:anchorId="6E2E19B0" wp14:editId="118DE15E">
                  <wp:extent cx="533400" cy="533400"/>
                  <wp:effectExtent l="0" t="0" r="0" b="0"/>
                  <wp:docPr id="7" name="Graphic 7" descr="Badge Cross with solid fill"/>
                  <wp:cNvGraphicFramePr/>
                  <a:graphic xmlns:a="http://schemas.openxmlformats.org/drawingml/2006/main">
                    <a:graphicData uri="http://schemas.openxmlformats.org/drawingml/2006/picture">
                      <pic:pic xmlns:pic="http://schemas.openxmlformats.org/drawingml/2006/picture">
                        <pic:nvPicPr>
                          <pic:cNvPr id="7" name="Graphic 7"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8" w:type="dxa"/>
            <w:hideMark/>
          </w:tcPr>
          <w:p w14:paraId="2D559C5F" w14:textId="40FE0C76" w:rsidR="00865859" w:rsidRPr="009D0A4A" w:rsidRDefault="00865859">
            <w:r w:rsidRPr="009D0A4A">
              <w:rPr>
                <w:noProof/>
                <w:lang w:eastAsia="en-AU"/>
              </w:rPr>
              <w:drawing>
                <wp:inline distT="0" distB="0" distL="0" distR="0" wp14:anchorId="799C60AE" wp14:editId="716168CA">
                  <wp:extent cx="533400" cy="533400"/>
                  <wp:effectExtent l="0" t="0" r="0" b="0"/>
                  <wp:docPr id="26" name="Graphic 26" descr="Badge Tick with solid fill"/>
                  <wp:cNvGraphicFramePr/>
                  <a:graphic xmlns:a="http://schemas.openxmlformats.org/drawingml/2006/main">
                    <a:graphicData uri="http://schemas.openxmlformats.org/drawingml/2006/picture">
                      <pic:pic xmlns:pic="http://schemas.openxmlformats.org/drawingml/2006/picture">
                        <pic:nvPicPr>
                          <pic:cNvPr id="26" name="Graphic 26" descr="Badge Tick with solid fill"/>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528955" cy="528955"/>
                          </a:xfrm>
                          <a:prstGeom prst="rect">
                            <a:avLst/>
                          </a:prstGeom>
                        </pic:spPr>
                      </pic:pic>
                    </a:graphicData>
                  </a:graphic>
                </wp:inline>
              </w:drawing>
            </w:r>
          </w:p>
        </w:tc>
        <w:tc>
          <w:tcPr>
            <w:tcW w:w="1157" w:type="dxa"/>
            <w:hideMark/>
          </w:tcPr>
          <w:p w14:paraId="485CB2EA" w14:textId="1C8BB826" w:rsidR="00865859" w:rsidRPr="009D0A4A" w:rsidRDefault="008E7B44">
            <w:r w:rsidRPr="009D0A4A">
              <w:rPr>
                <w:noProof/>
                <w:lang w:eastAsia="en-AU"/>
              </w:rPr>
              <w:drawing>
                <wp:inline distT="0" distB="0" distL="0" distR="0" wp14:anchorId="372454E2" wp14:editId="07D93C18">
                  <wp:extent cx="533400" cy="533400"/>
                  <wp:effectExtent l="0" t="0" r="0" b="0"/>
                  <wp:docPr id="65" name="Graphic 65" descr="Badge Cross with solid fill"/>
                  <wp:cNvGraphicFramePr/>
                  <a:graphic xmlns:a="http://schemas.openxmlformats.org/drawingml/2006/main">
                    <a:graphicData uri="http://schemas.openxmlformats.org/drawingml/2006/picture">
                      <pic:pic xmlns:pic="http://schemas.openxmlformats.org/drawingml/2006/picture">
                        <pic:nvPicPr>
                          <pic:cNvPr id="7" name="Graphic 7"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8" w:type="dxa"/>
            <w:hideMark/>
          </w:tcPr>
          <w:p w14:paraId="2748A303" w14:textId="6E7B4FB6" w:rsidR="00865859" w:rsidRPr="009D0A4A" w:rsidRDefault="008E7B44">
            <w:r w:rsidRPr="009D0A4A">
              <w:rPr>
                <w:noProof/>
                <w:lang w:eastAsia="en-AU"/>
              </w:rPr>
              <w:drawing>
                <wp:inline distT="0" distB="0" distL="0" distR="0" wp14:anchorId="0BADE431" wp14:editId="2917F502">
                  <wp:extent cx="533400" cy="533400"/>
                  <wp:effectExtent l="0" t="0" r="0" b="0"/>
                  <wp:docPr id="71" name="Graphic 71" descr="Badge Cross with solid fill"/>
                  <wp:cNvGraphicFramePr/>
                  <a:graphic xmlns:a="http://schemas.openxmlformats.org/drawingml/2006/main">
                    <a:graphicData uri="http://schemas.openxmlformats.org/drawingml/2006/picture">
                      <pic:pic xmlns:pic="http://schemas.openxmlformats.org/drawingml/2006/picture">
                        <pic:nvPicPr>
                          <pic:cNvPr id="7" name="Graphic 7"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7" w:type="dxa"/>
            <w:hideMark/>
          </w:tcPr>
          <w:p w14:paraId="28A26210" w14:textId="620BEACA" w:rsidR="00865859" w:rsidRPr="009D0A4A" w:rsidRDefault="008E7B44">
            <w:r w:rsidRPr="009D0A4A">
              <w:rPr>
                <w:noProof/>
                <w:lang w:eastAsia="en-AU"/>
              </w:rPr>
              <w:drawing>
                <wp:inline distT="0" distB="0" distL="0" distR="0" wp14:anchorId="7E3B21AB" wp14:editId="3D87989A">
                  <wp:extent cx="533400" cy="533400"/>
                  <wp:effectExtent l="0" t="0" r="0" b="0"/>
                  <wp:docPr id="73" name="Graphic 73" descr="Badge Cross with solid fill"/>
                  <wp:cNvGraphicFramePr/>
                  <a:graphic xmlns:a="http://schemas.openxmlformats.org/drawingml/2006/main">
                    <a:graphicData uri="http://schemas.openxmlformats.org/drawingml/2006/picture">
                      <pic:pic xmlns:pic="http://schemas.openxmlformats.org/drawingml/2006/picture">
                        <pic:nvPicPr>
                          <pic:cNvPr id="7" name="Graphic 7"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8" w:type="dxa"/>
            <w:hideMark/>
          </w:tcPr>
          <w:p w14:paraId="7898CD96" w14:textId="3C5D6973" w:rsidR="00865859" w:rsidRPr="009D0A4A" w:rsidRDefault="008E7B44">
            <w:r w:rsidRPr="009D0A4A">
              <w:rPr>
                <w:noProof/>
                <w:lang w:eastAsia="en-AU"/>
              </w:rPr>
              <w:drawing>
                <wp:inline distT="0" distB="0" distL="0" distR="0" wp14:anchorId="66A32436" wp14:editId="1BB117BE">
                  <wp:extent cx="533400" cy="533400"/>
                  <wp:effectExtent l="0" t="0" r="0" b="0"/>
                  <wp:docPr id="74" name="Graphic 74" descr="Badge Cross with solid fill"/>
                  <wp:cNvGraphicFramePr/>
                  <a:graphic xmlns:a="http://schemas.openxmlformats.org/drawingml/2006/main">
                    <a:graphicData uri="http://schemas.openxmlformats.org/drawingml/2006/picture">
                      <pic:pic xmlns:pic="http://schemas.openxmlformats.org/drawingml/2006/picture">
                        <pic:nvPicPr>
                          <pic:cNvPr id="7" name="Graphic 7"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r>
      <w:tr w:rsidR="00865859" w:rsidRPr="009D0A4A" w14:paraId="563CD79A" w14:textId="77777777" w:rsidTr="000823EF">
        <w:trPr>
          <w:cnfStyle w:val="000000010000" w:firstRow="0" w:lastRow="0" w:firstColumn="0" w:lastColumn="0" w:oddVBand="0" w:evenVBand="0" w:oddHBand="0" w:evenHBand="1" w:firstRowFirstColumn="0" w:firstRowLastColumn="0" w:lastRowFirstColumn="0" w:lastRowLastColumn="0"/>
          <w:trHeight w:val="1021"/>
        </w:trPr>
        <w:tc>
          <w:tcPr>
            <w:tcW w:w="3256" w:type="dxa"/>
            <w:hideMark/>
          </w:tcPr>
          <w:p w14:paraId="2AD823AD" w14:textId="352301CB" w:rsidR="00865859" w:rsidRPr="009D0A4A" w:rsidRDefault="008E7B44">
            <w:pPr>
              <w:rPr>
                <w:b/>
                <w:bCs/>
              </w:rPr>
            </w:pPr>
            <w:r w:rsidRPr="009D0A4A">
              <w:rPr>
                <w:b/>
                <w:bCs/>
              </w:rPr>
              <w:t>Clarifies existing requirements under the model WHS laws in s</w:t>
            </w:r>
            <w:r w:rsidR="00865859" w:rsidRPr="009D0A4A">
              <w:rPr>
                <w:b/>
                <w:bCs/>
              </w:rPr>
              <w:t>pecific regulations for high risk crystalline silica processes</w:t>
            </w:r>
          </w:p>
        </w:tc>
        <w:tc>
          <w:tcPr>
            <w:tcW w:w="1157" w:type="dxa"/>
            <w:hideMark/>
          </w:tcPr>
          <w:p w14:paraId="40DD6316" w14:textId="003B38EE" w:rsidR="00865859" w:rsidRPr="009D0A4A" w:rsidRDefault="00865859">
            <w:r w:rsidRPr="009D0A4A">
              <w:rPr>
                <w:noProof/>
                <w:lang w:eastAsia="en-AU"/>
              </w:rPr>
              <w:drawing>
                <wp:inline distT="0" distB="0" distL="0" distR="0" wp14:anchorId="6579E6B4" wp14:editId="4BA7D24A">
                  <wp:extent cx="533400" cy="533400"/>
                  <wp:effectExtent l="0" t="0" r="0" b="0"/>
                  <wp:docPr id="8" name="Graphic 8" descr="Badge Cross with solid fill"/>
                  <wp:cNvGraphicFramePr/>
                  <a:graphic xmlns:a="http://schemas.openxmlformats.org/drawingml/2006/main">
                    <a:graphicData uri="http://schemas.openxmlformats.org/drawingml/2006/picture">
                      <pic:pic xmlns:pic="http://schemas.openxmlformats.org/drawingml/2006/picture">
                        <pic:nvPicPr>
                          <pic:cNvPr id="8" name="Graphic 8"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8" w:type="dxa"/>
            <w:hideMark/>
          </w:tcPr>
          <w:p w14:paraId="082F2886" w14:textId="163581EF" w:rsidR="00865859" w:rsidRPr="009D0A4A" w:rsidRDefault="00865859">
            <w:r w:rsidRPr="009D0A4A">
              <w:rPr>
                <w:noProof/>
                <w:lang w:eastAsia="en-AU"/>
              </w:rPr>
              <w:drawing>
                <wp:inline distT="0" distB="0" distL="0" distR="0" wp14:anchorId="10947BFB" wp14:editId="076A5B19">
                  <wp:extent cx="533400" cy="533400"/>
                  <wp:effectExtent l="0" t="0" r="0" b="0"/>
                  <wp:docPr id="27" name="Graphic 27" descr="Badge Cross with solid fill"/>
                  <wp:cNvGraphicFramePr/>
                  <a:graphic xmlns:a="http://schemas.openxmlformats.org/drawingml/2006/main">
                    <a:graphicData uri="http://schemas.openxmlformats.org/drawingml/2006/picture">
                      <pic:pic xmlns:pic="http://schemas.openxmlformats.org/drawingml/2006/picture">
                        <pic:nvPicPr>
                          <pic:cNvPr id="27" name="Graphic 27"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7" w:type="dxa"/>
            <w:hideMark/>
          </w:tcPr>
          <w:p w14:paraId="143254E1" w14:textId="28981248" w:rsidR="00865859" w:rsidRPr="009D0A4A" w:rsidRDefault="00865859">
            <w:r w:rsidRPr="009D0A4A">
              <w:rPr>
                <w:noProof/>
                <w:lang w:eastAsia="en-AU"/>
              </w:rPr>
              <w:drawing>
                <wp:inline distT="0" distB="0" distL="0" distR="0" wp14:anchorId="2B6517F0" wp14:editId="5ACA93E1">
                  <wp:extent cx="533400" cy="533400"/>
                  <wp:effectExtent l="0" t="0" r="0" b="0"/>
                  <wp:docPr id="34" name="Graphic 34" descr="Badge Tick with solid fill"/>
                  <wp:cNvGraphicFramePr/>
                  <a:graphic xmlns:a="http://schemas.openxmlformats.org/drawingml/2006/main">
                    <a:graphicData uri="http://schemas.openxmlformats.org/drawingml/2006/picture">
                      <pic:pic xmlns:pic="http://schemas.openxmlformats.org/drawingml/2006/picture">
                        <pic:nvPicPr>
                          <pic:cNvPr id="34" name="Graphic 34" descr="Badge Tick with solid fill"/>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528955" cy="528955"/>
                          </a:xfrm>
                          <a:prstGeom prst="rect">
                            <a:avLst/>
                          </a:prstGeom>
                        </pic:spPr>
                      </pic:pic>
                    </a:graphicData>
                  </a:graphic>
                </wp:inline>
              </w:drawing>
            </w:r>
          </w:p>
        </w:tc>
        <w:tc>
          <w:tcPr>
            <w:tcW w:w="1158" w:type="dxa"/>
            <w:hideMark/>
          </w:tcPr>
          <w:p w14:paraId="69EEF80E" w14:textId="3466FBBA" w:rsidR="00865859" w:rsidRPr="009D0A4A" w:rsidRDefault="00865859">
            <w:r w:rsidRPr="009D0A4A">
              <w:rPr>
                <w:noProof/>
                <w:lang w:eastAsia="en-AU"/>
              </w:rPr>
              <w:drawing>
                <wp:inline distT="0" distB="0" distL="0" distR="0" wp14:anchorId="60541E2A" wp14:editId="6A5AB1E1">
                  <wp:extent cx="533400" cy="533400"/>
                  <wp:effectExtent l="0" t="0" r="0" b="0"/>
                  <wp:docPr id="59" name="Graphic 59" descr="Badge Cross with solid fill"/>
                  <wp:cNvGraphicFramePr/>
                  <a:graphic xmlns:a="http://schemas.openxmlformats.org/drawingml/2006/main">
                    <a:graphicData uri="http://schemas.openxmlformats.org/drawingml/2006/picture">
                      <pic:pic xmlns:pic="http://schemas.openxmlformats.org/drawingml/2006/picture">
                        <pic:nvPicPr>
                          <pic:cNvPr id="59" name="Graphic 59"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7" w:type="dxa"/>
            <w:hideMark/>
          </w:tcPr>
          <w:p w14:paraId="0FAF1365" w14:textId="483A223A" w:rsidR="00865859" w:rsidRPr="009D0A4A" w:rsidRDefault="008E7B44">
            <w:r w:rsidRPr="009D0A4A">
              <w:rPr>
                <w:noProof/>
                <w:lang w:eastAsia="en-AU"/>
              </w:rPr>
              <w:drawing>
                <wp:inline distT="0" distB="0" distL="0" distR="0" wp14:anchorId="793FE308" wp14:editId="22F5B38D">
                  <wp:extent cx="533400" cy="533400"/>
                  <wp:effectExtent l="0" t="0" r="0" b="0"/>
                  <wp:docPr id="63" name="Graphic 63" descr="Badge Tick with solid fill"/>
                  <wp:cNvGraphicFramePr/>
                  <a:graphic xmlns:a="http://schemas.openxmlformats.org/drawingml/2006/main">
                    <a:graphicData uri="http://schemas.openxmlformats.org/drawingml/2006/picture">
                      <pic:pic xmlns:pic="http://schemas.openxmlformats.org/drawingml/2006/picture">
                        <pic:nvPicPr>
                          <pic:cNvPr id="34" name="Graphic 34" descr="Badge Tick with solid fill"/>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528955" cy="528955"/>
                          </a:xfrm>
                          <a:prstGeom prst="rect">
                            <a:avLst/>
                          </a:prstGeom>
                        </pic:spPr>
                      </pic:pic>
                    </a:graphicData>
                  </a:graphic>
                </wp:inline>
              </w:drawing>
            </w:r>
          </w:p>
        </w:tc>
        <w:tc>
          <w:tcPr>
            <w:tcW w:w="1158" w:type="dxa"/>
            <w:hideMark/>
          </w:tcPr>
          <w:p w14:paraId="4A87C928" w14:textId="3A4BC441" w:rsidR="00865859" w:rsidRPr="009D0A4A" w:rsidRDefault="008E7B44">
            <w:r w:rsidRPr="009D0A4A">
              <w:rPr>
                <w:noProof/>
                <w:lang w:eastAsia="en-AU"/>
              </w:rPr>
              <w:drawing>
                <wp:inline distT="0" distB="0" distL="0" distR="0" wp14:anchorId="07B4C683" wp14:editId="3D303B59">
                  <wp:extent cx="533400" cy="533400"/>
                  <wp:effectExtent l="0" t="0" r="0" b="0"/>
                  <wp:docPr id="64" name="Graphic 64" descr="Badge Tick with solid fill"/>
                  <wp:cNvGraphicFramePr/>
                  <a:graphic xmlns:a="http://schemas.openxmlformats.org/drawingml/2006/main">
                    <a:graphicData uri="http://schemas.openxmlformats.org/drawingml/2006/picture">
                      <pic:pic xmlns:pic="http://schemas.openxmlformats.org/drawingml/2006/picture">
                        <pic:nvPicPr>
                          <pic:cNvPr id="34" name="Graphic 34" descr="Badge Tick with solid fill"/>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528955" cy="528955"/>
                          </a:xfrm>
                          <a:prstGeom prst="rect">
                            <a:avLst/>
                          </a:prstGeom>
                        </pic:spPr>
                      </pic:pic>
                    </a:graphicData>
                  </a:graphic>
                </wp:inline>
              </w:drawing>
            </w:r>
          </w:p>
        </w:tc>
      </w:tr>
      <w:tr w:rsidR="00865859" w:rsidRPr="009D0A4A" w14:paraId="2EC8A725" w14:textId="77777777" w:rsidTr="000823EF">
        <w:trPr>
          <w:cnfStyle w:val="000000100000" w:firstRow="0" w:lastRow="0" w:firstColumn="0" w:lastColumn="0" w:oddVBand="0" w:evenVBand="0" w:oddHBand="1" w:evenHBand="0" w:firstRowFirstColumn="0" w:firstRowLastColumn="0" w:lastRowFirstColumn="0" w:lastRowLastColumn="0"/>
          <w:trHeight w:val="1021"/>
        </w:trPr>
        <w:tc>
          <w:tcPr>
            <w:tcW w:w="3256" w:type="dxa"/>
            <w:hideMark/>
          </w:tcPr>
          <w:p w14:paraId="77280123" w14:textId="77777777" w:rsidR="00865859" w:rsidRPr="009D0A4A" w:rsidRDefault="00865859">
            <w:pPr>
              <w:rPr>
                <w:b/>
                <w:bCs/>
              </w:rPr>
            </w:pPr>
            <w:r w:rsidRPr="009D0A4A">
              <w:rPr>
                <w:b/>
                <w:bCs/>
              </w:rPr>
              <w:t>National licensing framework for engineered stone</w:t>
            </w:r>
          </w:p>
        </w:tc>
        <w:tc>
          <w:tcPr>
            <w:tcW w:w="1157" w:type="dxa"/>
            <w:hideMark/>
          </w:tcPr>
          <w:p w14:paraId="54C0A5E2" w14:textId="7E38C059" w:rsidR="00865859" w:rsidRPr="009D0A4A" w:rsidRDefault="00865859">
            <w:r w:rsidRPr="009D0A4A">
              <w:rPr>
                <w:noProof/>
                <w:lang w:eastAsia="en-AU"/>
              </w:rPr>
              <w:drawing>
                <wp:inline distT="0" distB="0" distL="0" distR="0" wp14:anchorId="35D69A3A" wp14:editId="5BA258E2">
                  <wp:extent cx="533400" cy="533400"/>
                  <wp:effectExtent l="0" t="0" r="0" b="0"/>
                  <wp:docPr id="9" name="Graphic 9" descr="Badge Cross with solid fill"/>
                  <wp:cNvGraphicFramePr/>
                  <a:graphic xmlns:a="http://schemas.openxmlformats.org/drawingml/2006/main">
                    <a:graphicData uri="http://schemas.openxmlformats.org/drawingml/2006/picture">
                      <pic:pic xmlns:pic="http://schemas.openxmlformats.org/drawingml/2006/picture">
                        <pic:nvPicPr>
                          <pic:cNvPr id="9" name="Graphic 9"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8" w:type="dxa"/>
            <w:hideMark/>
          </w:tcPr>
          <w:p w14:paraId="7DA8A6D7" w14:textId="70587F20" w:rsidR="00865859" w:rsidRPr="009D0A4A" w:rsidRDefault="00865859">
            <w:r w:rsidRPr="009D0A4A">
              <w:rPr>
                <w:noProof/>
                <w:lang w:eastAsia="en-AU"/>
              </w:rPr>
              <w:drawing>
                <wp:inline distT="0" distB="0" distL="0" distR="0" wp14:anchorId="04E76E27" wp14:editId="72959A97">
                  <wp:extent cx="533400" cy="533400"/>
                  <wp:effectExtent l="0" t="0" r="0" b="0"/>
                  <wp:docPr id="28" name="Graphic 28" descr="Badge Cross with solid fill"/>
                  <wp:cNvGraphicFramePr/>
                  <a:graphic xmlns:a="http://schemas.openxmlformats.org/drawingml/2006/main">
                    <a:graphicData uri="http://schemas.openxmlformats.org/drawingml/2006/picture">
                      <pic:pic xmlns:pic="http://schemas.openxmlformats.org/drawingml/2006/picture">
                        <pic:nvPicPr>
                          <pic:cNvPr id="28" name="Graphic 28"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7" w:type="dxa"/>
            <w:hideMark/>
          </w:tcPr>
          <w:p w14:paraId="4A157AD8" w14:textId="303D06E6" w:rsidR="00865859" w:rsidRPr="009D0A4A" w:rsidRDefault="00865859">
            <w:r w:rsidRPr="009D0A4A">
              <w:rPr>
                <w:noProof/>
                <w:lang w:eastAsia="en-AU"/>
              </w:rPr>
              <w:drawing>
                <wp:inline distT="0" distB="0" distL="0" distR="0" wp14:anchorId="3D7981CB" wp14:editId="0205B6A8">
                  <wp:extent cx="533400" cy="533400"/>
                  <wp:effectExtent l="0" t="0" r="0" b="0"/>
                  <wp:docPr id="51" name="Graphic 51" descr="Badge Cross with solid fill"/>
                  <wp:cNvGraphicFramePr/>
                  <a:graphic xmlns:a="http://schemas.openxmlformats.org/drawingml/2006/main">
                    <a:graphicData uri="http://schemas.openxmlformats.org/drawingml/2006/picture">
                      <pic:pic xmlns:pic="http://schemas.openxmlformats.org/drawingml/2006/picture">
                        <pic:nvPicPr>
                          <pic:cNvPr id="51" name="Graphic 51"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8" w:type="dxa"/>
            <w:hideMark/>
          </w:tcPr>
          <w:p w14:paraId="35168A4F" w14:textId="08FE088B" w:rsidR="00865859" w:rsidRPr="009D0A4A" w:rsidRDefault="00865859">
            <w:r w:rsidRPr="009D0A4A">
              <w:rPr>
                <w:noProof/>
                <w:lang w:eastAsia="en-AU"/>
              </w:rPr>
              <w:drawing>
                <wp:inline distT="0" distB="0" distL="0" distR="0" wp14:anchorId="7975285A" wp14:editId="1F1BCFC2">
                  <wp:extent cx="533400" cy="533400"/>
                  <wp:effectExtent l="0" t="0" r="0" b="0"/>
                  <wp:docPr id="35" name="Graphic 35" descr="Badge Tick with solid fill"/>
                  <wp:cNvGraphicFramePr/>
                  <a:graphic xmlns:a="http://schemas.openxmlformats.org/drawingml/2006/main">
                    <a:graphicData uri="http://schemas.openxmlformats.org/drawingml/2006/picture">
                      <pic:pic xmlns:pic="http://schemas.openxmlformats.org/drawingml/2006/picture">
                        <pic:nvPicPr>
                          <pic:cNvPr id="35" name="Graphic 35" descr="Badge Tick with solid fill"/>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528955" cy="528955"/>
                          </a:xfrm>
                          <a:prstGeom prst="rect">
                            <a:avLst/>
                          </a:prstGeom>
                        </pic:spPr>
                      </pic:pic>
                    </a:graphicData>
                  </a:graphic>
                </wp:inline>
              </w:drawing>
            </w:r>
          </w:p>
        </w:tc>
        <w:tc>
          <w:tcPr>
            <w:tcW w:w="1157" w:type="dxa"/>
            <w:hideMark/>
          </w:tcPr>
          <w:p w14:paraId="3CC4CA5F" w14:textId="249E6F7A" w:rsidR="00865859" w:rsidRPr="009D0A4A" w:rsidRDefault="00865859">
            <w:r w:rsidRPr="009D0A4A">
              <w:rPr>
                <w:noProof/>
                <w:lang w:eastAsia="en-AU"/>
              </w:rPr>
              <w:drawing>
                <wp:inline distT="0" distB="0" distL="0" distR="0" wp14:anchorId="1E99FC35" wp14:editId="013D381D">
                  <wp:extent cx="533400" cy="533400"/>
                  <wp:effectExtent l="0" t="0" r="0" b="0"/>
                  <wp:docPr id="41" name="Graphic 41" descr="Badge Cross with solid fill"/>
                  <wp:cNvGraphicFramePr/>
                  <a:graphic xmlns:a="http://schemas.openxmlformats.org/drawingml/2006/main">
                    <a:graphicData uri="http://schemas.openxmlformats.org/drawingml/2006/picture">
                      <pic:pic xmlns:pic="http://schemas.openxmlformats.org/drawingml/2006/picture">
                        <pic:nvPicPr>
                          <pic:cNvPr id="41" name="Graphic 41"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8" w:type="dxa"/>
            <w:hideMark/>
          </w:tcPr>
          <w:p w14:paraId="649477E6" w14:textId="255516B3" w:rsidR="00865859" w:rsidRPr="009D0A4A" w:rsidRDefault="00865859">
            <w:r w:rsidRPr="009D0A4A">
              <w:rPr>
                <w:noProof/>
                <w:lang w:eastAsia="en-AU"/>
              </w:rPr>
              <w:drawing>
                <wp:inline distT="0" distB="0" distL="0" distR="0" wp14:anchorId="146D4C4E" wp14:editId="244FD2C2">
                  <wp:extent cx="533400" cy="533400"/>
                  <wp:effectExtent l="0" t="0" r="0" b="0"/>
                  <wp:docPr id="57" name="Graphic 57" descr="Badge Cross with solid fill"/>
                  <wp:cNvGraphicFramePr/>
                  <a:graphic xmlns:a="http://schemas.openxmlformats.org/drawingml/2006/main">
                    <a:graphicData uri="http://schemas.openxmlformats.org/drawingml/2006/picture">
                      <pic:pic xmlns:pic="http://schemas.openxmlformats.org/drawingml/2006/picture">
                        <pic:nvPicPr>
                          <pic:cNvPr id="57" name="Graphic 57"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r>
      <w:tr w:rsidR="00865859" w:rsidRPr="009D0A4A" w14:paraId="4D49FC9E" w14:textId="77777777" w:rsidTr="000823EF">
        <w:trPr>
          <w:cnfStyle w:val="000000010000" w:firstRow="0" w:lastRow="0" w:firstColumn="0" w:lastColumn="0" w:oddVBand="0" w:evenVBand="0" w:oddHBand="0" w:evenHBand="1" w:firstRowFirstColumn="0" w:firstRowLastColumn="0" w:lastRowFirstColumn="0" w:lastRowLastColumn="0"/>
          <w:trHeight w:val="1021"/>
        </w:trPr>
        <w:tc>
          <w:tcPr>
            <w:tcW w:w="3256" w:type="dxa"/>
            <w:hideMark/>
          </w:tcPr>
          <w:p w14:paraId="5D94B9CE" w14:textId="3E49E66F" w:rsidR="00865859" w:rsidRPr="009D0A4A" w:rsidRDefault="00865859">
            <w:pPr>
              <w:rPr>
                <w:b/>
                <w:bCs/>
              </w:rPr>
            </w:pPr>
            <w:r w:rsidRPr="009D0A4A">
              <w:rPr>
                <w:b/>
                <w:bCs/>
              </w:rPr>
              <w:t xml:space="preserve">Mandatory reporting of </w:t>
            </w:r>
            <w:r w:rsidR="008E7B44" w:rsidRPr="009D0A4A">
              <w:rPr>
                <w:b/>
                <w:bCs/>
              </w:rPr>
              <w:t xml:space="preserve">all </w:t>
            </w:r>
            <w:r w:rsidRPr="00EF4444">
              <w:rPr>
                <w:b/>
                <w:bCs/>
              </w:rPr>
              <w:t>air</w:t>
            </w:r>
            <w:r w:rsidRPr="009D0A4A">
              <w:rPr>
                <w:b/>
                <w:bCs/>
              </w:rPr>
              <w:t xml:space="preserve"> monitoring</w:t>
            </w:r>
          </w:p>
        </w:tc>
        <w:tc>
          <w:tcPr>
            <w:tcW w:w="1157" w:type="dxa"/>
            <w:hideMark/>
          </w:tcPr>
          <w:p w14:paraId="2DA90608" w14:textId="7D760534" w:rsidR="00865859" w:rsidRPr="009D0A4A" w:rsidRDefault="00865859">
            <w:r w:rsidRPr="009D0A4A">
              <w:rPr>
                <w:noProof/>
                <w:lang w:eastAsia="en-AU"/>
              </w:rPr>
              <w:drawing>
                <wp:inline distT="0" distB="0" distL="0" distR="0" wp14:anchorId="6FF77572" wp14:editId="6D44A4E0">
                  <wp:extent cx="533400" cy="533400"/>
                  <wp:effectExtent l="0" t="0" r="0" b="0"/>
                  <wp:docPr id="11" name="Graphic 11" descr="Badge Cross with solid fill"/>
                  <wp:cNvGraphicFramePr/>
                  <a:graphic xmlns:a="http://schemas.openxmlformats.org/drawingml/2006/main">
                    <a:graphicData uri="http://schemas.openxmlformats.org/drawingml/2006/picture">
                      <pic:pic xmlns:pic="http://schemas.openxmlformats.org/drawingml/2006/picture">
                        <pic:nvPicPr>
                          <pic:cNvPr id="11" name="Graphic 11"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8" w:type="dxa"/>
            <w:hideMark/>
          </w:tcPr>
          <w:p w14:paraId="4859247E" w14:textId="45D1F323" w:rsidR="00865859" w:rsidRPr="009D0A4A" w:rsidRDefault="00865859">
            <w:r w:rsidRPr="009D0A4A">
              <w:rPr>
                <w:noProof/>
                <w:lang w:eastAsia="en-AU"/>
              </w:rPr>
              <w:drawing>
                <wp:inline distT="0" distB="0" distL="0" distR="0" wp14:anchorId="036187A2" wp14:editId="34A1FF75">
                  <wp:extent cx="533400" cy="533400"/>
                  <wp:effectExtent l="0" t="0" r="0" b="0"/>
                  <wp:docPr id="30" name="Graphic 30" descr="Badge Cross with solid fill"/>
                  <wp:cNvGraphicFramePr/>
                  <a:graphic xmlns:a="http://schemas.openxmlformats.org/drawingml/2006/main">
                    <a:graphicData uri="http://schemas.openxmlformats.org/drawingml/2006/picture">
                      <pic:pic xmlns:pic="http://schemas.openxmlformats.org/drawingml/2006/picture">
                        <pic:nvPicPr>
                          <pic:cNvPr id="30" name="Graphic 30"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7" w:type="dxa"/>
            <w:hideMark/>
          </w:tcPr>
          <w:p w14:paraId="1ED9C978" w14:textId="36F4D6EF" w:rsidR="00865859" w:rsidRPr="009D0A4A" w:rsidRDefault="00865859">
            <w:r w:rsidRPr="009D0A4A">
              <w:rPr>
                <w:noProof/>
                <w:lang w:eastAsia="en-AU"/>
              </w:rPr>
              <w:drawing>
                <wp:inline distT="0" distB="0" distL="0" distR="0" wp14:anchorId="4F9D1702" wp14:editId="4C4966AD">
                  <wp:extent cx="533400" cy="533400"/>
                  <wp:effectExtent l="0" t="0" r="0" b="0"/>
                  <wp:docPr id="53" name="Graphic 53" descr="Badge Cross with solid fill"/>
                  <wp:cNvGraphicFramePr/>
                  <a:graphic xmlns:a="http://schemas.openxmlformats.org/drawingml/2006/main">
                    <a:graphicData uri="http://schemas.openxmlformats.org/drawingml/2006/picture">
                      <pic:pic xmlns:pic="http://schemas.openxmlformats.org/drawingml/2006/picture">
                        <pic:nvPicPr>
                          <pic:cNvPr id="53" name="Graphic 53"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8" w:type="dxa"/>
            <w:hideMark/>
          </w:tcPr>
          <w:p w14:paraId="2412D650" w14:textId="27489909" w:rsidR="00865859" w:rsidRPr="009D0A4A" w:rsidRDefault="008E7B44">
            <w:r w:rsidRPr="009D0A4A">
              <w:rPr>
                <w:noProof/>
                <w:lang w:eastAsia="en-AU"/>
              </w:rPr>
              <w:drawing>
                <wp:inline distT="0" distB="0" distL="0" distR="0" wp14:anchorId="2723C74A" wp14:editId="22A11BA8">
                  <wp:extent cx="533400" cy="533400"/>
                  <wp:effectExtent l="0" t="0" r="0" b="0"/>
                  <wp:docPr id="2" name="Graphic 2" descr="Badge Tick with solid fill"/>
                  <wp:cNvGraphicFramePr/>
                  <a:graphic xmlns:a="http://schemas.openxmlformats.org/drawingml/2006/main">
                    <a:graphicData uri="http://schemas.openxmlformats.org/drawingml/2006/picture">
                      <pic:pic xmlns:pic="http://schemas.openxmlformats.org/drawingml/2006/picture">
                        <pic:nvPicPr>
                          <pic:cNvPr id="43" name="Graphic 43" descr="Badge Tick with solid fill"/>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528955" cy="528955"/>
                          </a:xfrm>
                          <a:prstGeom prst="rect">
                            <a:avLst/>
                          </a:prstGeom>
                        </pic:spPr>
                      </pic:pic>
                    </a:graphicData>
                  </a:graphic>
                </wp:inline>
              </w:drawing>
            </w:r>
          </w:p>
        </w:tc>
        <w:tc>
          <w:tcPr>
            <w:tcW w:w="1157" w:type="dxa"/>
            <w:hideMark/>
          </w:tcPr>
          <w:p w14:paraId="01B48D1D" w14:textId="66C74ACB" w:rsidR="00865859" w:rsidRPr="009D0A4A" w:rsidRDefault="00865859">
            <w:r w:rsidRPr="009D0A4A">
              <w:rPr>
                <w:noProof/>
                <w:lang w:eastAsia="en-AU"/>
              </w:rPr>
              <w:drawing>
                <wp:inline distT="0" distB="0" distL="0" distR="0" wp14:anchorId="0BA25E07" wp14:editId="69C93370">
                  <wp:extent cx="533400" cy="533400"/>
                  <wp:effectExtent l="0" t="0" r="0" b="0"/>
                  <wp:docPr id="43" name="Graphic 43" descr="Badge Tick with solid fill"/>
                  <wp:cNvGraphicFramePr/>
                  <a:graphic xmlns:a="http://schemas.openxmlformats.org/drawingml/2006/main">
                    <a:graphicData uri="http://schemas.openxmlformats.org/drawingml/2006/picture">
                      <pic:pic xmlns:pic="http://schemas.openxmlformats.org/drawingml/2006/picture">
                        <pic:nvPicPr>
                          <pic:cNvPr id="43" name="Graphic 43" descr="Badge Tick with solid fill"/>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528955" cy="528955"/>
                          </a:xfrm>
                          <a:prstGeom prst="rect">
                            <a:avLst/>
                          </a:prstGeom>
                        </pic:spPr>
                      </pic:pic>
                    </a:graphicData>
                  </a:graphic>
                </wp:inline>
              </w:drawing>
            </w:r>
          </w:p>
        </w:tc>
        <w:tc>
          <w:tcPr>
            <w:tcW w:w="1158" w:type="dxa"/>
            <w:hideMark/>
          </w:tcPr>
          <w:p w14:paraId="0696410B" w14:textId="0EB5286C" w:rsidR="00865859" w:rsidRPr="009D0A4A" w:rsidRDefault="00865859">
            <w:r w:rsidRPr="009D0A4A">
              <w:rPr>
                <w:noProof/>
                <w:lang w:eastAsia="en-AU"/>
              </w:rPr>
              <w:drawing>
                <wp:inline distT="0" distB="0" distL="0" distR="0" wp14:anchorId="6EFDE617" wp14:editId="1179F4E8">
                  <wp:extent cx="533400" cy="533400"/>
                  <wp:effectExtent l="0" t="0" r="0" b="0"/>
                  <wp:docPr id="47" name="Graphic 47" descr="Badge Tick with solid fill"/>
                  <wp:cNvGraphicFramePr/>
                  <a:graphic xmlns:a="http://schemas.openxmlformats.org/drawingml/2006/main">
                    <a:graphicData uri="http://schemas.openxmlformats.org/drawingml/2006/picture">
                      <pic:pic xmlns:pic="http://schemas.openxmlformats.org/drawingml/2006/picture">
                        <pic:nvPicPr>
                          <pic:cNvPr id="47" name="Graphic 47" descr="Badge Tick with solid fill"/>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528955" cy="528955"/>
                          </a:xfrm>
                          <a:prstGeom prst="rect">
                            <a:avLst/>
                          </a:prstGeom>
                        </pic:spPr>
                      </pic:pic>
                    </a:graphicData>
                  </a:graphic>
                </wp:inline>
              </w:drawing>
            </w:r>
          </w:p>
        </w:tc>
      </w:tr>
      <w:tr w:rsidR="00865859" w:rsidRPr="009D0A4A" w14:paraId="20E0858E" w14:textId="77777777" w:rsidTr="000823EF">
        <w:trPr>
          <w:cnfStyle w:val="000000100000" w:firstRow="0" w:lastRow="0" w:firstColumn="0" w:lastColumn="0" w:oddVBand="0" w:evenVBand="0" w:oddHBand="1" w:evenHBand="0" w:firstRowFirstColumn="0" w:firstRowLastColumn="0" w:lastRowFirstColumn="0" w:lastRowLastColumn="0"/>
          <w:trHeight w:val="1021"/>
        </w:trPr>
        <w:tc>
          <w:tcPr>
            <w:tcW w:w="3256" w:type="dxa"/>
            <w:hideMark/>
          </w:tcPr>
          <w:p w14:paraId="2A6D1E05" w14:textId="7E7D864F" w:rsidR="00865859" w:rsidRPr="009D0A4A" w:rsidRDefault="00865859">
            <w:pPr>
              <w:rPr>
                <w:b/>
                <w:bCs/>
              </w:rPr>
            </w:pPr>
            <w:r w:rsidRPr="009D0A4A">
              <w:rPr>
                <w:b/>
                <w:bCs/>
              </w:rPr>
              <w:t xml:space="preserve">Mandatory reporting of </w:t>
            </w:r>
            <w:r w:rsidR="008E7B44" w:rsidRPr="009D0A4A">
              <w:rPr>
                <w:b/>
                <w:bCs/>
              </w:rPr>
              <w:t xml:space="preserve">all </w:t>
            </w:r>
            <w:r w:rsidRPr="00EF4444">
              <w:rPr>
                <w:b/>
                <w:bCs/>
              </w:rPr>
              <w:t>health</w:t>
            </w:r>
            <w:r w:rsidRPr="00EF4444">
              <w:rPr>
                <w:b/>
                <w:bCs/>
                <w:u w:val="single"/>
              </w:rPr>
              <w:t xml:space="preserve"> </w:t>
            </w:r>
            <w:r w:rsidRPr="009D0A4A">
              <w:rPr>
                <w:b/>
                <w:bCs/>
              </w:rPr>
              <w:t>monitoring</w:t>
            </w:r>
          </w:p>
        </w:tc>
        <w:tc>
          <w:tcPr>
            <w:tcW w:w="1157" w:type="dxa"/>
            <w:hideMark/>
          </w:tcPr>
          <w:p w14:paraId="37256E33" w14:textId="02B7EA4D" w:rsidR="00865859" w:rsidRPr="009D0A4A" w:rsidRDefault="00865859">
            <w:r w:rsidRPr="009D0A4A">
              <w:rPr>
                <w:noProof/>
                <w:lang w:eastAsia="en-AU"/>
              </w:rPr>
              <w:drawing>
                <wp:inline distT="0" distB="0" distL="0" distR="0" wp14:anchorId="1D70FF5D" wp14:editId="3A1CECDF">
                  <wp:extent cx="533400" cy="533400"/>
                  <wp:effectExtent l="0" t="0" r="0" b="0"/>
                  <wp:docPr id="12" name="Graphic 12" descr="Badge Cross with solid fill"/>
                  <wp:cNvGraphicFramePr/>
                  <a:graphic xmlns:a="http://schemas.openxmlformats.org/drawingml/2006/main">
                    <a:graphicData uri="http://schemas.openxmlformats.org/drawingml/2006/picture">
                      <pic:pic xmlns:pic="http://schemas.openxmlformats.org/drawingml/2006/picture">
                        <pic:nvPicPr>
                          <pic:cNvPr id="12" name="Graphic 12"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8" w:type="dxa"/>
            <w:hideMark/>
          </w:tcPr>
          <w:p w14:paraId="32015FD6" w14:textId="45BB7207" w:rsidR="00865859" w:rsidRPr="009D0A4A" w:rsidRDefault="00865859">
            <w:r w:rsidRPr="009D0A4A">
              <w:rPr>
                <w:noProof/>
                <w:lang w:eastAsia="en-AU"/>
              </w:rPr>
              <w:drawing>
                <wp:inline distT="0" distB="0" distL="0" distR="0" wp14:anchorId="130141C5" wp14:editId="40242565">
                  <wp:extent cx="533400" cy="533400"/>
                  <wp:effectExtent l="0" t="0" r="0" b="0"/>
                  <wp:docPr id="31" name="Graphic 31" descr="Badge Cross with solid fill"/>
                  <wp:cNvGraphicFramePr/>
                  <a:graphic xmlns:a="http://schemas.openxmlformats.org/drawingml/2006/main">
                    <a:graphicData uri="http://schemas.openxmlformats.org/drawingml/2006/picture">
                      <pic:pic xmlns:pic="http://schemas.openxmlformats.org/drawingml/2006/picture">
                        <pic:nvPicPr>
                          <pic:cNvPr id="31" name="Graphic 31"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7" w:type="dxa"/>
            <w:hideMark/>
          </w:tcPr>
          <w:p w14:paraId="79C66F41" w14:textId="2E52C9DF" w:rsidR="00865859" w:rsidRPr="009D0A4A" w:rsidRDefault="00865859">
            <w:r w:rsidRPr="009D0A4A">
              <w:rPr>
                <w:noProof/>
                <w:lang w:eastAsia="en-AU"/>
              </w:rPr>
              <w:drawing>
                <wp:inline distT="0" distB="0" distL="0" distR="0" wp14:anchorId="3244D1C6" wp14:editId="002F36B7">
                  <wp:extent cx="533400" cy="533400"/>
                  <wp:effectExtent l="0" t="0" r="0" b="0"/>
                  <wp:docPr id="54" name="Graphic 54" descr="Badge Cross with solid fill"/>
                  <wp:cNvGraphicFramePr/>
                  <a:graphic xmlns:a="http://schemas.openxmlformats.org/drawingml/2006/main">
                    <a:graphicData uri="http://schemas.openxmlformats.org/drawingml/2006/picture">
                      <pic:pic xmlns:pic="http://schemas.openxmlformats.org/drawingml/2006/picture">
                        <pic:nvPicPr>
                          <pic:cNvPr id="54" name="Graphic 54"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8" w:type="dxa"/>
            <w:hideMark/>
          </w:tcPr>
          <w:p w14:paraId="4CA6FAA3" w14:textId="5BB56DCD" w:rsidR="00865859" w:rsidRPr="009D0A4A" w:rsidRDefault="008E7B44">
            <w:r w:rsidRPr="009D0A4A">
              <w:rPr>
                <w:noProof/>
                <w:lang w:eastAsia="en-AU"/>
              </w:rPr>
              <w:drawing>
                <wp:inline distT="0" distB="0" distL="0" distR="0" wp14:anchorId="5A423F51" wp14:editId="3A83EB34">
                  <wp:extent cx="533400" cy="533400"/>
                  <wp:effectExtent l="0" t="0" r="0" b="0"/>
                  <wp:docPr id="6" name="Graphic 6" descr="Badge Tick with solid fill"/>
                  <wp:cNvGraphicFramePr/>
                  <a:graphic xmlns:a="http://schemas.openxmlformats.org/drawingml/2006/main">
                    <a:graphicData uri="http://schemas.openxmlformats.org/drawingml/2006/picture">
                      <pic:pic xmlns:pic="http://schemas.openxmlformats.org/drawingml/2006/picture">
                        <pic:nvPicPr>
                          <pic:cNvPr id="43" name="Graphic 43" descr="Badge Tick with solid fill"/>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528955" cy="528955"/>
                          </a:xfrm>
                          <a:prstGeom prst="rect">
                            <a:avLst/>
                          </a:prstGeom>
                        </pic:spPr>
                      </pic:pic>
                    </a:graphicData>
                  </a:graphic>
                </wp:inline>
              </w:drawing>
            </w:r>
          </w:p>
        </w:tc>
        <w:tc>
          <w:tcPr>
            <w:tcW w:w="1157" w:type="dxa"/>
            <w:hideMark/>
          </w:tcPr>
          <w:p w14:paraId="3CEA19F4" w14:textId="3E633B58" w:rsidR="00865859" w:rsidRPr="009D0A4A" w:rsidRDefault="00865859">
            <w:r w:rsidRPr="009D0A4A">
              <w:rPr>
                <w:noProof/>
                <w:lang w:eastAsia="en-AU"/>
              </w:rPr>
              <w:drawing>
                <wp:inline distT="0" distB="0" distL="0" distR="0" wp14:anchorId="7B6E26BD" wp14:editId="67C652CC">
                  <wp:extent cx="533400" cy="533400"/>
                  <wp:effectExtent l="0" t="0" r="0" b="0"/>
                  <wp:docPr id="44" name="Graphic 44" descr="Badge Tick with solid fill"/>
                  <wp:cNvGraphicFramePr/>
                  <a:graphic xmlns:a="http://schemas.openxmlformats.org/drawingml/2006/main">
                    <a:graphicData uri="http://schemas.openxmlformats.org/drawingml/2006/picture">
                      <pic:pic xmlns:pic="http://schemas.openxmlformats.org/drawingml/2006/picture">
                        <pic:nvPicPr>
                          <pic:cNvPr id="44" name="Graphic 44" descr="Badge Tick with solid fill"/>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528955" cy="528955"/>
                          </a:xfrm>
                          <a:prstGeom prst="rect">
                            <a:avLst/>
                          </a:prstGeom>
                        </pic:spPr>
                      </pic:pic>
                    </a:graphicData>
                  </a:graphic>
                </wp:inline>
              </w:drawing>
            </w:r>
          </w:p>
        </w:tc>
        <w:tc>
          <w:tcPr>
            <w:tcW w:w="1158" w:type="dxa"/>
            <w:hideMark/>
          </w:tcPr>
          <w:p w14:paraId="7BF27E34" w14:textId="526BDC0A" w:rsidR="00865859" w:rsidRPr="009D0A4A" w:rsidRDefault="00865859">
            <w:r w:rsidRPr="009D0A4A">
              <w:rPr>
                <w:noProof/>
                <w:lang w:eastAsia="en-AU"/>
              </w:rPr>
              <w:drawing>
                <wp:inline distT="0" distB="0" distL="0" distR="0" wp14:anchorId="4BD12642" wp14:editId="35AD3F8D">
                  <wp:extent cx="533400" cy="533400"/>
                  <wp:effectExtent l="0" t="0" r="0" b="0"/>
                  <wp:docPr id="48" name="Graphic 48" descr="Badge Tick with solid fill"/>
                  <wp:cNvGraphicFramePr/>
                  <a:graphic xmlns:a="http://schemas.openxmlformats.org/drawingml/2006/main">
                    <a:graphicData uri="http://schemas.openxmlformats.org/drawingml/2006/picture">
                      <pic:pic xmlns:pic="http://schemas.openxmlformats.org/drawingml/2006/picture">
                        <pic:nvPicPr>
                          <pic:cNvPr id="48" name="Graphic 48" descr="Badge Tick with solid fill"/>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528955" cy="528955"/>
                          </a:xfrm>
                          <a:prstGeom prst="rect">
                            <a:avLst/>
                          </a:prstGeom>
                        </pic:spPr>
                      </pic:pic>
                    </a:graphicData>
                  </a:graphic>
                </wp:inline>
              </w:drawing>
            </w:r>
          </w:p>
        </w:tc>
      </w:tr>
      <w:tr w:rsidR="00865859" w:rsidRPr="009D0A4A" w14:paraId="1237B494" w14:textId="77777777" w:rsidTr="000823EF">
        <w:trPr>
          <w:cnfStyle w:val="000000010000" w:firstRow="0" w:lastRow="0" w:firstColumn="0" w:lastColumn="0" w:oddVBand="0" w:evenVBand="0" w:oddHBand="0" w:evenHBand="1" w:firstRowFirstColumn="0" w:firstRowLastColumn="0" w:lastRowFirstColumn="0" w:lastRowLastColumn="0"/>
          <w:trHeight w:val="1021"/>
        </w:trPr>
        <w:tc>
          <w:tcPr>
            <w:tcW w:w="3256" w:type="dxa"/>
            <w:hideMark/>
          </w:tcPr>
          <w:p w14:paraId="60706B61" w14:textId="1A43B3D9" w:rsidR="00865859" w:rsidRPr="009D0A4A" w:rsidRDefault="00865859">
            <w:pPr>
              <w:rPr>
                <w:b/>
                <w:bCs/>
              </w:rPr>
            </w:pPr>
            <w:r w:rsidRPr="009D0A4A">
              <w:rPr>
                <w:b/>
                <w:bCs/>
              </w:rPr>
              <w:t xml:space="preserve">Risk assessment </w:t>
            </w:r>
          </w:p>
        </w:tc>
        <w:tc>
          <w:tcPr>
            <w:tcW w:w="1157" w:type="dxa"/>
            <w:hideMark/>
          </w:tcPr>
          <w:p w14:paraId="53D45D6D" w14:textId="5E1919C8" w:rsidR="00865859" w:rsidRPr="009D0A4A" w:rsidRDefault="00865859">
            <w:r w:rsidRPr="009D0A4A">
              <w:rPr>
                <w:noProof/>
                <w:lang w:eastAsia="en-AU"/>
              </w:rPr>
              <w:drawing>
                <wp:inline distT="0" distB="0" distL="0" distR="0" wp14:anchorId="31B586B9" wp14:editId="17E59886">
                  <wp:extent cx="533400" cy="533400"/>
                  <wp:effectExtent l="0" t="0" r="0" b="0"/>
                  <wp:docPr id="13" name="Graphic 13" descr="Badge Cross with solid fill"/>
                  <wp:cNvGraphicFramePr/>
                  <a:graphic xmlns:a="http://schemas.openxmlformats.org/drawingml/2006/main">
                    <a:graphicData uri="http://schemas.openxmlformats.org/drawingml/2006/picture">
                      <pic:pic xmlns:pic="http://schemas.openxmlformats.org/drawingml/2006/picture">
                        <pic:nvPicPr>
                          <pic:cNvPr id="13" name="Graphic 13"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8" w:type="dxa"/>
            <w:hideMark/>
          </w:tcPr>
          <w:p w14:paraId="1510FBBD" w14:textId="672B7D43" w:rsidR="00865859" w:rsidRPr="009D0A4A" w:rsidRDefault="00865859">
            <w:r w:rsidRPr="009D0A4A">
              <w:rPr>
                <w:noProof/>
                <w:lang w:eastAsia="en-AU"/>
              </w:rPr>
              <w:drawing>
                <wp:inline distT="0" distB="0" distL="0" distR="0" wp14:anchorId="1BFE2B65" wp14:editId="3DCC7183">
                  <wp:extent cx="533400" cy="533400"/>
                  <wp:effectExtent l="0" t="0" r="0" b="0"/>
                  <wp:docPr id="32" name="Graphic 32" descr="Badge Cross with solid fill"/>
                  <wp:cNvGraphicFramePr/>
                  <a:graphic xmlns:a="http://schemas.openxmlformats.org/drawingml/2006/main">
                    <a:graphicData uri="http://schemas.openxmlformats.org/drawingml/2006/picture">
                      <pic:pic xmlns:pic="http://schemas.openxmlformats.org/drawingml/2006/picture">
                        <pic:nvPicPr>
                          <pic:cNvPr id="32" name="Graphic 32"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7" w:type="dxa"/>
            <w:hideMark/>
          </w:tcPr>
          <w:p w14:paraId="47962CAB" w14:textId="249F8432" w:rsidR="00865859" w:rsidRPr="009D0A4A" w:rsidRDefault="00865859">
            <w:r w:rsidRPr="009D0A4A">
              <w:rPr>
                <w:noProof/>
                <w:lang w:eastAsia="en-AU"/>
              </w:rPr>
              <w:drawing>
                <wp:inline distT="0" distB="0" distL="0" distR="0" wp14:anchorId="00D38069" wp14:editId="15E245E1">
                  <wp:extent cx="533400" cy="533400"/>
                  <wp:effectExtent l="0" t="0" r="0" b="0"/>
                  <wp:docPr id="55" name="Graphic 55" descr="Badge Cross with solid fill"/>
                  <wp:cNvGraphicFramePr/>
                  <a:graphic xmlns:a="http://schemas.openxmlformats.org/drawingml/2006/main">
                    <a:graphicData uri="http://schemas.openxmlformats.org/drawingml/2006/picture">
                      <pic:pic xmlns:pic="http://schemas.openxmlformats.org/drawingml/2006/picture">
                        <pic:nvPicPr>
                          <pic:cNvPr id="55" name="Graphic 55"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8" w:type="dxa"/>
            <w:hideMark/>
          </w:tcPr>
          <w:p w14:paraId="673C8000" w14:textId="32573C29" w:rsidR="00865859" w:rsidRPr="009D0A4A" w:rsidRDefault="008E44E9">
            <w:r w:rsidRPr="009D0A4A">
              <w:rPr>
                <w:noProof/>
                <w:lang w:eastAsia="en-AU"/>
              </w:rPr>
              <w:drawing>
                <wp:inline distT="0" distB="0" distL="0" distR="0" wp14:anchorId="17E17BD3" wp14:editId="40581CA1">
                  <wp:extent cx="533400" cy="533400"/>
                  <wp:effectExtent l="0" t="0" r="0" b="0"/>
                  <wp:docPr id="15" name="Graphic 15" descr="Badge Tick with solid fill"/>
                  <wp:cNvGraphicFramePr/>
                  <a:graphic xmlns:a="http://schemas.openxmlformats.org/drawingml/2006/main">
                    <a:graphicData uri="http://schemas.openxmlformats.org/drawingml/2006/picture">
                      <pic:pic xmlns:pic="http://schemas.openxmlformats.org/drawingml/2006/picture">
                        <pic:nvPicPr>
                          <pic:cNvPr id="36" name="Graphic 36" descr="Badge Tick with solid fill"/>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528955" cy="528955"/>
                          </a:xfrm>
                          <a:prstGeom prst="rect">
                            <a:avLst/>
                          </a:prstGeom>
                        </pic:spPr>
                      </pic:pic>
                    </a:graphicData>
                  </a:graphic>
                </wp:inline>
              </w:drawing>
            </w:r>
          </w:p>
        </w:tc>
        <w:tc>
          <w:tcPr>
            <w:tcW w:w="1157" w:type="dxa"/>
            <w:hideMark/>
          </w:tcPr>
          <w:p w14:paraId="17075EB6" w14:textId="0EC5420B" w:rsidR="00865859" w:rsidRPr="009D0A4A" w:rsidRDefault="00865859">
            <w:r w:rsidRPr="009D0A4A">
              <w:rPr>
                <w:noProof/>
                <w:lang w:eastAsia="en-AU"/>
              </w:rPr>
              <w:drawing>
                <wp:inline distT="0" distB="0" distL="0" distR="0" wp14:anchorId="78B3563C" wp14:editId="53DE35DD">
                  <wp:extent cx="533400" cy="533400"/>
                  <wp:effectExtent l="0" t="0" r="0" b="0"/>
                  <wp:docPr id="45" name="Graphic 45" descr="Badge Tick with solid fill"/>
                  <wp:cNvGraphicFramePr/>
                  <a:graphic xmlns:a="http://schemas.openxmlformats.org/drawingml/2006/main">
                    <a:graphicData uri="http://schemas.openxmlformats.org/drawingml/2006/picture">
                      <pic:pic xmlns:pic="http://schemas.openxmlformats.org/drawingml/2006/picture">
                        <pic:nvPicPr>
                          <pic:cNvPr id="45" name="Graphic 45" descr="Badge Tick with solid fill"/>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528955" cy="528955"/>
                          </a:xfrm>
                          <a:prstGeom prst="rect">
                            <a:avLst/>
                          </a:prstGeom>
                        </pic:spPr>
                      </pic:pic>
                    </a:graphicData>
                  </a:graphic>
                </wp:inline>
              </w:drawing>
            </w:r>
          </w:p>
        </w:tc>
        <w:tc>
          <w:tcPr>
            <w:tcW w:w="1158" w:type="dxa"/>
            <w:hideMark/>
          </w:tcPr>
          <w:p w14:paraId="10C93660" w14:textId="4C1CE1ED" w:rsidR="00865859" w:rsidRPr="009D0A4A" w:rsidRDefault="008E7B44">
            <w:r w:rsidRPr="009D0A4A">
              <w:rPr>
                <w:noProof/>
                <w:lang w:eastAsia="en-AU"/>
              </w:rPr>
              <w:drawing>
                <wp:inline distT="0" distB="0" distL="0" distR="0" wp14:anchorId="0B14104D" wp14:editId="1BC21B9D">
                  <wp:extent cx="533400" cy="533400"/>
                  <wp:effectExtent l="0" t="0" r="0" b="0"/>
                  <wp:docPr id="62" name="Graphic 62" descr="Badge Tick with solid fill"/>
                  <wp:cNvGraphicFramePr/>
                  <a:graphic xmlns:a="http://schemas.openxmlformats.org/drawingml/2006/main">
                    <a:graphicData uri="http://schemas.openxmlformats.org/drawingml/2006/picture">
                      <pic:pic xmlns:pic="http://schemas.openxmlformats.org/drawingml/2006/picture">
                        <pic:nvPicPr>
                          <pic:cNvPr id="43" name="Graphic 43" descr="Badge Tick with solid fill"/>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528955" cy="528955"/>
                          </a:xfrm>
                          <a:prstGeom prst="rect">
                            <a:avLst/>
                          </a:prstGeom>
                        </pic:spPr>
                      </pic:pic>
                    </a:graphicData>
                  </a:graphic>
                </wp:inline>
              </w:drawing>
            </w:r>
          </w:p>
        </w:tc>
      </w:tr>
      <w:tr w:rsidR="00865859" w:rsidRPr="009D0A4A" w14:paraId="459FD26B" w14:textId="77777777" w:rsidTr="000823EF">
        <w:trPr>
          <w:cnfStyle w:val="000000100000" w:firstRow="0" w:lastRow="0" w:firstColumn="0" w:lastColumn="0" w:oddVBand="0" w:evenVBand="0" w:oddHBand="1" w:evenHBand="0" w:firstRowFirstColumn="0" w:firstRowLastColumn="0" w:lastRowFirstColumn="0" w:lastRowLastColumn="0"/>
          <w:trHeight w:val="1021"/>
        </w:trPr>
        <w:tc>
          <w:tcPr>
            <w:tcW w:w="3256" w:type="dxa"/>
            <w:hideMark/>
          </w:tcPr>
          <w:p w14:paraId="7E1751FA" w14:textId="7576357E" w:rsidR="00865859" w:rsidRPr="009D0A4A" w:rsidRDefault="00865859">
            <w:pPr>
              <w:rPr>
                <w:b/>
                <w:bCs/>
              </w:rPr>
            </w:pPr>
            <w:r w:rsidRPr="009D0A4A">
              <w:rPr>
                <w:b/>
                <w:bCs/>
              </w:rPr>
              <w:t>Silica risk control plan</w:t>
            </w:r>
            <w:r w:rsidR="008E44E9" w:rsidRPr="009D0A4A">
              <w:rPr>
                <w:b/>
                <w:bCs/>
              </w:rPr>
              <w:t>/engineered stone control plan</w:t>
            </w:r>
          </w:p>
        </w:tc>
        <w:tc>
          <w:tcPr>
            <w:tcW w:w="1157" w:type="dxa"/>
            <w:hideMark/>
          </w:tcPr>
          <w:p w14:paraId="5FB0D735" w14:textId="4D24B7B0" w:rsidR="00865859" w:rsidRPr="009D0A4A" w:rsidRDefault="00865859">
            <w:r w:rsidRPr="009D0A4A">
              <w:rPr>
                <w:noProof/>
                <w:lang w:eastAsia="en-AU"/>
              </w:rPr>
              <w:drawing>
                <wp:inline distT="0" distB="0" distL="0" distR="0" wp14:anchorId="07F14172" wp14:editId="7F4675DE">
                  <wp:extent cx="533400" cy="533400"/>
                  <wp:effectExtent l="0" t="0" r="0" b="0"/>
                  <wp:docPr id="14" name="Graphic 14" descr="Badge Cross with solid fill"/>
                  <wp:cNvGraphicFramePr/>
                  <a:graphic xmlns:a="http://schemas.openxmlformats.org/drawingml/2006/main">
                    <a:graphicData uri="http://schemas.openxmlformats.org/drawingml/2006/picture">
                      <pic:pic xmlns:pic="http://schemas.openxmlformats.org/drawingml/2006/picture">
                        <pic:nvPicPr>
                          <pic:cNvPr id="14" name="Graphic 14"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8" w:type="dxa"/>
            <w:hideMark/>
          </w:tcPr>
          <w:p w14:paraId="1E3D01F8" w14:textId="78104126" w:rsidR="00865859" w:rsidRPr="009D0A4A" w:rsidRDefault="00865859">
            <w:r w:rsidRPr="009D0A4A">
              <w:rPr>
                <w:noProof/>
                <w:lang w:eastAsia="en-AU"/>
              </w:rPr>
              <w:drawing>
                <wp:inline distT="0" distB="0" distL="0" distR="0" wp14:anchorId="4D685EEC" wp14:editId="4DF62C59">
                  <wp:extent cx="533400" cy="533400"/>
                  <wp:effectExtent l="0" t="0" r="0" b="0"/>
                  <wp:docPr id="33" name="Graphic 33" descr="Badge Cross with solid fill"/>
                  <wp:cNvGraphicFramePr/>
                  <a:graphic xmlns:a="http://schemas.openxmlformats.org/drawingml/2006/main">
                    <a:graphicData uri="http://schemas.openxmlformats.org/drawingml/2006/picture">
                      <pic:pic xmlns:pic="http://schemas.openxmlformats.org/drawingml/2006/picture">
                        <pic:nvPicPr>
                          <pic:cNvPr id="33" name="Graphic 33"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7" w:type="dxa"/>
            <w:hideMark/>
          </w:tcPr>
          <w:p w14:paraId="25814849" w14:textId="3DB257C5" w:rsidR="00865859" w:rsidRPr="009D0A4A" w:rsidRDefault="00865859">
            <w:r w:rsidRPr="009D0A4A">
              <w:rPr>
                <w:noProof/>
                <w:lang w:eastAsia="en-AU"/>
              </w:rPr>
              <w:drawing>
                <wp:inline distT="0" distB="0" distL="0" distR="0" wp14:anchorId="380E5987" wp14:editId="7E73DB55">
                  <wp:extent cx="533400" cy="533400"/>
                  <wp:effectExtent l="0" t="0" r="0" b="0"/>
                  <wp:docPr id="56" name="Graphic 56" descr="Badge Cross with solid fill"/>
                  <wp:cNvGraphicFramePr/>
                  <a:graphic xmlns:a="http://schemas.openxmlformats.org/drawingml/2006/main">
                    <a:graphicData uri="http://schemas.openxmlformats.org/drawingml/2006/picture">
                      <pic:pic xmlns:pic="http://schemas.openxmlformats.org/drawingml/2006/picture">
                        <pic:nvPicPr>
                          <pic:cNvPr id="56" name="Graphic 56" descr="Badge Cross with solid fill"/>
                          <pic:cNvPicPr/>
                        </pic:nvPicPr>
                        <pic:blipFill>
                          <a:blip r:embed="rId1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3"/>
                              </a:ext>
                            </a:extLst>
                          </a:blip>
                          <a:stretch>
                            <a:fillRect/>
                          </a:stretch>
                        </pic:blipFill>
                        <pic:spPr>
                          <a:xfrm>
                            <a:off x="0" y="0"/>
                            <a:ext cx="528955" cy="528955"/>
                          </a:xfrm>
                          <a:prstGeom prst="rect">
                            <a:avLst/>
                          </a:prstGeom>
                        </pic:spPr>
                      </pic:pic>
                    </a:graphicData>
                  </a:graphic>
                </wp:inline>
              </w:drawing>
            </w:r>
          </w:p>
        </w:tc>
        <w:tc>
          <w:tcPr>
            <w:tcW w:w="1158" w:type="dxa"/>
            <w:hideMark/>
          </w:tcPr>
          <w:p w14:paraId="6BBECD0B" w14:textId="52EF07A0" w:rsidR="00865859" w:rsidRPr="009D0A4A" w:rsidRDefault="008E44E9">
            <w:r w:rsidRPr="009D0A4A">
              <w:rPr>
                <w:noProof/>
                <w:lang w:eastAsia="en-AU"/>
              </w:rPr>
              <w:drawing>
                <wp:inline distT="0" distB="0" distL="0" distR="0" wp14:anchorId="7FB12737" wp14:editId="4A3A6D27">
                  <wp:extent cx="533400" cy="533400"/>
                  <wp:effectExtent l="0" t="0" r="0" b="0"/>
                  <wp:docPr id="16" name="Graphic 16" descr="Badge Tick with solid fill"/>
                  <wp:cNvGraphicFramePr/>
                  <a:graphic xmlns:a="http://schemas.openxmlformats.org/drawingml/2006/main">
                    <a:graphicData uri="http://schemas.openxmlformats.org/drawingml/2006/picture">
                      <pic:pic xmlns:pic="http://schemas.openxmlformats.org/drawingml/2006/picture">
                        <pic:nvPicPr>
                          <pic:cNvPr id="36" name="Graphic 36" descr="Badge Tick with solid fill"/>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528955" cy="528955"/>
                          </a:xfrm>
                          <a:prstGeom prst="rect">
                            <a:avLst/>
                          </a:prstGeom>
                        </pic:spPr>
                      </pic:pic>
                    </a:graphicData>
                  </a:graphic>
                </wp:inline>
              </w:drawing>
            </w:r>
          </w:p>
        </w:tc>
        <w:tc>
          <w:tcPr>
            <w:tcW w:w="1157" w:type="dxa"/>
            <w:hideMark/>
          </w:tcPr>
          <w:p w14:paraId="11CD0580" w14:textId="1B4FC61B" w:rsidR="00865859" w:rsidRPr="009D0A4A" w:rsidRDefault="00865859">
            <w:r w:rsidRPr="009D0A4A">
              <w:rPr>
                <w:noProof/>
                <w:lang w:eastAsia="en-AU"/>
              </w:rPr>
              <w:drawing>
                <wp:inline distT="0" distB="0" distL="0" distR="0" wp14:anchorId="61043632" wp14:editId="766EFF94">
                  <wp:extent cx="533400" cy="533400"/>
                  <wp:effectExtent l="0" t="0" r="0" b="0"/>
                  <wp:docPr id="46" name="Graphic 46" descr="Badge Tick with solid fill"/>
                  <wp:cNvGraphicFramePr/>
                  <a:graphic xmlns:a="http://schemas.openxmlformats.org/drawingml/2006/main">
                    <a:graphicData uri="http://schemas.openxmlformats.org/drawingml/2006/picture">
                      <pic:pic xmlns:pic="http://schemas.openxmlformats.org/drawingml/2006/picture">
                        <pic:nvPicPr>
                          <pic:cNvPr id="46" name="Graphic 46" descr="Badge Tick with solid fill"/>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528955" cy="528955"/>
                          </a:xfrm>
                          <a:prstGeom prst="rect">
                            <a:avLst/>
                          </a:prstGeom>
                        </pic:spPr>
                      </pic:pic>
                    </a:graphicData>
                  </a:graphic>
                </wp:inline>
              </w:drawing>
            </w:r>
          </w:p>
        </w:tc>
        <w:tc>
          <w:tcPr>
            <w:tcW w:w="1158" w:type="dxa"/>
            <w:hideMark/>
          </w:tcPr>
          <w:p w14:paraId="0158C590" w14:textId="6A63562B" w:rsidR="00865859" w:rsidRPr="009D0A4A" w:rsidRDefault="00FC4908">
            <w:r w:rsidRPr="009D0A4A">
              <w:rPr>
                <w:noProof/>
                <w:lang w:eastAsia="en-AU"/>
              </w:rPr>
              <w:drawing>
                <wp:inline distT="0" distB="0" distL="0" distR="0" wp14:anchorId="7FED9DB0" wp14:editId="59C7629F">
                  <wp:extent cx="533400" cy="533400"/>
                  <wp:effectExtent l="0" t="0" r="0" b="0"/>
                  <wp:docPr id="3" name="Graphic 3" descr="Badge Tick with solid fill"/>
                  <wp:cNvGraphicFramePr/>
                  <a:graphic xmlns:a="http://schemas.openxmlformats.org/drawingml/2006/main">
                    <a:graphicData uri="http://schemas.openxmlformats.org/drawingml/2006/picture">
                      <pic:pic xmlns:pic="http://schemas.openxmlformats.org/drawingml/2006/picture">
                        <pic:nvPicPr>
                          <pic:cNvPr id="46" name="Graphic 46" descr="Badge Tick with solid fill"/>
                          <pic:cNvPicPr/>
                        </pic:nvPicPr>
                        <pic:blipFill>
                          <a:blip r:embed="rId24"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5"/>
                              </a:ext>
                            </a:extLst>
                          </a:blip>
                          <a:stretch>
                            <a:fillRect/>
                          </a:stretch>
                        </pic:blipFill>
                        <pic:spPr>
                          <a:xfrm>
                            <a:off x="0" y="0"/>
                            <a:ext cx="528955" cy="528955"/>
                          </a:xfrm>
                          <a:prstGeom prst="rect">
                            <a:avLst/>
                          </a:prstGeom>
                        </pic:spPr>
                      </pic:pic>
                    </a:graphicData>
                  </a:graphic>
                </wp:inline>
              </w:drawing>
            </w:r>
          </w:p>
        </w:tc>
      </w:tr>
    </w:tbl>
    <w:p w14:paraId="16B7C83C" w14:textId="7D456FFB" w:rsidR="00865859" w:rsidRPr="009D0A4A" w:rsidRDefault="00865859" w:rsidP="006007D0">
      <w:pPr>
        <w:pStyle w:val="Heading3"/>
        <w:numPr>
          <w:ilvl w:val="0"/>
          <w:numId w:val="0"/>
        </w:numPr>
        <w:ind w:left="720" w:hanging="720"/>
      </w:pPr>
      <w:r w:rsidRPr="009D0A4A">
        <w:lastRenderedPageBreak/>
        <w:t xml:space="preserve">What is the likely </w:t>
      </w:r>
      <w:r w:rsidR="00FC4908" w:rsidRPr="009D0A4A">
        <w:t>i</w:t>
      </w:r>
      <w:r w:rsidRPr="009D0A4A">
        <w:t>mpact of each option?</w:t>
      </w:r>
    </w:p>
    <w:p w14:paraId="23897287" w14:textId="4F2E73BF" w:rsidR="00865859" w:rsidRPr="009D0A4A" w:rsidRDefault="00865859" w:rsidP="001E6D09">
      <w:pPr>
        <w:pStyle w:val="BodyText"/>
        <w:jc w:val="both"/>
      </w:pPr>
      <w:r w:rsidRPr="009D0A4A">
        <w:t>This CRIS uses a combination of multi-criteria analysis</w:t>
      </w:r>
      <w:r w:rsidRPr="009D0A4A">
        <w:rPr>
          <w:b/>
          <w:bCs/>
        </w:rPr>
        <w:t xml:space="preserve"> </w:t>
      </w:r>
      <w:r w:rsidRPr="009D0A4A">
        <w:t>(MCA)</w:t>
      </w:r>
      <w:r w:rsidRPr="009D0A4A">
        <w:rPr>
          <w:b/>
          <w:bCs/>
        </w:rPr>
        <w:t xml:space="preserve"> </w:t>
      </w:r>
      <w:r w:rsidRPr="009D0A4A">
        <w:t xml:space="preserve">and breakeven analysis (BEA) to measure the impact of each option. MCA is used to </w:t>
      </w:r>
      <w:r w:rsidRPr="009D0A4A">
        <w:rPr>
          <w:rFonts w:cstheme="minorHAnsi"/>
        </w:rPr>
        <w:t xml:space="preserve">produce detailed estimates of the additional costs of each option, to industry and government, above the base case. Whereas BEA </w:t>
      </w:r>
      <w:r w:rsidRPr="009D0A4A">
        <w:rPr>
          <w:rFonts w:cstheme="minorHAnsi"/>
          <w:lang w:bidi="en-AU"/>
        </w:rPr>
        <w:t xml:space="preserve">was used to quantify the economic cost of each case of silicosis and assesses the number of silicosis cases which would need to be avoided under each option for the benefits to outweigh the additional costs. </w:t>
      </w:r>
      <w:r w:rsidR="008E7B44" w:rsidRPr="009D0A4A">
        <w:rPr>
          <w:rFonts w:cstheme="minorHAnsi"/>
          <w:lang w:bidi="en-AU"/>
        </w:rPr>
        <w:t>The table below</w:t>
      </w:r>
      <w:r w:rsidRPr="009D0A4A">
        <w:rPr>
          <w:rFonts w:cstheme="minorHAnsi"/>
          <w:lang w:bidi="en-AU"/>
        </w:rPr>
        <w:t xml:space="preserve"> outlines the costs for each option along with the </w:t>
      </w:r>
      <w:r w:rsidR="008E7B44" w:rsidRPr="009D0A4A">
        <w:rPr>
          <w:rFonts w:cstheme="minorHAnsi"/>
          <w:lang w:bidi="en-AU"/>
        </w:rPr>
        <w:t xml:space="preserve">required number of cases of silicosis that would need to be avoided for each option to breakeven from an economic perspective. </w:t>
      </w:r>
    </w:p>
    <w:p w14:paraId="6AFB5884" w14:textId="03C9295D" w:rsidR="00865859" w:rsidRPr="009D0A4A" w:rsidRDefault="00865859" w:rsidP="001E6D09">
      <w:pPr>
        <w:pStyle w:val="Caption"/>
      </w:pPr>
      <w:r w:rsidRPr="009D0A4A">
        <w:t>Net present cost</w:t>
      </w:r>
      <w:r w:rsidR="008E7B44" w:rsidRPr="009D0A4A">
        <w:t xml:space="preserve"> of options</w:t>
      </w:r>
      <w:r w:rsidRPr="009D0A4A">
        <w:t xml:space="preserve"> to industry plus cost to government and breakeven </w:t>
      </w:r>
      <w:r w:rsidR="008E7B44" w:rsidRPr="009D0A4A">
        <w:t>point</w:t>
      </w:r>
      <w:r w:rsidRPr="009D0A4A">
        <w:t xml:space="preserve"> over 10 years</w:t>
      </w:r>
      <w:r w:rsidR="008E7B44" w:rsidRPr="009D0A4A">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gridCol w:w="3222"/>
        <w:gridCol w:w="3220"/>
      </w:tblGrid>
      <w:tr w:rsidR="006E246A" w:rsidRPr="009D0A4A" w14:paraId="14F91A41" w14:textId="77777777" w:rsidTr="004272D0">
        <w:trPr>
          <w:trHeight w:val="104"/>
          <w:tblHeader/>
        </w:trPr>
        <w:tc>
          <w:tcPr>
            <w:tcW w:w="1843" w:type="pct"/>
            <w:shd w:val="clear" w:color="auto" w:fill="D1D1D1" w:themeFill="background2"/>
            <w:vAlign w:val="center"/>
          </w:tcPr>
          <w:p w14:paraId="4882A57E" w14:textId="77777777" w:rsidR="006E246A" w:rsidRPr="009D0A4A" w:rsidRDefault="006E246A" w:rsidP="006E246A">
            <w:pPr>
              <w:spacing w:before="60" w:after="60"/>
              <w:rPr>
                <w:rStyle w:val="Strong"/>
                <w:rFonts w:asciiTheme="majorHAnsi" w:hAnsiTheme="majorHAnsi" w:cstheme="minorHAnsi"/>
                <w:b w:val="0"/>
                <w:iCs/>
                <w:color w:val="014463" w:themeColor="text2"/>
                <w:sz w:val="18"/>
                <w:szCs w:val="18"/>
              </w:rPr>
            </w:pPr>
            <w:r w:rsidRPr="009D0A4A">
              <w:rPr>
                <w:rStyle w:val="Strong"/>
                <w:rFonts w:asciiTheme="majorHAnsi" w:hAnsiTheme="majorHAnsi" w:cstheme="minorHAnsi"/>
                <w:sz w:val="18"/>
                <w:szCs w:val="18"/>
              </w:rPr>
              <w:t>O</w:t>
            </w:r>
            <w:r w:rsidRPr="009D0A4A">
              <w:rPr>
                <w:rStyle w:val="Strong"/>
                <w:rFonts w:asciiTheme="majorHAnsi" w:hAnsiTheme="majorHAnsi"/>
                <w:sz w:val="18"/>
                <w:szCs w:val="18"/>
              </w:rPr>
              <w:t>ption</w:t>
            </w:r>
          </w:p>
        </w:tc>
        <w:tc>
          <w:tcPr>
            <w:tcW w:w="1579" w:type="pct"/>
            <w:shd w:val="clear" w:color="auto" w:fill="D1D1D1" w:themeFill="background2"/>
            <w:vAlign w:val="center"/>
          </w:tcPr>
          <w:p w14:paraId="5713A7BE" w14:textId="77777777" w:rsidR="006E246A" w:rsidRPr="009D0A4A" w:rsidRDefault="006E246A" w:rsidP="006E246A">
            <w:pPr>
              <w:spacing w:before="60" w:after="60"/>
              <w:jc w:val="center"/>
              <w:rPr>
                <w:rStyle w:val="Strong"/>
                <w:rFonts w:asciiTheme="majorHAnsi" w:hAnsiTheme="majorHAnsi" w:cstheme="minorHAnsi"/>
                <w:sz w:val="18"/>
                <w:szCs w:val="18"/>
              </w:rPr>
            </w:pPr>
            <w:r w:rsidRPr="009D0A4A">
              <w:rPr>
                <w:rStyle w:val="Strong"/>
                <w:rFonts w:asciiTheme="majorHAnsi" w:hAnsiTheme="majorHAnsi" w:cstheme="minorHAnsi"/>
                <w:sz w:val="18"/>
                <w:szCs w:val="18"/>
              </w:rPr>
              <w:t>Net present cost</w:t>
            </w:r>
            <w:r w:rsidRPr="009D0A4A">
              <w:rPr>
                <w:rStyle w:val="Strong"/>
                <w:rFonts w:asciiTheme="majorHAnsi" w:hAnsiTheme="majorHAnsi"/>
                <w:sz w:val="18"/>
                <w:szCs w:val="18"/>
              </w:rPr>
              <w:t xml:space="preserve"> ($m)</w:t>
            </w:r>
          </w:p>
        </w:tc>
        <w:tc>
          <w:tcPr>
            <w:tcW w:w="1578" w:type="pct"/>
            <w:shd w:val="clear" w:color="auto" w:fill="D1D1D1" w:themeFill="background2"/>
          </w:tcPr>
          <w:p w14:paraId="2816FD1D" w14:textId="307F178E" w:rsidR="006E246A" w:rsidRPr="009D0A4A" w:rsidRDefault="006E246A" w:rsidP="006E246A">
            <w:pPr>
              <w:spacing w:before="60" w:after="60"/>
              <w:jc w:val="center"/>
              <w:rPr>
                <w:rStyle w:val="Strong"/>
                <w:rFonts w:asciiTheme="majorHAnsi" w:hAnsiTheme="majorHAnsi" w:cstheme="minorHAnsi"/>
                <w:sz w:val="18"/>
                <w:szCs w:val="18"/>
              </w:rPr>
            </w:pPr>
            <w:r w:rsidRPr="009D0A4A">
              <w:rPr>
                <w:rStyle w:val="Strong"/>
                <w:rFonts w:asciiTheme="majorHAnsi" w:hAnsiTheme="majorHAnsi" w:cstheme="minorHAnsi"/>
                <w:sz w:val="18"/>
                <w:szCs w:val="18"/>
              </w:rPr>
              <w:t>R</w:t>
            </w:r>
            <w:r w:rsidRPr="009D0A4A">
              <w:rPr>
                <w:rStyle w:val="Strong"/>
                <w:rFonts w:asciiTheme="majorHAnsi" w:hAnsiTheme="majorHAnsi"/>
                <w:sz w:val="18"/>
                <w:szCs w:val="18"/>
              </w:rPr>
              <w:t>equired</w:t>
            </w:r>
            <w:r>
              <w:rPr>
                <w:rStyle w:val="Strong"/>
                <w:rFonts w:asciiTheme="majorHAnsi" w:hAnsiTheme="majorHAnsi"/>
                <w:sz w:val="18"/>
                <w:szCs w:val="18"/>
              </w:rPr>
              <w:t xml:space="preserve"> number silicosis </w:t>
            </w:r>
            <w:r w:rsidRPr="009D0A4A">
              <w:rPr>
                <w:rStyle w:val="Strong"/>
                <w:rFonts w:asciiTheme="majorHAnsi" w:hAnsiTheme="majorHAnsi"/>
                <w:sz w:val="18"/>
                <w:szCs w:val="18"/>
              </w:rPr>
              <w:t xml:space="preserve">cases </w:t>
            </w:r>
            <w:r>
              <w:rPr>
                <w:rStyle w:val="Strong"/>
                <w:rFonts w:asciiTheme="majorHAnsi" w:hAnsiTheme="majorHAnsi"/>
                <w:sz w:val="18"/>
                <w:szCs w:val="18"/>
              </w:rPr>
              <w:t>prevented to breakeven</w:t>
            </w:r>
          </w:p>
        </w:tc>
      </w:tr>
      <w:tr w:rsidR="006007D0" w:rsidRPr="009D0A4A" w14:paraId="324AA98A" w14:textId="77777777" w:rsidTr="004272D0">
        <w:trPr>
          <w:trHeight w:val="196"/>
        </w:trPr>
        <w:tc>
          <w:tcPr>
            <w:tcW w:w="1843" w:type="pct"/>
            <w:tcBorders>
              <w:bottom w:val="single" w:sz="8" w:space="0" w:color="D1D1D1" w:themeColor="background2"/>
            </w:tcBorders>
          </w:tcPr>
          <w:p w14:paraId="3370E57D" w14:textId="77777777" w:rsidR="006007D0" w:rsidRPr="009D0A4A" w:rsidRDefault="006007D0" w:rsidP="004272D0">
            <w:pPr>
              <w:spacing w:before="60" w:after="60"/>
              <w:rPr>
                <w:rFonts w:cstheme="minorHAnsi"/>
                <w:sz w:val="18"/>
                <w:szCs w:val="18"/>
              </w:rPr>
            </w:pPr>
            <w:r w:rsidRPr="009D0A4A">
              <w:rPr>
                <w:sz w:val="18"/>
                <w:szCs w:val="18"/>
              </w:rPr>
              <w:t>Option 2</w:t>
            </w:r>
          </w:p>
        </w:tc>
        <w:tc>
          <w:tcPr>
            <w:tcW w:w="1579" w:type="pct"/>
            <w:tcBorders>
              <w:bottom w:val="single" w:sz="8" w:space="0" w:color="D1D1D1" w:themeColor="background2"/>
            </w:tcBorders>
            <w:vAlign w:val="center"/>
          </w:tcPr>
          <w:p w14:paraId="0D20B6E4" w14:textId="77777777" w:rsidR="006007D0" w:rsidRPr="009D0A4A" w:rsidRDefault="006007D0" w:rsidP="004272D0">
            <w:pPr>
              <w:spacing w:before="60" w:after="60"/>
              <w:jc w:val="center"/>
              <w:rPr>
                <w:sz w:val="18"/>
                <w:szCs w:val="18"/>
              </w:rPr>
            </w:pPr>
            <w:r w:rsidRPr="009D0A4A">
              <w:rPr>
                <w:rFonts w:ascii="Calibri" w:hAnsi="Calibri" w:cs="Calibri"/>
                <w:color w:val="262626"/>
                <w:sz w:val="18"/>
                <w:szCs w:val="18"/>
              </w:rPr>
              <w:t>$6.08</w:t>
            </w:r>
          </w:p>
        </w:tc>
        <w:tc>
          <w:tcPr>
            <w:tcW w:w="1578" w:type="pct"/>
            <w:tcBorders>
              <w:bottom w:val="single" w:sz="8" w:space="0" w:color="D1D1D1" w:themeColor="background2"/>
            </w:tcBorders>
            <w:vAlign w:val="center"/>
          </w:tcPr>
          <w:p w14:paraId="3B15116F" w14:textId="77777777" w:rsidR="006007D0" w:rsidRPr="009D0A4A" w:rsidRDefault="006007D0" w:rsidP="004272D0">
            <w:pPr>
              <w:spacing w:before="60" w:after="60"/>
              <w:jc w:val="center"/>
              <w:rPr>
                <w:sz w:val="18"/>
                <w:szCs w:val="18"/>
              </w:rPr>
            </w:pPr>
            <w:r w:rsidRPr="009D0A4A">
              <w:rPr>
                <w:rFonts w:ascii="Calibri" w:hAnsi="Calibri" w:cs="Calibri"/>
                <w:color w:val="262626"/>
                <w:sz w:val="18"/>
                <w:szCs w:val="18"/>
              </w:rPr>
              <w:t>1.49</w:t>
            </w:r>
          </w:p>
        </w:tc>
      </w:tr>
      <w:tr w:rsidR="006007D0" w:rsidRPr="009D0A4A" w14:paraId="04C24494" w14:textId="77777777" w:rsidTr="004272D0">
        <w:trPr>
          <w:trHeight w:val="196"/>
        </w:trPr>
        <w:tc>
          <w:tcPr>
            <w:tcW w:w="1843" w:type="pct"/>
            <w:tcBorders>
              <w:bottom w:val="single" w:sz="8" w:space="0" w:color="D1D1D1" w:themeColor="background2"/>
            </w:tcBorders>
          </w:tcPr>
          <w:p w14:paraId="7556E148" w14:textId="77777777" w:rsidR="006007D0" w:rsidRPr="009D0A4A" w:rsidRDefault="006007D0" w:rsidP="004272D0">
            <w:pPr>
              <w:spacing w:before="60" w:after="60"/>
              <w:rPr>
                <w:rFonts w:cstheme="minorHAnsi"/>
                <w:sz w:val="18"/>
                <w:szCs w:val="18"/>
              </w:rPr>
            </w:pPr>
            <w:r w:rsidRPr="009D0A4A">
              <w:rPr>
                <w:sz w:val="18"/>
                <w:szCs w:val="18"/>
              </w:rPr>
              <w:t>Option 3</w:t>
            </w:r>
          </w:p>
        </w:tc>
        <w:tc>
          <w:tcPr>
            <w:tcW w:w="1579" w:type="pct"/>
            <w:tcBorders>
              <w:bottom w:val="single" w:sz="8" w:space="0" w:color="D1D1D1" w:themeColor="background2"/>
            </w:tcBorders>
            <w:vAlign w:val="center"/>
          </w:tcPr>
          <w:p w14:paraId="210D724E" w14:textId="77777777" w:rsidR="006007D0" w:rsidRPr="009D0A4A" w:rsidRDefault="006007D0" w:rsidP="004272D0">
            <w:pPr>
              <w:spacing w:before="60" w:after="60"/>
              <w:jc w:val="center"/>
              <w:rPr>
                <w:sz w:val="18"/>
                <w:szCs w:val="18"/>
              </w:rPr>
            </w:pPr>
            <w:r w:rsidRPr="009D0A4A">
              <w:rPr>
                <w:rFonts w:ascii="Calibri" w:hAnsi="Calibri" w:cs="Calibri"/>
                <w:color w:val="262626"/>
                <w:sz w:val="18"/>
                <w:szCs w:val="18"/>
              </w:rPr>
              <w:t>$0.11</w:t>
            </w:r>
          </w:p>
        </w:tc>
        <w:tc>
          <w:tcPr>
            <w:tcW w:w="1578" w:type="pct"/>
            <w:tcBorders>
              <w:bottom w:val="single" w:sz="8" w:space="0" w:color="D1D1D1" w:themeColor="background2"/>
            </w:tcBorders>
            <w:vAlign w:val="center"/>
          </w:tcPr>
          <w:p w14:paraId="1BE6EA96" w14:textId="77777777" w:rsidR="006007D0" w:rsidRPr="009D0A4A" w:rsidRDefault="006007D0" w:rsidP="004272D0">
            <w:pPr>
              <w:spacing w:before="60" w:after="60"/>
              <w:jc w:val="center"/>
              <w:rPr>
                <w:sz w:val="18"/>
                <w:szCs w:val="18"/>
              </w:rPr>
            </w:pPr>
            <w:r w:rsidRPr="009D0A4A">
              <w:rPr>
                <w:rFonts w:ascii="Calibri" w:hAnsi="Calibri" w:cs="Calibri"/>
                <w:color w:val="262626"/>
                <w:sz w:val="18"/>
                <w:szCs w:val="18"/>
              </w:rPr>
              <w:t>0.03</w:t>
            </w:r>
          </w:p>
        </w:tc>
      </w:tr>
      <w:tr w:rsidR="006007D0" w:rsidRPr="009D0A4A" w14:paraId="7DF19AA3" w14:textId="77777777" w:rsidTr="004272D0">
        <w:trPr>
          <w:trHeight w:val="196"/>
        </w:trPr>
        <w:tc>
          <w:tcPr>
            <w:tcW w:w="1843" w:type="pct"/>
            <w:tcBorders>
              <w:top w:val="single" w:sz="8" w:space="0" w:color="D1D1D1" w:themeColor="background2"/>
              <w:bottom w:val="single" w:sz="8" w:space="0" w:color="D1D1D1" w:themeColor="background2"/>
            </w:tcBorders>
          </w:tcPr>
          <w:p w14:paraId="2BCD8B34" w14:textId="77777777" w:rsidR="006007D0" w:rsidRPr="009D0A4A" w:rsidRDefault="006007D0" w:rsidP="004272D0">
            <w:pPr>
              <w:spacing w:before="60" w:after="60"/>
              <w:rPr>
                <w:rFonts w:cstheme="minorHAnsi"/>
                <w:sz w:val="18"/>
                <w:szCs w:val="18"/>
              </w:rPr>
            </w:pPr>
            <w:r w:rsidRPr="009D0A4A">
              <w:rPr>
                <w:sz w:val="18"/>
                <w:szCs w:val="18"/>
              </w:rPr>
              <w:t>Option 4</w:t>
            </w:r>
          </w:p>
        </w:tc>
        <w:tc>
          <w:tcPr>
            <w:tcW w:w="1579" w:type="pct"/>
            <w:tcBorders>
              <w:top w:val="single" w:sz="8" w:space="0" w:color="D1D1D1" w:themeColor="background2"/>
              <w:bottom w:val="single" w:sz="8" w:space="0" w:color="D1D1D1" w:themeColor="background2"/>
            </w:tcBorders>
            <w:vAlign w:val="center"/>
          </w:tcPr>
          <w:p w14:paraId="07620E87" w14:textId="77777777" w:rsidR="006007D0" w:rsidRPr="009D0A4A" w:rsidRDefault="006007D0" w:rsidP="004272D0">
            <w:pPr>
              <w:spacing w:before="60" w:after="60"/>
              <w:jc w:val="center"/>
              <w:rPr>
                <w:sz w:val="18"/>
                <w:szCs w:val="18"/>
              </w:rPr>
            </w:pPr>
            <w:r w:rsidRPr="009D0A4A">
              <w:rPr>
                <w:rFonts w:ascii="Calibri" w:hAnsi="Calibri" w:cs="Calibri"/>
                <w:color w:val="262626"/>
                <w:sz w:val="18"/>
                <w:szCs w:val="18"/>
              </w:rPr>
              <w:t>$24.02</w:t>
            </w:r>
          </w:p>
        </w:tc>
        <w:tc>
          <w:tcPr>
            <w:tcW w:w="1578" w:type="pct"/>
            <w:tcBorders>
              <w:top w:val="single" w:sz="8" w:space="0" w:color="D1D1D1" w:themeColor="background2"/>
              <w:bottom w:val="single" w:sz="8" w:space="0" w:color="D1D1D1" w:themeColor="background2"/>
            </w:tcBorders>
            <w:vAlign w:val="center"/>
          </w:tcPr>
          <w:p w14:paraId="57D41334" w14:textId="77777777" w:rsidR="006007D0" w:rsidRPr="009D0A4A" w:rsidRDefault="006007D0" w:rsidP="004272D0">
            <w:pPr>
              <w:spacing w:before="60" w:after="60"/>
              <w:jc w:val="center"/>
              <w:rPr>
                <w:sz w:val="18"/>
                <w:szCs w:val="18"/>
              </w:rPr>
            </w:pPr>
            <w:r w:rsidRPr="009D0A4A">
              <w:rPr>
                <w:rFonts w:ascii="Calibri" w:hAnsi="Calibri" w:cs="Calibri"/>
                <w:color w:val="262626"/>
                <w:sz w:val="18"/>
                <w:szCs w:val="18"/>
              </w:rPr>
              <w:t>5.90</w:t>
            </w:r>
          </w:p>
        </w:tc>
      </w:tr>
      <w:tr w:rsidR="006007D0" w:rsidRPr="009D0A4A" w14:paraId="13ED73B1" w14:textId="77777777" w:rsidTr="004272D0">
        <w:trPr>
          <w:trHeight w:val="196"/>
        </w:trPr>
        <w:tc>
          <w:tcPr>
            <w:tcW w:w="1843" w:type="pct"/>
            <w:tcBorders>
              <w:top w:val="single" w:sz="8" w:space="0" w:color="D1D1D1" w:themeColor="background2"/>
              <w:bottom w:val="single" w:sz="8" w:space="0" w:color="D1D1D1" w:themeColor="background2"/>
            </w:tcBorders>
          </w:tcPr>
          <w:p w14:paraId="38C65CDF" w14:textId="77777777" w:rsidR="006007D0" w:rsidRPr="009D0A4A" w:rsidRDefault="006007D0" w:rsidP="004272D0">
            <w:pPr>
              <w:spacing w:before="60" w:after="60"/>
              <w:rPr>
                <w:rFonts w:cstheme="minorHAnsi"/>
                <w:sz w:val="18"/>
                <w:szCs w:val="18"/>
              </w:rPr>
            </w:pPr>
            <w:r w:rsidRPr="009D0A4A">
              <w:rPr>
                <w:sz w:val="18"/>
                <w:szCs w:val="18"/>
              </w:rPr>
              <w:t>Option 5a</w:t>
            </w:r>
          </w:p>
        </w:tc>
        <w:tc>
          <w:tcPr>
            <w:tcW w:w="1579" w:type="pct"/>
            <w:tcBorders>
              <w:top w:val="single" w:sz="8" w:space="0" w:color="D1D1D1" w:themeColor="background2"/>
              <w:bottom w:val="single" w:sz="8" w:space="0" w:color="D1D1D1" w:themeColor="background2"/>
            </w:tcBorders>
            <w:vAlign w:val="center"/>
          </w:tcPr>
          <w:p w14:paraId="2CE5A204" w14:textId="77777777" w:rsidR="006007D0" w:rsidRPr="009D0A4A" w:rsidRDefault="006007D0" w:rsidP="004272D0">
            <w:pPr>
              <w:spacing w:before="60" w:after="60"/>
              <w:jc w:val="center"/>
              <w:rPr>
                <w:sz w:val="18"/>
                <w:szCs w:val="18"/>
              </w:rPr>
            </w:pPr>
            <w:r w:rsidRPr="009D0A4A">
              <w:rPr>
                <w:rFonts w:ascii="Calibri" w:hAnsi="Calibri" w:cs="Calibri"/>
                <w:color w:val="262626"/>
                <w:sz w:val="18"/>
                <w:szCs w:val="18"/>
              </w:rPr>
              <w:t>$195.35</w:t>
            </w:r>
          </w:p>
        </w:tc>
        <w:tc>
          <w:tcPr>
            <w:tcW w:w="1578" w:type="pct"/>
            <w:tcBorders>
              <w:top w:val="single" w:sz="8" w:space="0" w:color="D1D1D1" w:themeColor="background2"/>
              <w:bottom w:val="single" w:sz="8" w:space="0" w:color="D1D1D1" w:themeColor="background2"/>
            </w:tcBorders>
            <w:vAlign w:val="center"/>
          </w:tcPr>
          <w:p w14:paraId="0085467A" w14:textId="77777777" w:rsidR="006007D0" w:rsidRPr="009D0A4A" w:rsidRDefault="006007D0" w:rsidP="004272D0">
            <w:pPr>
              <w:spacing w:before="60" w:after="60"/>
              <w:jc w:val="center"/>
              <w:rPr>
                <w:sz w:val="18"/>
                <w:szCs w:val="18"/>
              </w:rPr>
            </w:pPr>
            <w:r w:rsidRPr="009D0A4A">
              <w:rPr>
                <w:rFonts w:ascii="Calibri" w:hAnsi="Calibri" w:cs="Calibri"/>
                <w:color w:val="262626"/>
                <w:sz w:val="18"/>
                <w:szCs w:val="18"/>
              </w:rPr>
              <w:t>48.00</w:t>
            </w:r>
          </w:p>
        </w:tc>
      </w:tr>
      <w:tr w:rsidR="006007D0" w:rsidRPr="009D0A4A" w14:paraId="34604D2C" w14:textId="77777777" w:rsidTr="004272D0">
        <w:trPr>
          <w:trHeight w:val="196"/>
        </w:trPr>
        <w:tc>
          <w:tcPr>
            <w:tcW w:w="1843" w:type="pct"/>
            <w:tcBorders>
              <w:top w:val="single" w:sz="8" w:space="0" w:color="D1D1D1" w:themeColor="background2"/>
              <w:bottom w:val="single" w:sz="8" w:space="0" w:color="D1D1D1" w:themeColor="background2"/>
            </w:tcBorders>
          </w:tcPr>
          <w:p w14:paraId="177BF7B7" w14:textId="77777777" w:rsidR="006007D0" w:rsidRPr="009D0A4A" w:rsidRDefault="006007D0" w:rsidP="004272D0">
            <w:pPr>
              <w:spacing w:before="60" w:after="60"/>
              <w:rPr>
                <w:rFonts w:cstheme="minorHAnsi"/>
                <w:sz w:val="18"/>
                <w:szCs w:val="18"/>
              </w:rPr>
            </w:pPr>
            <w:r w:rsidRPr="009D0A4A">
              <w:rPr>
                <w:sz w:val="18"/>
                <w:szCs w:val="18"/>
              </w:rPr>
              <w:t>Option 5b</w:t>
            </w:r>
          </w:p>
        </w:tc>
        <w:tc>
          <w:tcPr>
            <w:tcW w:w="1579" w:type="pct"/>
            <w:tcBorders>
              <w:top w:val="single" w:sz="8" w:space="0" w:color="D1D1D1" w:themeColor="background2"/>
              <w:bottom w:val="single" w:sz="8" w:space="0" w:color="D1D1D1" w:themeColor="background2"/>
            </w:tcBorders>
            <w:vAlign w:val="center"/>
          </w:tcPr>
          <w:p w14:paraId="09DADF1E" w14:textId="77777777" w:rsidR="006007D0" w:rsidRPr="009D0A4A" w:rsidRDefault="006007D0" w:rsidP="004272D0">
            <w:pPr>
              <w:spacing w:before="60" w:after="60"/>
              <w:jc w:val="center"/>
              <w:rPr>
                <w:sz w:val="18"/>
                <w:szCs w:val="18"/>
              </w:rPr>
            </w:pPr>
            <w:r w:rsidRPr="009D0A4A">
              <w:rPr>
                <w:rFonts w:ascii="Calibri" w:hAnsi="Calibri" w:cs="Calibri"/>
                <w:color w:val="262626"/>
                <w:sz w:val="18"/>
                <w:szCs w:val="18"/>
              </w:rPr>
              <w:t>$192.70</w:t>
            </w:r>
          </w:p>
        </w:tc>
        <w:tc>
          <w:tcPr>
            <w:tcW w:w="1578" w:type="pct"/>
            <w:tcBorders>
              <w:top w:val="single" w:sz="8" w:space="0" w:color="D1D1D1" w:themeColor="background2"/>
              <w:bottom w:val="single" w:sz="8" w:space="0" w:color="D1D1D1" w:themeColor="background2"/>
            </w:tcBorders>
            <w:vAlign w:val="center"/>
          </w:tcPr>
          <w:p w14:paraId="2CAE4380" w14:textId="77777777" w:rsidR="006007D0" w:rsidRPr="009D0A4A" w:rsidRDefault="006007D0" w:rsidP="004272D0">
            <w:pPr>
              <w:spacing w:before="60" w:after="60"/>
              <w:jc w:val="center"/>
              <w:rPr>
                <w:sz w:val="18"/>
                <w:szCs w:val="18"/>
              </w:rPr>
            </w:pPr>
            <w:r w:rsidRPr="009D0A4A">
              <w:rPr>
                <w:rFonts w:ascii="Calibri" w:hAnsi="Calibri" w:cs="Calibri"/>
                <w:color w:val="262626"/>
                <w:sz w:val="18"/>
                <w:szCs w:val="18"/>
              </w:rPr>
              <w:t>47.35</w:t>
            </w:r>
          </w:p>
        </w:tc>
      </w:tr>
    </w:tbl>
    <w:p w14:paraId="4A0634E8" w14:textId="7C099A0D" w:rsidR="00865859" w:rsidRPr="009D0A4A" w:rsidRDefault="00865859" w:rsidP="006007D0">
      <w:pPr>
        <w:pStyle w:val="Heading3"/>
        <w:numPr>
          <w:ilvl w:val="0"/>
          <w:numId w:val="0"/>
        </w:numPr>
        <w:ind w:left="720" w:hanging="720"/>
      </w:pPr>
      <w:r w:rsidRPr="009D0A4A">
        <w:t xml:space="preserve">Discussion of </w:t>
      </w:r>
      <w:r w:rsidR="008E7B44" w:rsidRPr="009D0A4A">
        <w:t>o</w:t>
      </w:r>
      <w:r w:rsidRPr="009D0A4A">
        <w:t>ptions</w:t>
      </w:r>
    </w:p>
    <w:p w14:paraId="6B289693" w14:textId="77777777" w:rsidR="00865859" w:rsidRPr="009D0A4A" w:rsidRDefault="00865859" w:rsidP="001E6D09">
      <w:pPr>
        <w:pStyle w:val="BodyText"/>
        <w:jc w:val="both"/>
      </w:pPr>
      <w:r w:rsidRPr="009D0A4A">
        <w:t>The base case, Option 1, is unlikely to be successful in addressing workplace exposure to RCS and reducing the incidence of silicosis and other silica related diseases. Despite the extensive compliance and enforcement activities in recent years, workers are continuing to be exposed to hazardous levels of RCS in the workplace.</w:t>
      </w:r>
    </w:p>
    <w:p w14:paraId="0F256DA2" w14:textId="19BA8FC5" w:rsidR="00865859" w:rsidRPr="009D0A4A" w:rsidRDefault="00865859" w:rsidP="001E6D09">
      <w:pPr>
        <w:pStyle w:val="BodyText"/>
        <w:jc w:val="both"/>
      </w:pPr>
      <w:r w:rsidRPr="009D0A4A">
        <w:t>Option 2 includes the implementation of national awareness and behaviour change initiatives without clarification of the model WHS Regulations and is unlikely to effectively reduce RCS exposure alone. Awareness campaigns have been conducted across all state and territories as well as through specific industries and organisations. Option 2 would be relatively low cost ($6.08 million over 10 years) and if undertaken in conjunction with one of the regulatory options, would be expected to further reduce workplace RCS exposures.</w:t>
      </w:r>
    </w:p>
    <w:p w14:paraId="29EB8671" w14:textId="0CD65498" w:rsidR="00865859" w:rsidRPr="009D0A4A" w:rsidRDefault="00865859" w:rsidP="001E6D09">
      <w:pPr>
        <w:pStyle w:val="BodyText"/>
        <w:jc w:val="both"/>
        <w:rPr>
          <w:color w:val="auto"/>
        </w:rPr>
      </w:pPr>
      <w:r w:rsidRPr="009D0A4A">
        <w:t xml:space="preserve">Option 3 would ensure regulations related to high risk silica processes are clarified for PCBUs, workers and other duty holders. </w:t>
      </w:r>
      <w:r w:rsidRPr="009D0A4A">
        <w:rPr>
          <w:color w:val="auto"/>
        </w:rPr>
        <w:t xml:space="preserve">It is a relatively cost-effective </w:t>
      </w:r>
      <w:r w:rsidR="008E7B44" w:rsidRPr="009D0A4A">
        <w:rPr>
          <w:color w:val="auto"/>
        </w:rPr>
        <w:t>measure</w:t>
      </w:r>
      <w:r w:rsidRPr="009D0A4A">
        <w:rPr>
          <w:color w:val="auto"/>
        </w:rPr>
        <w:t xml:space="preserve"> with no additional regulatory burden to industry beyond the base case</w:t>
      </w:r>
      <w:r w:rsidR="00397CB8" w:rsidRPr="009D0A4A">
        <w:rPr>
          <w:color w:val="auto"/>
        </w:rPr>
        <w:t xml:space="preserve">. However, this option is unlikely to be as effective as Option 4, 5a or 5b as it only clarifies existing regulatory and compliance requirements and contains no additional reforms. </w:t>
      </w:r>
    </w:p>
    <w:p w14:paraId="4B91656E" w14:textId="1B76E535" w:rsidR="00865859" w:rsidRPr="009D0A4A" w:rsidRDefault="00865859" w:rsidP="001E6D09">
      <w:pPr>
        <w:pStyle w:val="BodyText"/>
        <w:jc w:val="both"/>
        <w:rPr>
          <w:b/>
          <w:bCs/>
        </w:rPr>
      </w:pPr>
      <w:r w:rsidRPr="009D0A4A">
        <w:rPr>
          <w:color w:val="auto"/>
        </w:rPr>
        <w:t xml:space="preserve">Option 4 involves the implementation of a national </w:t>
      </w:r>
      <w:r w:rsidR="00401F17" w:rsidRPr="009D0A4A">
        <w:rPr>
          <w:color w:val="auto"/>
        </w:rPr>
        <w:t xml:space="preserve">licensing </w:t>
      </w:r>
      <w:r w:rsidRPr="009D0A4A">
        <w:rPr>
          <w:color w:val="auto"/>
        </w:rPr>
        <w:t xml:space="preserve">framework for PCBUs working with engineered stone and </w:t>
      </w:r>
      <w:r w:rsidRPr="009D0A4A">
        <w:t xml:space="preserve">is expected to pose a moderate cost option to governments and industry, costing $24.02 million over a 10-year period. </w:t>
      </w:r>
      <w:r w:rsidRPr="009D0A4A">
        <w:rPr>
          <w:color w:val="auto"/>
        </w:rPr>
        <w:t xml:space="preserve"> </w:t>
      </w:r>
      <w:r w:rsidRPr="009D0A4A">
        <w:t xml:space="preserve">Additional requirements under this option include the reporting of health monitoring and air monitoring data to regulators within 30 days of receiving a </w:t>
      </w:r>
      <w:r w:rsidR="001E6D09" w:rsidRPr="009D0A4A">
        <w:t>report and</w:t>
      </w:r>
      <w:r w:rsidRPr="009D0A4A">
        <w:t xml:space="preserve"> requiring licensees to undertake a risk assessment and develop and implement an engineered stone control plan. </w:t>
      </w:r>
      <w:r w:rsidR="008E7B44" w:rsidRPr="009D0A4A">
        <w:t xml:space="preserve">However, </w:t>
      </w:r>
      <w:r w:rsidRPr="009D0A4A">
        <w:t xml:space="preserve">Option 4 is likely to have competition effects on the market which </w:t>
      </w:r>
      <w:r w:rsidR="00397CB8" w:rsidRPr="009D0A4A">
        <w:t>may</w:t>
      </w:r>
      <w:r w:rsidRPr="009D0A4A">
        <w:t xml:space="preserve"> have disproportionate effects on micro- and </w:t>
      </w:r>
      <w:r w:rsidR="001E6D09" w:rsidRPr="009D0A4A">
        <w:t>small businesses</w:t>
      </w:r>
      <w:r w:rsidRPr="009D0A4A">
        <w:t>.</w:t>
      </w:r>
      <w:r w:rsidR="00397CB8" w:rsidRPr="009D0A4A">
        <w:t xml:space="preserve"> However, it is unlikely to be as effective as Options 5a and 5b in reducing workplace exposures to RCS and the number of cases of silicosis and silica related diseases as it </w:t>
      </w:r>
      <w:r w:rsidR="00401F17" w:rsidRPr="009D0A4A">
        <w:t xml:space="preserve">only relates to </w:t>
      </w:r>
      <w:r w:rsidR="00397CB8" w:rsidRPr="009D0A4A">
        <w:t xml:space="preserve">the engineered stone sector. </w:t>
      </w:r>
    </w:p>
    <w:p w14:paraId="23ED18A3" w14:textId="7C0F03F0" w:rsidR="00865859" w:rsidRPr="009D0A4A" w:rsidRDefault="00865859" w:rsidP="001E6D09">
      <w:pPr>
        <w:pStyle w:val="BodyText"/>
        <w:jc w:val="both"/>
      </w:pPr>
      <w:r w:rsidRPr="009D0A4A">
        <w:t xml:space="preserve">Options 5a and 5b would impose additional regulations on PCBUs undertaking high risk crystalline silica processes including risk assessments, silica risk control plans and the reporting of air and health monitoring data to regulators.  These options are expected to incur large costs to </w:t>
      </w:r>
      <w:r w:rsidR="008E7B44" w:rsidRPr="009D0A4A">
        <w:t>industry</w:t>
      </w:r>
      <w:r w:rsidRPr="009D0A4A">
        <w:t xml:space="preserve"> and </w:t>
      </w:r>
      <w:r w:rsidR="008E7B44" w:rsidRPr="009D0A4A">
        <w:t>government</w:t>
      </w:r>
      <w:r w:rsidRPr="009D0A4A">
        <w:t xml:space="preserve"> ($195.35 million and $192.70 million over a 10-year period, respectively), although the overall cost is affected by the large number of businesses and industries that would be covered by the regulations. To breakeven, around 48 cases of silicosis would need to be prevented over this period. This represents around 10 per cent of the total number of accepted workers’ compensation cases accepted in Australia (excluding Victoria) over the 10 year period</w:t>
      </w:r>
      <w:r w:rsidR="00FC4908" w:rsidRPr="009D0A4A">
        <w:t xml:space="preserve"> from</w:t>
      </w:r>
      <w:r w:rsidRPr="009D0A4A">
        <w:t xml:space="preserve"> 2010-11 to 2019-20.</w:t>
      </w:r>
    </w:p>
    <w:p w14:paraId="225DAED0" w14:textId="5129B37F" w:rsidR="00865859" w:rsidRPr="009D0A4A" w:rsidRDefault="00397CB8" w:rsidP="006007D0">
      <w:pPr>
        <w:pStyle w:val="Heading3"/>
        <w:numPr>
          <w:ilvl w:val="0"/>
          <w:numId w:val="0"/>
        </w:numPr>
        <w:ind w:left="720" w:hanging="720"/>
      </w:pPr>
      <w:r w:rsidRPr="009D0A4A">
        <w:lastRenderedPageBreak/>
        <w:t>Next steps</w:t>
      </w:r>
    </w:p>
    <w:p w14:paraId="63D70CAE" w14:textId="60ECAE81" w:rsidR="00865859" w:rsidRPr="009D0A4A" w:rsidRDefault="00865859" w:rsidP="00397CB8">
      <w:pPr>
        <w:pStyle w:val="BodyText"/>
        <w:jc w:val="both"/>
      </w:pPr>
      <w:r w:rsidRPr="009D0A4A">
        <w:t xml:space="preserve">Safe Work Australia </w:t>
      </w:r>
      <w:r w:rsidR="00397CB8" w:rsidRPr="009D0A4A">
        <w:t>is engaging</w:t>
      </w:r>
      <w:r w:rsidRPr="009D0A4A">
        <w:t xml:space="preserve"> in a 6-week consultation period with parties with an interest in minimising the WHS risks of RCS in Australia to seek stakeholder and public feedback on the problem statement, proposed options, impact analysis and the preferred option or options. </w:t>
      </w:r>
    </w:p>
    <w:p w14:paraId="4C0E6154" w14:textId="6ED828B2" w:rsidR="00865859" w:rsidRPr="009D0A4A" w:rsidRDefault="00865859" w:rsidP="001E6D09">
      <w:pPr>
        <w:pStyle w:val="BodyText"/>
        <w:jc w:val="both"/>
      </w:pPr>
      <w:r w:rsidRPr="009D0A4A">
        <w:t>Stakeholder feedback received from this CRIS will be used to revise information in the problem statement, options for analysis and assumptions in the impact analysis, before determining the proposed preferred option or options and developing an implementation and evaluation plan. Stakeholder feedback received as part of this CRIS will be used to prepare a</w:t>
      </w:r>
      <w:r w:rsidR="002D131F" w:rsidRPr="009D0A4A">
        <w:t xml:space="preserve"> decision regulation impact statement</w:t>
      </w:r>
      <w:r w:rsidRPr="009D0A4A">
        <w:t xml:space="preserve"> for </w:t>
      </w:r>
      <w:r w:rsidR="002D131F" w:rsidRPr="009D0A4A">
        <w:t xml:space="preserve">agreement by Australian </w:t>
      </w:r>
      <w:r w:rsidRPr="009D0A4A">
        <w:t>WHS ministers.</w:t>
      </w:r>
    </w:p>
    <w:p w14:paraId="56CDDB8F" w14:textId="326CE480" w:rsidR="00880680" w:rsidRPr="009D0A4A" w:rsidRDefault="00880680" w:rsidP="00183C12">
      <w:pPr>
        <w:pStyle w:val="BodyText1"/>
        <w:jc w:val="both"/>
        <w:rPr>
          <w:rFonts w:asciiTheme="minorHAnsi" w:eastAsiaTheme="minorEastAsia" w:hAnsiTheme="minorHAnsi" w:cstheme="minorBidi"/>
          <w:sz w:val="20"/>
          <w:szCs w:val="20"/>
        </w:rPr>
      </w:pPr>
    </w:p>
    <w:p w14:paraId="640439B6" w14:textId="77777777" w:rsidR="00B63440" w:rsidRPr="009D0A4A" w:rsidRDefault="00B63440">
      <w:pPr>
        <w:rPr>
          <w:rFonts w:asciiTheme="majorHAnsi" w:hAnsiTheme="majorHAnsi"/>
          <w:b/>
          <w:color w:val="014463" w:themeColor="text2"/>
          <w:sz w:val="60"/>
          <w:szCs w:val="60"/>
        </w:rPr>
      </w:pPr>
      <w:r w:rsidRPr="009D0A4A">
        <w:br w:type="page"/>
      </w:r>
    </w:p>
    <w:p w14:paraId="4EE80577" w14:textId="291886E2" w:rsidR="00880680" w:rsidRPr="009D0A4A" w:rsidRDefault="00880680" w:rsidP="00FC4908">
      <w:pPr>
        <w:pStyle w:val="Heading1"/>
        <w:numPr>
          <w:ilvl w:val="0"/>
          <w:numId w:val="0"/>
        </w:numPr>
      </w:pPr>
      <w:bookmarkStart w:id="8" w:name="_Toc107395296"/>
      <w:r w:rsidRPr="009D0A4A">
        <w:lastRenderedPageBreak/>
        <w:t>Acknowledgements</w:t>
      </w:r>
      <w:bookmarkEnd w:id="8"/>
    </w:p>
    <w:p w14:paraId="024776DA" w14:textId="77777777" w:rsidR="00090CF7" w:rsidRPr="009D0A4A" w:rsidRDefault="00880680" w:rsidP="00090CF7">
      <w:pPr>
        <w:pStyle w:val="BodyText"/>
        <w:jc w:val="both"/>
      </w:pPr>
      <w:r w:rsidRPr="009D0A4A">
        <w:t xml:space="preserve">Safe Work Australia </w:t>
      </w:r>
      <w:r w:rsidR="007412A4" w:rsidRPr="009D0A4A">
        <w:t>engaged Ernst and Young Australia Pty Ltd (EY) to support development of this Regulation Impact Statement. Safe Work Australia thanks EY for their input into the development of the problem statement</w:t>
      </w:r>
      <w:r w:rsidR="00FF1EFA" w:rsidRPr="009D0A4A">
        <w:t xml:space="preserve"> and</w:t>
      </w:r>
      <w:r w:rsidR="007412A4" w:rsidRPr="009D0A4A">
        <w:t xml:space="preserve"> options</w:t>
      </w:r>
      <w:r w:rsidR="00FF1EFA" w:rsidRPr="009D0A4A">
        <w:t xml:space="preserve"> chapters</w:t>
      </w:r>
      <w:r w:rsidR="007412A4" w:rsidRPr="009D0A4A">
        <w:t xml:space="preserve">, </w:t>
      </w:r>
      <w:r w:rsidR="00FF1EFA" w:rsidRPr="009D0A4A">
        <w:t xml:space="preserve">for undertaking the </w:t>
      </w:r>
      <w:r w:rsidR="007412A4" w:rsidRPr="009D0A4A">
        <w:t>impact analysis and support</w:t>
      </w:r>
      <w:r w:rsidR="00FF1EFA" w:rsidRPr="009D0A4A">
        <w:t>ing</w:t>
      </w:r>
      <w:r w:rsidR="007412A4" w:rsidRPr="009D0A4A">
        <w:t xml:space="preserve"> in the preliminary consultation process. </w:t>
      </w:r>
      <w:r w:rsidR="00090CF7" w:rsidRPr="009D0A4A">
        <w:t xml:space="preserve">This analysis was conducted in April 2022, and parameter assumptions were current at that point in time. </w:t>
      </w:r>
    </w:p>
    <w:p w14:paraId="61634D1E" w14:textId="4CF51865" w:rsidR="007412A4" w:rsidRPr="009D0A4A" w:rsidRDefault="007412A4" w:rsidP="007412A4">
      <w:pPr>
        <w:pStyle w:val="BodyText"/>
      </w:pPr>
      <w:r w:rsidRPr="009D0A4A">
        <w:t xml:space="preserve">Safe Work Australia also thanks the stakeholders who participated in the preliminary consultation process. </w:t>
      </w:r>
    </w:p>
    <w:p w14:paraId="14216D1A" w14:textId="77777777" w:rsidR="007412A4" w:rsidRPr="009D0A4A" w:rsidRDefault="007412A4" w:rsidP="00880680">
      <w:pPr>
        <w:pStyle w:val="BodyText"/>
      </w:pPr>
    </w:p>
    <w:p w14:paraId="1686DD64" w14:textId="77777777" w:rsidR="00880680" w:rsidRPr="009D0A4A" w:rsidRDefault="00880680" w:rsidP="00183C12">
      <w:pPr>
        <w:pStyle w:val="BodyText1"/>
        <w:jc w:val="both"/>
        <w:rPr>
          <w:rFonts w:asciiTheme="minorHAnsi" w:eastAsiaTheme="minorEastAsia" w:hAnsiTheme="minorHAnsi" w:cstheme="minorBidi"/>
          <w:sz w:val="20"/>
          <w:szCs w:val="20"/>
        </w:rPr>
      </w:pPr>
    </w:p>
    <w:p w14:paraId="47C84D06" w14:textId="6A3FC5E7" w:rsidR="007F627B" w:rsidRPr="009D0A4A" w:rsidRDefault="007F627B" w:rsidP="00183C12">
      <w:pPr>
        <w:jc w:val="both"/>
        <w:rPr>
          <w:rFonts w:eastAsiaTheme="minorEastAsia"/>
          <w:b/>
          <w:bCs/>
          <w:color w:val="auto"/>
        </w:rPr>
      </w:pPr>
      <w:r w:rsidRPr="009D0A4A">
        <w:rPr>
          <w:rFonts w:eastAsiaTheme="minorEastAsia"/>
          <w:b/>
          <w:bCs/>
        </w:rPr>
        <w:br w:type="page"/>
      </w:r>
    </w:p>
    <w:p w14:paraId="4848B01C" w14:textId="2DF23E02" w:rsidR="00E64DD9" w:rsidRPr="009D0A4A" w:rsidRDefault="001C3DD9" w:rsidP="00041D73">
      <w:pPr>
        <w:pStyle w:val="Heading1"/>
        <w:rPr>
          <w:rStyle w:val="Heading1Char"/>
          <w:b/>
          <w:bCs/>
        </w:rPr>
      </w:pPr>
      <w:bookmarkStart w:id="9" w:name="_Toc102142407"/>
      <w:bookmarkStart w:id="10" w:name="_Toc106109636"/>
      <w:bookmarkStart w:id="11" w:name="_Toc106111951"/>
      <w:bookmarkStart w:id="12" w:name="_Toc107395297"/>
      <w:bookmarkEnd w:id="9"/>
      <w:bookmarkEnd w:id="10"/>
      <w:bookmarkEnd w:id="11"/>
      <w:r w:rsidRPr="009D0A4A">
        <w:lastRenderedPageBreak/>
        <w:t>Introduction</w:t>
      </w:r>
      <w:bookmarkEnd w:id="12"/>
    </w:p>
    <w:p w14:paraId="142FA9F2" w14:textId="020703A2" w:rsidR="005D2DDF" w:rsidRPr="009D0A4A" w:rsidRDefault="005D2DDF" w:rsidP="003801F8">
      <w:pPr>
        <w:pStyle w:val="Heading2"/>
      </w:pPr>
      <w:bookmarkStart w:id="13" w:name="_Toc107395298"/>
      <w:r w:rsidRPr="009D0A4A">
        <w:t>About Safe Work Australia</w:t>
      </w:r>
      <w:bookmarkEnd w:id="13"/>
    </w:p>
    <w:p w14:paraId="7D37F2C3" w14:textId="57CBC121" w:rsidR="00AC6B02" w:rsidRPr="009D0A4A" w:rsidRDefault="00AC6B02" w:rsidP="00183C12">
      <w:pPr>
        <w:pStyle w:val="BodyText"/>
        <w:jc w:val="both"/>
      </w:pPr>
      <w:r w:rsidRPr="009D0A4A">
        <w:t>Safe Work Australia is an independent Australian Government statutory agency jointly funded by the Commonwealth, state and territory governments through an Intergovernmental Agreement.</w:t>
      </w:r>
    </w:p>
    <w:p w14:paraId="66691973" w14:textId="70579AC9" w:rsidR="00AC6B02" w:rsidRPr="009D0A4A" w:rsidRDefault="00AC6B02" w:rsidP="00183C12">
      <w:pPr>
        <w:pStyle w:val="BodyText"/>
        <w:jc w:val="both"/>
      </w:pPr>
      <w:r w:rsidRPr="009D0A4A">
        <w:t xml:space="preserve">Safe Work Australia was established by the </w:t>
      </w:r>
      <w:r w:rsidRPr="009D0A4A">
        <w:rPr>
          <w:iCs/>
        </w:rPr>
        <w:t>Safe Work Australia Act 2008 (Cth)</w:t>
      </w:r>
      <w:r w:rsidRPr="009D0A4A">
        <w:t xml:space="preserve"> with primary responsibility to lead the development of policy to improve </w:t>
      </w:r>
      <w:r w:rsidR="00FA48E5" w:rsidRPr="009D0A4A">
        <w:t>work health and safety (</w:t>
      </w:r>
      <w:r w:rsidRPr="009D0A4A">
        <w:t>WHS</w:t>
      </w:r>
      <w:r w:rsidR="00FA48E5" w:rsidRPr="009D0A4A">
        <w:t>)</w:t>
      </w:r>
      <w:r w:rsidRPr="009D0A4A">
        <w:t xml:space="preserve"> and workers’ compensation arrangements across Australia. </w:t>
      </w:r>
    </w:p>
    <w:p w14:paraId="69023F4B" w14:textId="31A994BD" w:rsidR="00AC6B02" w:rsidRPr="009D0A4A" w:rsidRDefault="00AC6B02" w:rsidP="00183C12">
      <w:pPr>
        <w:pStyle w:val="BodyText"/>
        <w:jc w:val="both"/>
      </w:pPr>
      <w:r w:rsidRPr="009D0A4A">
        <w:t xml:space="preserve">Safe Work Australia does not regulate WHS. The Commonwealth, states and territories retain responsibility for </w:t>
      </w:r>
      <w:r w:rsidR="00183C12" w:rsidRPr="009D0A4A">
        <w:t>implementing</w:t>
      </w:r>
      <w:r w:rsidRPr="009D0A4A">
        <w:t xml:space="preserve"> WHS laws in their jurisdiction.</w:t>
      </w:r>
    </w:p>
    <w:p w14:paraId="16431D61" w14:textId="77777777" w:rsidR="00AC6B02" w:rsidRPr="009D0A4A" w:rsidRDefault="00AC6B02" w:rsidP="00183C12">
      <w:pPr>
        <w:pStyle w:val="BodyText"/>
        <w:jc w:val="both"/>
      </w:pPr>
      <w:r w:rsidRPr="009D0A4A">
        <w:t>Safe Work Australia is governed by a tripartite body comprising 15 Members, including:</w:t>
      </w:r>
    </w:p>
    <w:p w14:paraId="27CAD2C1" w14:textId="23219995" w:rsidR="00AC6B02" w:rsidRPr="009D0A4A" w:rsidRDefault="00AC6B02"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an independent Chair</w:t>
      </w:r>
    </w:p>
    <w:p w14:paraId="2B03F8A7" w14:textId="5B0D9E07" w:rsidR="00AC6B02" w:rsidRPr="009D0A4A" w:rsidRDefault="00AC6B02"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nine Members representing the Commonwealth and each state and territory</w:t>
      </w:r>
    </w:p>
    <w:p w14:paraId="5266DD88" w14:textId="34745586" w:rsidR="00AC6B02" w:rsidRPr="009D0A4A" w:rsidRDefault="00AC6B02"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two Members representing the interests of workers</w:t>
      </w:r>
    </w:p>
    <w:p w14:paraId="4F4D9375" w14:textId="6E01CD7E" w:rsidR="00AC6B02" w:rsidRPr="009D0A4A" w:rsidRDefault="00AC6B02"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two Members representing the interests of employers, and </w:t>
      </w:r>
    </w:p>
    <w:p w14:paraId="6E1EBC4E" w14:textId="20F70EA1" w:rsidR="00AC6B02" w:rsidRPr="009D0A4A" w:rsidRDefault="00AC6B02"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the Chief Executive Officer of Safe Work Australia, who is responsible for managing Safe Work Australia’s administration and assisting it in the performance of its statutory functions.</w:t>
      </w:r>
    </w:p>
    <w:p w14:paraId="2C2ADD25" w14:textId="77777777" w:rsidR="00AC6B02" w:rsidRPr="009D0A4A" w:rsidRDefault="00AC6B02" w:rsidP="00183C12">
      <w:pPr>
        <w:pStyle w:val="BodyText"/>
        <w:jc w:val="both"/>
      </w:pPr>
      <w:r w:rsidRPr="009D0A4A">
        <w:t>Safe Work Australia’s role includes:</w:t>
      </w:r>
    </w:p>
    <w:p w14:paraId="07EEF70C" w14:textId="29167169" w:rsidR="00E752D5" w:rsidRPr="009D0A4A" w:rsidRDefault="00E752D5"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monitoring and evaluating the model WHS laws to improve safety outcomes and address issues that have the potential to impede the effective and efficient operation of the laws, and</w:t>
      </w:r>
    </w:p>
    <w:p w14:paraId="461FE5DE" w14:textId="53EB9B98" w:rsidR="00AC6B02" w:rsidRPr="009D0A4A" w:rsidRDefault="00AC6B02"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facilitating the development of accessible, effective and practical material to aid understanding and compliance; minimise regulatory cost; and support improved work health and safety outcomes, particularly for small business and individuals.</w:t>
      </w:r>
    </w:p>
    <w:p w14:paraId="6073BAF0" w14:textId="5C3395E5" w:rsidR="008564D1" w:rsidRPr="009D0A4A" w:rsidRDefault="00DD6004" w:rsidP="00183C12">
      <w:pPr>
        <w:pStyle w:val="BodyText"/>
        <w:jc w:val="both"/>
      </w:pPr>
      <w:r w:rsidRPr="009D0A4A">
        <w:t xml:space="preserve">The model WHS laws </w:t>
      </w:r>
      <w:r w:rsidR="00412992" w:rsidRPr="009D0A4A">
        <w:t>(</w:t>
      </w:r>
      <w:r w:rsidR="007412A4" w:rsidRPr="009D0A4A">
        <w:t>summarised</w:t>
      </w:r>
      <w:r w:rsidR="00412992" w:rsidRPr="009D0A4A">
        <w:t xml:space="preserve"> in Section </w:t>
      </w:r>
      <w:r w:rsidR="007412A4" w:rsidRPr="009D0A4A">
        <w:t>1.3 and described further in Appendix A</w:t>
      </w:r>
      <w:r w:rsidR="00412992" w:rsidRPr="009D0A4A">
        <w:t xml:space="preserve">) </w:t>
      </w:r>
      <w:r w:rsidR="002926E7" w:rsidRPr="009D0A4A">
        <w:t>have been implemented</w:t>
      </w:r>
      <w:r w:rsidR="00F61D34" w:rsidRPr="009D0A4A">
        <w:t xml:space="preserve"> in</w:t>
      </w:r>
      <w:r w:rsidR="00FA48E5" w:rsidRPr="009D0A4A">
        <w:t xml:space="preserve"> the Commonwealth and</w:t>
      </w:r>
      <w:r w:rsidR="00F61D34" w:rsidRPr="009D0A4A">
        <w:t xml:space="preserve"> all states and territories except Victoria.</w:t>
      </w:r>
    </w:p>
    <w:p w14:paraId="03F21C50" w14:textId="160E3D4A" w:rsidR="6E04D04A" w:rsidRPr="009D0A4A" w:rsidRDefault="6E04D04A" w:rsidP="003801F8">
      <w:pPr>
        <w:pStyle w:val="Heading2"/>
      </w:pPr>
      <w:bookmarkStart w:id="14" w:name="_Ref102054054"/>
      <w:bookmarkStart w:id="15" w:name="_Toc107395299"/>
      <w:r w:rsidRPr="009D0A4A">
        <w:t>Background</w:t>
      </w:r>
      <w:bookmarkEnd w:id="14"/>
      <w:bookmarkEnd w:id="15"/>
    </w:p>
    <w:p w14:paraId="60F746F2" w14:textId="30CCDE45" w:rsidR="007115AC" w:rsidRPr="009D0A4A" w:rsidRDefault="00E70410" w:rsidP="007115AC">
      <w:pPr>
        <w:pStyle w:val="BodyText"/>
        <w:jc w:val="both"/>
      </w:pPr>
      <w:r w:rsidRPr="009D0A4A">
        <w:t>Crystalline s</w:t>
      </w:r>
      <w:r w:rsidR="007115AC" w:rsidRPr="009D0A4A">
        <w:t xml:space="preserve">ilica dust is a significant health hazard for workers. </w:t>
      </w:r>
      <w:r w:rsidRPr="009D0A4A">
        <w:t xml:space="preserve">Respirable crystalline silica (RCS) refers to particles of crystalline silica that are less than 10µm in diameter. RCS is released when materials containing silica are processed, particularly with power tools. </w:t>
      </w:r>
      <w:r w:rsidR="007115AC" w:rsidRPr="009D0A4A">
        <w:t xml:space="preserve">When airborne, workers can easily inhale </w:t>
      </w:r>
      <w:r w:rsidRPr="009D0A4A">
        <w:t>RCS</w:t>
      </w:r>
      <w:r w:rsidR="007115AC" w:rsidRPr="009D0A4A">
        <w:t xml:space="preserve"> deep into their lungs where it can lead to a range of respiratory diseases, including: </w:t>
      </w:r>
    </w:p>
    <w:p w14:paraId="4D315F0D" w14:textId="1E3F2A11" w:rsidR="007115AC" w:rsidRPr="009D0A4A" w:rsidRDefault="001459BD"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s</w:t>
      </w:r>
      <w:r w:rsidR="007115AC" w:rsidRPr="009D0A4A">
        <w:rPr>
          <w:rFonts w:asciiTheme="minorHAnsi" w:hAnsiTheme="minorHAnsi" w:cstheme="minorHAnsi"/>
          <w:sz w:val="20"/>
          <w:szCs w:val="20"/>
        </w:rPr>
        <w:t>ilicosis</w:t>
      </w:r>
    </w:p>
    <w:p w14:paraId="31B01673" w14:textId="10A60C45" w:rsidR="007115AC" w:rsidRPr="009D0A4A" w:rsidRDefault="007115AC"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progressive massive fibrosis</w:t>
      </w:r>
    </w:p>
    <w:p w14:paraId="4B5A090D" w14:textId="400413F0" w:rsidR="007115AC" w:rsidRPr="009D0A4A" w:rsidRDefault="007115AC"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chronic obstructive pulmonary disease</w:t>
      </w:r>
    </w:p>
    <w:p w14:paraId="581A184E" w14:textId="2CFE36BC" w:rsidR="007115AC" w:rsidRPr="009D0A4A" w:rsidRDefault="007115AC"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lastRenderedPageBreak/>
        <w:t>chronic bronchitis, and</w:t>
      </w:r>
    </w:p>
    <w:p w14:paraId="7C234757" w14:textId="5800CAAA" w:rsidR="007115AC" w:rsidRPr="009D0A4A" w:rsidRDefault="007115AC"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lung cancer. </w:t>
      </w:r>
    </w:p>
    <w:p w14:paraId="42A63C66" w14:textId="14BEC800" w:rsidR="00E70996" w:rsidRPr="009D0A4A" w:rsidRDefault="00E70996" w:rsidP="007012B9">
      <w:pPr>
        <w:pStyle w:val="BodyText"/>
        <w:jc w:val="both"/>
        <w:rPr>
          <w:lang w:val="en-US"/>
        </w:rPr>
      </w:pPr>
      <w:r w:rsidRPr="009D0A4A">
        <w:rPr>
          <w:lang w:val="en-US"/>
        </w:rPr>
        <w:t>Exposure to RCS can also increase the risk of workers developing chronic kidney disease, autoimmune disorders (such as scleroderma and systemic lupus erythematosus), and other adverse health effects, including eye irritation</w:t>
      </w:r>
      <w:r w:rsidR="00E70410" w:rsidRPr="009D0A4A">
        <w:rPr>
          <w:lang w:val="en-US"/>
        </w:rPr>
        <w:t xml:space="preserve">, </w:t>
      </w:r>
      <w:r w:rsidRPr="009D0A4A">
        <w:rPr>
          <w:lang w:val="en-US"/>
        </w:rPr>
        <w:t>eye damage</w:t>
      </w:r>
      <w:r w:rsidR="00E70410" w:rsidRPr="009D0A4A">
        <w:rPr>
          <w:lang w:val="en-US"/>
        </w:rPr>
        <w:t xml:space="preserve"> and an increased risk of activating latent tuberculosis</w:t>
      </w:r>
      <w:r w:rsidRPr="009D0A4A">
        <w:rPr>
          <w:lang w:val="en-US"/>
        </w:rPr>
        <w:t>.</w:t>
      </w:r>
    </w:p>
    <w:p w14:paraId="79036384" w14:textId="715DD9CF" w:rsidR="007115AC" w:rsidRPr="009D0A4A" w:rsidRDefault="00E70996" w:rsidP="007115AC">
      <w:pPr>
        <w:pStyle w:val="BodyText"/>
        <w:jc w:val="both"/>
      </w:pPr>
      <w:r w:rsidRPr="009D0A4A">
        <w:rPr>
          <w:lang w:val="en-US"/>
        </w:rPr>
        <w:t xml:space="preserve">Silicosis is a serious, irreversible lung disease that causes permanent disability and can be fatal. When RCS comes into prolonged contact with the lung tissue, it causes inflammation and scarring and reduces the lungs’ ability to take in oxygen. Silicosis may continue to progress even after a worker is removed from exposure to silica dust and as the disease progresses, a worker may experience shortness of breath, a severe cough, chest pain or respiratory failure. </w:t>
      </w:r>
      <w:r w:rsidR="007115AC" w:rsidRPr="009D0A4A">
        <w:t xml:space="preserve">The three types of silicosis are outlined in </w:t>
      </w:r>
      <w:r w:rsidR="00EF4444">
        <w:t>Table 1.</w:t>
      </w:r>
      <w:r w:rsidR="00877EBC" w:rsidRPr="009D0A4A">
        <w:t xml:space="preserve"> </w:t>
      </w:r>
    </w:p>
    <w:p w14:paraId="77744915" w14:textId="208166C8" w:rsidR="00877EBC" w:rsidRPr="009D0A4A" w:rsidRDefault="00877EBC" w:rsidP="007012B9">
      <w:pPr>
        <w:pStyle w:val="Caption"/>
      </w:pPr>
      <w:bookmarkStart w:id="16" w:name="_Ref102050634"/>
      <w:r w:rsidRPr="009D0A4A">
        <w:t xml:space="preserve">Table </w:t>
      </w:r>
      <w:r w:rsidR="00E26661">
        <w:fldChar w:fldCharType="begin"/>
      </w:r>
      <w:r w:rsidR="00E26661">
        <w:instrText xml:space="preserve"> SEQ Table \* ARABIC </w:instrText>
      </w:r>
      <w:r w:rsidR="00E26661">
        <w:fldChar w:fldCharType="separate"/>
      </w:r>
      <w:r w:rsidR="007A56E1">
        <w:rPr>
          <w:noProof/>
        </w:rPr>
        <w:t>1</w:t>
      </w:r>
      <w:r w:rsidR="00E26661">
        <w:rPr>
          <w:noProof/>
        </w:rPr>
        <w:fldChar w:fldCharType="end"/>
      </w:r>
      <w:bookmarkEnd w:id="16"/>
      <w:r w:rsidRPr="009D0A4A">
        <w:t>: Types of silicosis</w:t>
      </w:r>
    </w:p>
    <w:tbl>
      <w:tblPr>
        <w:tblStyle w:val="PMCDefaultTableStyle"/>
        <w:tblW w:w="5000" w:type="pct"/>
        <w:tblLook w:val="04A0" w:firstRow="1" w:lastRow="0" w:firstColumn="1" w:lastColumn="0" w:noHBand="0" w:noVBand="1"/>
      </w:tblPr>
      <w:tblGrid>
        <w:gridCol w:w="2251"/>
        <w:gridCol w:w="4290"/>
        <w:gridCol w:w="3663"/>
      </w:tblGrid>
      <w:tr w:rsidR="007115AC" w:rsidRPr="009D0A4A" w14:paraId="2CE93FBB" w14:textId="77777777" w:rsidTr="00823CCE">
        <w:trPr>
          <w:cnfStyle w:val="100000000000" w:firstRow="1" w:lastRow="0" w:firstColumn="0" w:lastColumn="0" w:oddVBand="0" w:evenVBand="0" w:oddHBand="0" w:evenHBand="0" w:firstRowFirstColumn="0" w:firstRowLastColumn="0" w:lastRowFirstColumn="0" w:lastRowLastColumn="0"/>
          <w:trHeight w:val="581"/>
        </w:trPr>
        <w:tc>
          <w:tcPr>
            <w:tcW w:w="1103" w:type="pct"/>
          </w:tcPr>
          <w:p w14:paraId="7B5C4ACD" w14:textId="65B8DAC0" w:rsidR="007115AC" w:rsidRPr="009D0A4A" w:rsidRDefault="007115AC" w:rsidP="00E31638">
            <w:pPr>
              <w:jc w:val="both"/>
            </w:pPr>
            <w:r w:rsidRPr="009D0A4A">
              <w:t>Silicosis type</w:t>
            </w:r>
          </w:p>
        </w:tc>
        <w:tc>
          <w:tcPr>
            <w:tcW w:w="2102" w:type="pct"/>
          </w:tcPr>
          <w:p w14:paraId="5222D5E5" w14:textId="6829B59F" w:rsidR="007115AC" w:rsidRPr="009D0A4A" w:rsidRDefault="007115AC" w:rsidP="00E31638">
            <w:pPr>
              <w:jc w:val="both"/>
            </w:pPr>
            <w:r w:rsidRPr="009D0A4A">
              <w:t>Exposure type</w:t>
            </w:r>
          </w:p>
        </w:tc>
        <w:tc>
          <w:tcPr>
            <w:tcW w:w="1795" w:type="pct"/>
          </w:tcPr>
          <w:p w14:paraId="1EAEA47E" w14:textId="2EC1C1B1" w:rsidR="007115AC" w:rsidRPr="009D0A4A" w:rsidRDefault="00877EBC" w:rsidP="00E31638">
            <w:pPr>
              <w:jc w:val="both"/>
            </w:pPr>
            <w:r w:rsidRPr="009D0A4A">
              <w:t>Respiratory impact of exposure</w:t>
            </w:r>
          </w:p>
        </w:tc>
      </w:tr>
      <w:tr w:rsidR="00877EBC" w:rsidRPr="009D0A4A" w14:paraId="3C2306AE" w14:textId="77777777" w:rsidTr="00823CCE">
        <w:trPr>
          <w:cnfStyle w:val="000000100000" w:firstRow="0" w:lastRow="0" w:firstColumn="0" w:lastColumn="0" w:oddVBand="0" w:evenVBand="0" w:oddHBand="1" w:evenHBand="0" w:firstRowFirstColumn="0" w:firstRowLastColumn="0" w:lastRowFirstColumn="0" w:lastRowLastColumn="0"/>
          <w:trHeight w:val="349"/>
        </w:trPr>
        <w:tc>
          <w:tcPr>
            <w:tcW w:w="1103" w:type="pct"/>
          </w:tcPr>
          <w:p w14:paraId="0B3EA721" w14:textId="5B5BE10C" w:rsidR="00877EBC" w:rsidRPr="009D0A4A" w:rsidRDefault="00877EBC" w:rsidP="001459BD">
            <w:pPr>
              <w:rPr>
                <w:szCs w:val="18"/>
              </w:rPr>
            </w:pPr>
            <w:r w:rsidRPr="009D0A4A">
              <w:rPr>
                <w:rFonts w:eastAsia="Calibri" w:cs="Arial"/>
                <w:color w:val="000000"/>
                <w:szCs w:val="18"/>
                <w:lang w:val="en-US"/>
              </w:rPr>
              <w:t>Acute</w:t>
            </w:r>
          </w:p>
        </w:tc>
        <w:tc>
          <w:tcPr>
            <w:tcW w:w="2102" w:type="pct"/>
          </w:tcPr>
          <w:p w14:paraId="1D186A77" w14:textId="57471D61" w:rsidR="00877EBC" w:rsidRPr="009D0A4A" w:rsidRDefault="00877EBC" w:rsidP="001459BD">
            <w:pPr>
              <w:rPr>
                <w:szCs w:val="18"/>
              </w:rPr>
            </w:pPr>
            <w:r w:rsidRPr="009D0A4A">
              <w:rPr>
                <w:rFonts w:eastAsia="Calibri" w:cs="Arial"/>
                <w:color w:val="000000"/>
                <w:szCs w:val="18"/>
                <w:lang w:val="en-US"/>
              </w:rPr>
              <w:t>Can develop after short-term and very high levels of silica dust (for example less than one year, and after a few weeks).</w:t>
            </w:r>
          </w:p>
        </w:tc>
        <w:tc>
          <w:tcPr>
            <w:tcW w:w="1795" w:type="pct"/>
          </w:tcPr>
          <w:p w14:paraId="7D9E4752" w14:textId="0489BC3D" w:rsidR="00877EBC" w:rsidRPr="009D0A4A" w:rsidRDefault="00877EBC" w:rsidP="001459BD">
            <w:pPr>
              <w:rPr>
                <w:szCs w:val="18"/>
              </w:rPr>
            </w:pPr>
            <w:r w:rsidRPr="009D0A4A">
              <w:rPr>
                <w:rFonts w:eastAsia="Calibri" w:cs="Arial"/>
                <w:color w:val="000000"/>
                <w:szCs w:val="18"/>
                <w:lang w:val="en-US"/>
              </w:rPr>
              <w:t>Causes severe inflammation and protein in the lung.</w:t>
            </w:r>
          </w:p>
        </w:tc>
      </w:tr>
      <w:tr w:rsidR="00877EBC" w:rsidRPr="009D0A4A" w14:paraId="2AAD3DD6" w14:textId="77777777" w:rsidTr="00823CCE">
        <w:trPr>
          <w:cnfStyle w:val="000000010000" w:firstRow="0" w:lastRow="0" w:firstColumn="0" w:lastColumn="0" w:oddVBand="0" w:evenVBand="0" w:oddHBand="0" w:evenHBand="1" w:firstRowFirstColumn="0" w:firstRowLastColumn="0" w:lastRowFirstColumn="0" w:lastRowLastColumn="0"/>
          <w:trHeight w:val="879"/>
        </w:trPr>
        <w:tc>
          <w:tcPr>
            <w:tcW w:w="1103" w:type="pct"/>
          </w:tcPr>
          <w:p w14:paraId="26C41EA6" w14:textId="71B1019C" w:rsidR="00877EBC" w:rsidRPr="009D0A4A" w:rsidRDefault="00877EBC" w:rsidP="001459BD">
            <w:pPr>
              <w:rPr>
                <w:szCs w:val="18"/>
              </w:rPr>
            </w:pPr>
            <w:r w:rsidRPr="009D0A4A">
              <w:rPr>
                <w:rFonts w:eastAsia="Calibri" w:cs="Arial"/>
                <w:color w:val="000000"/>
                <w:szCs w:val="18"/>
                <w:lang w:val="en-US"/>
              </w:rPr>
              <w:t>Accelerated</w:t>
            </w:r>
          </w:p>
        </w:tc>
        <w:tc>
          <w:tcPr>
            <w:tcW w:w="2102" w:type="pct"/>
          </w:tcPr>
          <w:p w14:paraId="756BCA6D" w14:textId="1B2801F2" w:rsidR="00877EBC" w:rsidRPr="009D0A4A" w:rsidRDefault="00877EBC" w:rsidP="001459BD">
            <w:pPr>
              <w:rPr>
                <w:szCs w:val="18"/>
              </w:rPr>
            </w:pPr>
            <w:r w:rsidRPr="009D0A4A">
              <w:rPr>
                <w:rFonts w:eastAsia="Calibri" w:cs="Arial"/>
                <w:color w:val="000000"/>
                <w:szCs w:val="18"/>
                <w:lang w:val="en-US"/>
              </w:rPr>
              <w:t>Results from short term exposure to large amounts of silica dust (1 to 10 years of exposure).</w:t>
            </w:r>
          </w:p>
        </w:tc>
        <w:tc>
          <w:tcPr>
            <w:tcW w:w="1795" w:type="pct"/>
          </w:tcPr>
          <w:p w14:paraId="4CD88D30" w14:textId="2B87521C" w:rsidR="00877EBC" w:rsidRPr="009D0A4A" w:rsidRDefault="00877EBC" w:rsidP="001459BD">
            <w:pPr>
              <w:rPr>
                <w:szCs w:val="18"/>
              </w:rPr>
            </w:pPr>
            <w:r w:rsidRPr="009D0A4A">
              <w:rPr>
                <w:rFonts w:eastAsia="Calibri" w:cs="Arial"/>
                <w:color w:val="000000"/>
                <w:szCs w:val="18"/>
                <w:lang w:val="en-US"/>
              </w:rPr>
              <w:t>Causes inflammation, and protein and scarring in the lung (fibrotic nodules).</w:t>
            </w:r>
          </w:p>
        </w:tc>
      </w:tr>
      <w:tr w:rsidR="00877EBC" w:rsidRPr="009D0A4A" w14:paraId="257712E5" w14:textId="77777777" w:rsidTr="00823CCE">
        <w:trPr>
          <w:cnfStyle w:val="000000100000" w:firstRow="0" w:lastRow="0" w:firstColumn="0" w:lastColumn="0" w:oddVBand="0" w:evenVBand="0" w:oddHBand="1" w:evenHBand="0" w:firstRowFirstColumn="0" w:firstRowLastColumn="0" w:lastRowFirstColumn="0" w:lastRowLastColumn="0"/>
          <w:trHeight w:val="709"/>
        </w:trPr>
        <w:tc>
          <w:tcPr>
            <w:tcW w:w="1103" w:type="pct"/>
          </w:tcPr>
          <w:p w14:paraId="5C905202" w14:textId="09E6DF8B" w:rsidR="00877EBC" w:rsidRPr="009D0A4A" w:rsidRDefault="00877EBC" w:rsidP="001459BD">
            <w:pPr>
              <w:rPr>
                <w:szCs w:val="18"/>
              </w:rPr>
            </w:pPr>
            <w:r w:rsidRPr="009D0A4A">
              <w:rPr>
                <w:rFonts w:eastAsia="Calibri" w:cs="Arial"/>
                <w:color w:val="000000"/>
                <w:szCs w:val="18"/>
                <w:lang w:val="en-US"/>
              </w:rPr>
              <w:t>Chronic</w:t>
            </w:r>
          </w:p>
        </w:tc>
        <w:tc>
          <w:tcPr>
            <w:tcW w:w="2102" w:type="pct"/>
          </w:tcPr>
          <w:p w14:paraId="27A70F4A" w14:textId="734BDE6E" w:rsidR="00877EBC" w:rsidRPr="009D0A4A" w:rsidRDefault="00877EBC" w:rsidP="001459BD">
            <w:pPr>
              <w:rPr>
                <w:szCs w:val="18"/>
              </w:rPr>
            </w:pPr>
            <w:r w:rsidRPr="009D0A4A">
              <w:rPr>
                <w:rFonts w:eastAsia="Calibri" w:cs="Arial"/>
                <w:color w:val="000000"/>
                <w:szCs w:val="18"/>
                <w:lang w:val="en-US"/>
              </w:rPr>
              <w:t>Results from long term exposure (over 10 years of exposure) to low levels of silica dust.</w:t>
            </w:r>
          </w:p>
        </w:tc>
        <w:tc>
          <w:tcPr>
            <w:tcW w:w="1795" w:type="pct"/>
          </w:tcPr>
          <w:p w14:paraId="4F024753" w14:textId="3269C05C" w:rsidR="00877EBC" w:rsidRPr="009D0A4A" w:rsidRDefault="00877EBC" w:rsidP="001459BD">
            <w:pPr>
              <w:rPr>
                <w:szCs w:val="18"/>
              </w:rPr>
            </w:pPr>
            <w:r w:rsidRPr="009D0A4A">
              <w:rPr>
                <w:rFonts w:eastAsia="Calibri" w:cs="Arial"/>
                <w:color w:val="000000"/>
                <w:szCs w:val="18"/>
                <w:lang w:val="en-US"/>
              </w:rPr>
              <w:t xml:space="preserve">Causes scarring of the lung and shortness of breath. </w:t>
            </w:r>
          </w:p>
        </w:tc>
      </w:tr>
    </w:tbl>
    <w:p w14:paraId="4641F6C1" w14:textId="6BA43795" w:rsidR="007115AC" w:rsidRPr="009D0A4A" w:rsidRDefault="007115AC" w:rsidP="007115AC">
      <w:pPr>
        <w:pStyle w:val="BodyText"/>
        <w:jc w:val="both"/>
      </w:pPr>
    </w:p>
    <w:p w14:paraId="3CAD2068" w14:textId="2B6B497E" w:rsidR="00E70996" w:rsidRPr="009D0A4A" w:rsidRDefault="00E70410" w:rsidP="00E70996">
      <w:pPr>
        <w:pStyle w:val="BodyText"/>
        <w:jc w:val="both"/>
        <w:rPr>
          <w:rFonts w:ascii="Helvetica" w:hAnsi="Helvetica"/>
          <w:sz w:val="27"/>
          <w:szCs w:val="27"/>
          <w:shd w:val="clear" w:color="auto" w:fill="FFFFFF"/>
        </w:rPr>
      </w:pPr>
      <w:r w:rsidRPr="009D0A4A">
        <w:rPr>
          <w:lang w:val="en-US"/>
        </w:rPr>
        <w:t>S</w:t>
      </w:r>
      <w:r w:rsidR="00E70996" w:rsidRPr="009D0A4A">
        <w:rPr>
          <w:lang w:val="en-US"/>
        </w:rPr>
        <w:t xml:space="preserve">ymptoms of </w:t>
      </w:r>
      <w:r w:rsidR="00390C70" w:rsidRPr="009D0A4A">
        <w:rPr>
          <w:lang w:val="en-US"/>
        </w:rPr>
        <w:t xml:space="preserve">silicosis and other </w:t>
      </w:r>
      <w:r w:rsidR="00880680" w:rsidRPr="009D0A4A">
        <w:rPr>
          <w:lang w:val="en-US"/>
        </w:rPr>
        <w:t>silica related</w:t>
      </w:r>
      <w:r w:rsidR="00E70996" w:rsidRPr="009D0A4A">
        <w:rPr>
          <w:lang w:val="en-US"/>
        </w:rPr>
        <w:t xml:space="preserve"> diseases (such as lung cancer, </w:t>
      </w:r>
      <w:r w:rsidR="004E3629" w:rsidRPr="009D0A4A">
        <w:rPr>
          <w:lang w:val="en-US"/>
        </w:rPr>
        <w:t>silicosis,</w:t>
      </w:r>
      <w:r w:rsidR="00E70996" w:rsidRPr="009D0A4A">
        <w:rPr>
          <w:lang w:val="en-US"/>
        </w:rPr>
        <w:t xml:space="preserve"> and progressive massive fibrosis) may not appear for many years. The time between exposure and onset of symptoms, referred to as the latency period, for </w:t>
      </w:r>
      <w:r w:rsidR="00390C70" w:rsidRPr="009D0A4A">
        <w:rPr>
          <w:lang w:val="en-US"/>
        </w:rPr>
        <w:t xml:space="preserve">silicosis and </w:t>
      </w:r>
      <w:r w:rsidR="00880680" w:rsidRPr="009D0A4A">
        <w:rPr>
          <w:lang w:val="en-US"/>
        </w:rPr>
        <w:t>silica related</w:t>
      </w:r>
      <w:r w:rsidR="00E70996" w:rsidRPr="009D0A4A">
        <w:rPr>
          <w:lang w:val="en-US"/>
        </w:rPr>
        <w:t xml:space="preserve"> diseases </w:t>
      </w:r>
      <w:r w:rsidR="00CA27A6" w:rsidRPr="009D0A4A">
        <w:rPr>
          <w:lang w:val="en-US"/>
        </w:rPr>
        <w:t>can be extended in some cases up to</w:t>
      </w:r>
      <w:r w:rsidR="00E70996" w:rsidRPr="009D0A4A">
        <w:rPr>
          <w:lang w:val="en-US"/>
        </w:rPr>
        <w:t xml:space="preserve"> 10-30 years</w:t>
      </w:r>
      <w:r w:rsidR="00CA27A6" w:rsidRPr="009D0A4A">
        <w:rPr>
          <w:lang w:val="en-US"/>
        </w:rPr>
        <w:t xml:space="preserve"> </w:t>
      </w:r>
      <w:r w:rsidR="00CA27A6" w:rsidRPr="009D0A4A">
        <w:rPr>
          <w:rStyle w:val="FootnoteReference"/>
          <w:lang w:val="en-US"/>
        </w:rPr>
        <w:fldChar w:fldCharType="begin"/>
      </w:r>
      <w:r w:rsidR="004067E3">
        <w:rPr>
          <w:lang w:val="en-US"/>
        </w:rPr>
        <w:instrText xml:space="preserve"> ADDIN ZOTERO_ITEM CSL_CITATION {"citationID":"CBaTR5Ng","properties":{"formattedCitation":"(Hoy &amp; Chambers 2020)","plainCitation":"(Hoy &amp; Chambers 2020)","noteIndex":0},"citationItems":[{"id":799,"uris":["http://zotero.org/users/6230888/items/AAX28WZL"],"itemData":{"id":799,"type":"article-journal","abstract":"Silicosis is an ancient and potentially fatal pneumoconiosis caused by exposure to respirable crystalline silica. Silicosis is historically a disease of miners; however, failure to recognize and control the risk associated with silica exposure in contemporary work practices such as sandblasting denim jeans and manufacturing of artificial stone benchtops has led to re-emergence of silicosis around the world. This review outlines the mineralogy, epidemiology, clinical and radiological features of the various forms of silicosis and other silica-associated diseases. Perspective is provided on the most recent studies shedding light on pathogenesis, including the central role of innate immune effector cells and subsequent inflammatory cascades in propagating pulmonary fibrosis and the extrapulmonary manifestations, which uniquely characterize this pneumoconiosis. Clinical conundrums in differential diagnosis, particularly between silicosis and sarcoidosis, are highlighted, as is the importance of obtaining a careful occupational history in the patient presenting with pulmonary infiltrates and/or fibrosis. While silicosis is a completely preventable disease, unfortunately workers around the world continue to be affected and experience progressive or even fatal disease. Although no treatments have been proven, opportunities to intervene to prevent progressive disease, founded in a thorough cellular and molecular understanding of the immunopathology of silicosis, are highlighted.","container-title":"Allergy","DOI":"10.1111/all.14202","ISSN":"1398-9995","issue":"11","language":"en","note":"_eprint: https://onlinelibrary.wiley.com/doi/pdf/10.1111/all.14202","page":"2805-2817","source":"Wiley Online Library","title":"Silica-related diseases in the modern world","volume":"75","author":[{"family":"Hoy","given":"Ryan F."},{"family":"Chambers","given":"Daniel C."}],"issued":{"date-parts":[["2020"]]}}}],"schema":"https://github.com/citation-style-language/schema/raw/master/csl-citation.json"} </w:instrText>
      </w:r>
      <w:r w:rsidR="00CA27A6" w:rsidRPr="009D0A4A">
        <w:rPr>
          <w:rStyle w:val="FootnoteReference"/>
          <w:lang w:val="en-US"/>
        </w:rPr>
        <w:fldChar w:fldCharType="separate"/>
      </w:r>
      <w:r w:rsidR="006B4A7D" w:rsidRPr="009D0A4A">
        <w:rPr>
          <w:rFonts w:ascii="Calibri" w:hAnsi="Calibri" w:cs="Calibri"/>
        </w:rPr>
        <w:t>(Hoy &amp; Chambers 2020)</w:t>
      </w:r>
      <w:r w:rsidR="00CA27A6" w:rsidRPr="009D0A4A">
        <w:rPr>
          <w:rStyle w:val="FootnoteReference"/>
          <w:lang w:val="en-US"/>
        </w:rPr>
        <w:fldChar w:fldCharType="end"/>
      </w:r>
      <w:r w:rsidR="00E70996" w:rsidRPr="009D0A4A">
        <w:rPr>
          <w:lang w:val="en-US"/>
        </w:rPr>
        <w:t>, although this can be shorter for workers exposed to high quantities of RCS. Some workers may not show any symptoms, even at the point of initial diagnosis</w:t>
      </w:r>
      <w:r w:rsidR="00CA27A6" w:rsidRPr="009D0A4A">
        <w:rPr>
          <w:lang w:val="en-US"/>
        </w:rPr>
        <w:t xml:space="preserve"> </w:t>
      </w:r>
      <w:r w:rsidR="00CA27A6" w:rsidRPr="009D0A4A">
        <w:rPr>
          <w:lang w:val="en-US"/>
        </w:rPr>
        <w:fldChar w:fldCharType="begin"/>
      </w:r>
      <w:r w:rsidR="004067E3">
        <w:rPr>
          <w:lang w:val="en-US"/>
        </w:rPr>
        <w:instrText xml:space="preserve"> ADDIN ZOTERO_ITEM CSL_CITATION {"citationID":"8EOV6NKy","properties":{"formattedCitation":"(Nicol et al. 2015)","plainCitation":"(Nicol et al. 2015)","noteIndex":0},"citationItems":[{"id":802,"uris":["http://zotero.org/users/6230888/items/8WAH7JTF"],"itemData":{"id":802,"type":"article-journal","abstract":"Silicosis is one of the oldest occupational lung diseases, but it continues to cause significant morbidity and mortality worldwide.To report cases of silicosis presenting to two specialist respiratory clinics.A retrospective analysis of prospectively collected data of cases of silicosis in workers referred to specialist respiratory clinics.Over the course of 6 years, six cases were identified. The patients were all male with an age range between 24 and 39 years. The duration of silica exposure ranged between 7 and 20 years (mean 13 years). Four cases were entirely asymptomatic at presentation, and two cases described minimal shortness of breath on exertion. Pulmonary function tests were normal in three cases, and a mild restrictive ventilatory defect was documented in the other cases. All had a low apparent predicted probability of pneumoconiosis based on health questionnaires, spirometry and duration of silica exposure. The initial chest X-ray was abnormal in all six cases with radiological evidence of silicosis (International Labour Office profusion category ≥1/1) on imaging, and all had evidence of silicosis on high-resolution computed tomography (HRCT). Three patients had already progressed to progressive massive fibrosis on HRCT scanning at the time of referral to specialist respiratory services.The appearances of these six cases of silicosis in young, asymptomatic construction workers emphasizes the importance of enforcing effective exposure control and comprehensive surveillance programmes. Our observations highlight the importance of having a low threshold for early radiological screening to promote early and effective detection of this disease.","container-title":"Occupational Medicine","DOI":"10.1093/occmed/kqu209","ISSN":"0962-7480","issue":"3","journalAbbreviation":"Occupational Medicine","page":"220-225","source":"Silverchair","title":"Six cases of silicosis: implications for health surveillance of stonemasons","title-short":"Six cases of silicosis","volume":"65","author":[{"family":"Nicol","given":"L. M."},{"family":"McFarlane","given":"P. A."},{"family":"Hirani","given":"N."},{"family":"Reid","given":"P. T."}],"issued":{"date-parts":[["2015"]]}}}],"schema":"https://github.com/citation-style-language/schema/raw/master/csl-citation.json"} </w:instrText>
      </w:r>
      <w:r w:rsidR="00CA27A6" w:rsidRPr="009D0A4A">
        <w:rPr>
          <w:lang w:val="en-US"/>
        </w:rPr>
        <w:fldChar w:fldCharType="separate"/>
      </w:r>
      <w:r w:rsidR="006B4A7D" w:rsidRPr="009D0A4A">
        <w:rPr>
          <w:rFonts w:ascii="Calibri" w:hAnsi="Calibri" w:cs="Calibri"/>
        </w:rPr>
        <w:t>(Nicol et al. 2015)</w:t>
      </w:r>
      <w:r w:rsidR="00CA27A6" w:rsidRPr="009D0A4A">
        <w:rPr>
          <w:lang w:val="en-US"/>
        </w:rPr>
        <w:fldChar w:fldCharType="end"/>
      </w:r>
      <w:r w:rsidR="00E70996" w:rsidRPr="009D0A4A">
        <w:rPr>
          <w:lang w:val="en-US"/>
        </w:rPr>
        <w:t xml:space="preserve">. </w:t>
      </w:r>
    </w:p>
    <w:p w14:paraId="04F4C263" w14:textId="7F1DC4DB" w:rsidR="00DE7C24" w:rsidRPr="009D0A4A" w:rsidRDefault="00E70996" w:rsidP="00DE7C24">
      <w:pPr>
        <w:jc w:val="both"/>
      </w:pPr>
      <w:r w:rsidRPr="009D0A4A">
        <w:t xml:space="preserve">A silicosis diagnosis can have serious impacts on all aspects of </w:t>
      </w:r>
      <w:r w:rsidR="00E70410" w:rsidRPr="009D0A4A">
        <w:t>as</w:t>
      </w:r>
      <w:r w:rsidRPr="009D0A4A">
        <w:t xml:space="preserve"> person’s life and that of their families</w:t>
      </w:r>
      <w:r w:rsidR="00E70410" w:rsidRPr="009D0A4A">
        <w:t xml:space="preserve">, and </w:t>
      </w:r>
      <w:r w:rsidR="00D34C00" w:rsidRPr="009D0A4A">
        <w:t>generally will require</w:t>
      </w:r>
      <w:r w:rsidR="004E5915" w:rsidRPr="009D0A4A">
        <w:t xml:space="preserve"> </w:t>
      </w:r>
      <w:r w:rsidR="00D34C00" w:rsidRPr="009D0A4A">
        <w:t>preventing people with silicosis</w:t>
      </w:r>
      <w:r w:rsidR="004E5915" w:rsidRPr="009D0A4A">
        <w:t xml:space="preserve"> from further exposure</w:t>
      </w:r>
      <w:r w:rsidR="00D34C00" w:rsidRPr="009D0A4A">
        <w:t xml:space="preserve"> to RCS</w:t>
      </w:r>
      <w:r w:rsidR="00CA27A6" w:rsidRPr="009D0A4A">
        <w:t xml:space="preserve"> </w:t>
      </w:r>
      <w:r w:rsidR="00CA27A6" w:rsidRPr="009D0A4A">
        <w:fldChar w:fldCharType="begin"/>
      </w:r>
      <w:r w:rsidR="004067E3">
        <w:instrText xml:space="preserve"> ADDIN ZOTERO_ITEM CSL_CITATION {"citationID":"a4fJtqwc","properties":{"formattedCitation":"(Hoy &amp; Chambers 2020)","plainCitation":"(Hoy &amp; Chambers 2020)","noteIndex":0},"citationItems":[{"id":799,"uris":["http://zotero.org/users/6230888/items/AAX28WZL"],"itemData":{"id":799,"type":"article-journal","abstract":"Silicosis is an ancient and potentially fatal pneumoconiosis caused by exposure to respirable crystalline silica. Silicosis is historically a disease of miners; however, failure to recognize and control the risk associated with silica exposure in contemporary work practices such as sandblasting denim jeans and manufacturing of artificial stone benchtops has led to re-emergence of silicosis around the world. This review outlines the mineralogy, epidemiology, clinical and radiological features of the various forms of silicosis and other silica-associated diseases. Perspective is provided on the most recent studies shedding light on pathogenesis, including the central role of innate immune effector cells and subsequent inflammatory cascades in propagating pulmonary fibrosis and the extrapulmonary manifestations, which uniquely characterize this pneumoconiosis. Clinical conundrums in differential diagnosis, particularly between silicosis and sarcoidosis, are highlighted, as is the importance of obtaining a careful occupational history in the patient presenting with pulmonary infiltrates and/or fibrosis. While silicosis is a completely preventable disease, unfortunately workers around the world continue to be affected and experience progressive or even fatal disease. Although no treatments have been proven, opportunities to intervene to prevent progressive disease, founded in a thorough cellular and molecular understanding of the immunopathology of silicosis, are highlighted.","container-title":"Allergy","DOI":"10.1111/all.14202","ISSN":"1398-9995","issue":"11","language":"en","note":"_eprint: https://onlinelibrary.wiley.com/doi/pdf/10.1111/all.14202","page":"2805-2817","source":"Wiley Online Library","title":"Silica-related diseases in the modern world","volume":"75","author":[{"family":"Hoy","given":"Ryan F."},{"family":"Chambers","given":"Daniel C."}],"issued":{"date-parts":[["2020"]]}}}],"schema":"https://github.com/citation-style-language/schema/raw/master/csl-citation.json"} </w:instrText>
      </w:r>
      <w:r w:rsidR="00CA27A6" w:rsidRPr="009D0A4A">
        <w:fldChar w:fldCharType="separate"/>
      </w:r>
      <w:r w:rsidR="006B4A7D" w:rsidRPr="009D0A4A">
        <w:rPr>
          <w:rFonts w:ascii="Calibri" w:hAnsi="Calibri" w:cs="Calibri"/>
        </w:rPr>
        <w:t>(Hoy &amp; Chambers 2020)</w:t>
      </w:r>
      <w:r w:rsidR="00CA27A6" w:rsidRPr="009D0A4A">
        <w:fldChar w:fldCharType="end"/>
      </w:r>
      <w:r w:rsidR="004E5915" w:rsidRPr="009D0A4A">
        <w:t>. This often</w:t>
      </w:r>
      <w:r w:rsidRPr="009D0A4A">
        <w:t xml:space="preserve"> renders workers unable to work in their industry of choice and may force the person to retrain, work in a suboptimal job or even exit the workforce altogether. Depending on the severity of their disease, this may </w:t>
      </w:r>
      <w:r w:rsidR="00D34C00" w:rsidRPr="009D0A4A">
        <w:t xml:space="preserve">also </w:t>
      </w:r>
      <w:r w:rsidRPr="009D0A4A">
        <w:t>mean a shortened life or living with severe disability.</w:t>
      </w:r>
      <w:r w:rsidR="00DE7C24" w:rsidRPr="009D0A4A">
        <w:t xml:space="preserve"> </w:t>
      </w:r>
    </w:p>
    <w:p w14:paraId="6A01F18D" w14:textId="4C6B91AD" w:rsidR="00E70996" w:rsidRPr="009D0A4A" w:rsidRDefault="00E70996" w:rsidP="00E70996">
      <w:pPr>
        <w:pStyle w:val="BodyText"/>
        <w:jc w:val="both"/>
        <w:rPr>
          <w:lang w:val="en-US"/>
        </w:rPr>
      </w:pPr>
      <w:r w:rsidRPr="009D0A4A">
        <w:rPr>
          <w:lang w:val="en-US"/>
        </w:rPr>
        <w:t xml:space="preserve">There is no proven treatment for silicosis other than a lung transplant. However, all </w:t>
      </w:r>
      <w:r w:rsidR="00390C70" w:rsidRPr="009D0A4A">
        <w:rPr>
          <w:lang w:val="en-US"/>
        </w:rPr>
        <w:t xml:space="preserve">silicosis and </w:t>
      </w:r>
      <w:r w:rsidRPr="009D0A4A">
        <w:rPr>
          <w:lang w:val="en-US"/>
        </w:rPr>
        <w:t>silica</w:t>
      </w:r>
      <w:r w:rsidR="00880680" w:rsidRPr="009D0A4A">
        <w:rPr>
          <w:lang w:val="en-US"/>
        </w:rPr>
        <w:t xml:space="preserve"> </w:t>
      </w:r>
      <w:r w:rsidRPr="009D0A4A">
        <w:rPr>
          <w:lang w:val="en-US"/>
        </w:rPr>
        <w:t>related diseases are preventable by eliminating or minimising exposure to RCS at the workplace.</w:t>
      </w:r>
    </w:p>
    <w:p w14:paraId="3381AF05" w14:textId="1D4C398E" w:rsidR="00183C12" w:rsidRPr="009D0A4A" w:rsidRDefault="00183C12" w:rsidP="00183C12">
      <w:pPr>
        <w:jc w:val="both"/>
      </w:pPr>
      <w:r w:rsidRPr="009D0A4A">
        <w:t xml:space="preserve">In 2019, the Commonwealth established the National Dust Disease Taskforce to develop a national approach for the prevention, early identification, control and management of occupational dust diseases in Australia. The </w:t>
      </w:r>
      <w:r w:rsidR="00FC4908" w:rsidRPr="009D0A4A">
        <w:t xml:space="preserve">National Dust Disease Taskforce </w:t>
      </w:r>
      <w:r w:rsidRPr="009D0A4A">
        <w:t xml:space="preserve">presented its Final Report to the Australian Minister for Health and Aged Care in June 2021, which </w:t>
      </w:r>
      <w:r w:rsidR="008739C4" w:rsidRPr="009D0A4A">
        <w:t xml:space="preserve">recommended that “… a regulatory impact analysis be undertaken to identify and decide implementation of measures that provide the highest protection to workers from the risks associated with </w:t>
      </w:r>
      <w:r w:rsidR="00880680" w:rsidRPr="009D0A4A">
        <w:t>[</w:t>
      </w:r>
      <w:r w:rsidR="008739C4" w:rsidRPr="009D0A4A">
        <w:t>RCS</w:t>
      </w:r>
      <w:r w:rsidR="00880680" w:rsidRPr="009D0A4A">
        <w:t>]</w:t>
      </w:r>
      <w:r w:rsidR="008739C4" w:rsidRPr="009D0A4A">
        <w:t xml:space="preserve"> generating activities in the engineered stone industry”</w:t>
      </w:r>
      <w:r w:rsidR="004352FD" w:rsidRPr="009D0A4A">
        <w:t xml:space="preserve"> </w:t>
      </w:r>
      <w:r w:rsidR="004352FD" w:rsidRPr="009D0A4A">
        <w:fldChar w:fldCharType="begin"/>
      </w:r>
      <w:r w:rsidR="004067E3">
        <w:instrText xml:space="preserve"> ADDIN ZOTERO_ITEM CSL_CITATION {"citationID":"GMe7AjbG","properties":{"formattedCitation":"(Department of Health 2021)","plainCitation":"(Department of Health 2021)","noteIndex":0},"citationItems":[{"id":806,"uris":["http://zotero.org/users/6230888/items/NWNXT6NL"],"itemData":{"id":806,"type":"article-journal","language":"en","page":"80","source":"Zotero","title":"National Dust Disease Taskforce Final Report to Minister for Health and Aged Care","author":[{"literal":"Department of Health"}],"issued":{"date-parts":[["2021"]]}}}],"schema":"https://github.com/citation-style-language/schema/raw/master/csl-citation.json"} </w:instrText>
      </w:r>
      <w:r w:rsidR="004352FD" w:rsidRPr="009D0A4A">
        <w:fldChar w:fldCharType="separate"/>
      </w:r>
      <w:r w:rsidR="006B4A7D" w:rsidRPr="009D0A4A">
        <w:rPr>
          <w:rFonts w:ascii="Calibri" w:hAnsi="Calibri" w:cs="Calibri"/>
        </w:rPr>
        <w:t>(Department of Health 2021)</w:t>
      </w:r>
      <w:r w:rsidR="004352FD" w:rsidRPr="009D0A4A">
        <w:fldChar w:fldCharType="end"/>
      </w:r>
      <w:r w:rsidR="008739C4" w:rsidRPr="009D0A4A">
        <w:t xml:space="preserve">. WHS Ministers </w:t>
      </w:r>
      <w:r w:rsidR="00390C70" w:rsidRPr="009D0A4A">
        <w:t xml:space="preserve">supported the Taskforce’s recommendations and </w:t>
      </w:r>
      <w:r w:rsidRPr="009D0A4A">
        <w:t xml:space="preserve">referred </w:t>
      </w:r>
      <w:r w:rsidR="008739C4" w:rsidRPr="009D0A4A">
        <w:t xml:space="preserve">the Final Report </w:t>
      </w:r>
      <w:r w:rsidRPr="009D0A4A">
        <w:t xml:space="preserve">to Safe Work Australia for consideration in this </w:t>
      </w:r>
      <w:r w:rsidR="00880680" w:rsidRPr="009D0A4A">
        <w:t>Regulation Impact Statement (RIS)</w:t>
      </w:r>
      <w:r w:rsidRPr="009D0A4A">
        <w:t xml:space="preserve">. </w:t>
      </w:r>
    </w:p>
    <w:p w14:paraId="5CC5F728" w14:textId="48393CD0" w:rsidR="008739C4" w:rsidRPr="009D0A4A" w:rsidRDefault="00DF7D98" w:rsidP="008739C4">
      <w:pPr>
        <w:pStyle w:val="BodyText"/>
        <w:jc w:val="both"/>
      </w:pPr>
      <w:r w:rsidRPr="009D0A4A">
        <w:t>P</w:t>
      </w:r>
      <w:r w:rsidR="00E437BD" w:rsidRPr="009D0A4A">
        <w:t xml:space="preserve">rior to the release of the National Dust Disease Taskforce Final Report, </w:t>
      </w:r>
      <w:r w:rsidR="008739C4" w:rsidRPr="009D0A4A">
        <w:t>Safe Work Australia Members agreed to commence regulatory impact analysis on regulatory and non-regulatory options to minimise the risks of RCS in Australian workplaces.</w:t>
      </w:r>
    </w:p>
    <w:p w14:paraId="2784F48A" w14:textId="1256173B" w:rsidR="00C43F09" w:rsidRPr="009D0A4A" w:rsidRDefault="00C43F09" w:rsidP="003801F8">
      <w:pPr>
        <w:pStyle w:val="Heading2"/>
      </w:pPr>
      <w:bookmarkStart w:id="17" w:name="_Toc107395300"/>
      <w:r w:rsidRPr="009D0A4A">
        <w:lastRenderedPageBreak/>
        <w:t>Legislative and regulatory framework for crystalline silica under the model WHS laws</w:t>
      </w:r>
      <w:bookmarkEnd w:id="17"/>
    </w:p>
    <w:p w14:paraId="48D7D420" w14:textId="77777777" w:rsidR="00F46E4C" w:rsidRPr="009D0A4A" w:rsidRDefault="00F46E4C" w:rsidP="00F46E4C">
      <w:pPr>
        <w:pStyle w:val="BodyText"/>
        <w:jc w:val="both"/>
      </w:pPr>
      <w:r w:rsidRPr="009D0A4A">
        <w:t xml:space="preserve">In 2011, Safe Work Australia developed the model WHS laws to be implemented across Australia. To become legally binding the Commonwealth, states and territories must separately implement them as their own laws. </w:t>
      </w:r>
    </w:p>
    <w:p w14:paraId="1AF1A5F2" w14:textId="77777777" w:rsidR="00F46E4C" w:rsidRPr="009D0A4A" w:rsidRDefault="00F46E4C" w:rsidP="00F46E4C">
      <w:pPr>
        <w:pStyle w:val="BodyText"/>
        <w:jc w:val="both"/>
      </w:pPr>
      <w:r w:rsidRPr="009D0A4A">
        <w:t xml:space="preserve">The model WHS laws include: </w:t>
      </w:r>
    </w:p>
    <w:p w14:paraId="4377F1FB" w14:textId="77777777" w:rsidR="00F46E4C" w:rsidRPr="009D0A4A" w:rsidRDefault="00F46E4C"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the model WHS Act </w:t>
      </w:r>
    </w:p>
    <w:p w14:paraId="6B8B0572" w14:textId="77777777" w:rsidR="00F46E4C" w:rsidRPr="009D0A4A" w:rsidRDefault="00F46E4C"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the model WHS Regulations, and </w:t>
      </w:r>
    </w:p>
    <w:p w14:paraId="4F5CC965" w14:textId="77777777" w:rsidR="00F46E4C" w:rsidRPr="009D0A4A" w:rsidRDefault="00F46E4C"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model Codes of Practice. </w:t>
      </w:r>
    </w:p>
    <w:p w14:paraId="35A6FF95" w14:textId="3753D396" w:rsidR="00F46E4C" w:rsidRPr="009D0A4A" w:rsidRDefault="00F46E4C" w:rsidP="00F46E4C">
      <w:pPr>
        <w:pStyle w:val="BodyText"/>
        <w:jc w:val="both"/>
      </w:pPr>
      <w:r w:rsidRPr="009D0A4A">
        <w:t xml:space="preserve">The model WHS laws have been implemented in all jurisdictions except Victoria. </w:t>
      </w:r>
      <w:r w:rsidR="0097054F" w:rsidRPr="009D0A4A">
        <w:t>Commonwealth and state and territory WHS regulators oversee and enforce the laws in their jurisdictions.</w:t>
      </w:r>
    </w:p>
    <w:p w14:paraId="2285E4D0" w14:textId="09583FCE" w:rsidR="00940F2A" w:rsidRPr="009D0A4A" w:rsidRDefault="004A44A5" w:rsidP="00940F2A">
      <w:pPr>
        <w:contextualSpacing/>
        <w:jc w:val="both"/>
      </w:pPr>
      <w:r w:rsidRPr="009D0A4A">
        <w:t xml:space="preserve">Appendix A provides an extensive summary of the </w:t>
      </w:r>
      <w:r w:rsidR="00940F2A" w:rsidRPr="009D0A4A">
        <w:t xml:space="preserve">duties and responsibilities regarding exposure to RCS at the workplace are described in the </w:t>
      </w:r>
      <w:r w:rsidR="00940F2A" w:rsidRPr="009D0A4A">
        <w:rPr>
          <w:iCs/>
        </w:rPr>
        <w:t xml:space="preserve">model </w:t>
      </w:r>
      <w:r w:rsidR="0097054F" w:rsidRPr="009D0A4A">
        <w:rPr>
          <w:iCs/>
        </w:rPr>
        <w:t>WHS</w:t>
      </w:r>
      <w:r w:rsidR="00940F2A" w:rsidRPr="009D0A4A">
        <w:rPr>
          <w:iCs/>
        </w:rPr>
        <w:t xml:space="preserve"> Act</w:t>
      </w:r>
      <w:r w:rsidR="00940F2A" w:rsidRPr="009D0A4A">
        <w:t xml:space="preserve">, model </w:t>
      </w:r>
      <w:r w:rsidR="0097054F" w:rsidRPr="009D0A4A">
        <w:t>WHS</w:t>
      </w:r>
      <w:r w:rsidR="00940F2A" w:rsidRPr="009D0A4A">
        <w:t xml:space="preserve"> Regulations, and the following model Codes of Practice:</w:t>
      </w:r>
    </w:p>
    <w:p w14:paraId="6EA57BBF" w14:textId="29D49CF5" w:rsidR="00940F2A" w:rsidRPr="009D0A4A" w:rsidRDefault="00940F2A"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Construction work</w:t>
      </w:r>
      <w:r w:rsidR="004352FD" w:rsidRPr="009D0A4A">
        <w:rPr>
          <w:rFonts w:asciiTheme="minorHAnsi" w:hAnsiTheme="minorHAnsi" w:cstheme="minorHAnsi"/>
          <w:sz w:val="20"/>
          <w:szCs w:val="20"/>
        </w:rPr>
        <w:t xml:space="preserve"> </w:t>
      </w:r>
      <w:r w:rsidR="004352FD" w:rsidRPr="009D0A4A">
        <w:rPr>
          <w:rFonts w:asciiTheme="minorHAnsi" w:hAnsiTheme="minorHAnsi" w:cstheme="minorHAnsi"/>
          <w:sz w:val="20"/>
          <w:szCs w:val="20"/>
        </w:rPr>
        <w:fldChar w:fldCharType="begin"/>
      </w:r>
      <w:r w:rsidR="004067E3">
        <w:rPr>
          <w:rFonts w:asciiTheme="minorHAnsi" w:hAnsiTheme="minorHAnsi" w:cstheme="minorHAnsi"/>
          <w:sz w:val="20"/>
          <w:szCs w:val="20"/>
        </w:rPr>
        <w:instrText xml:space="preserve"> ADDIN ZOTERO_ITEM CSL_CITATION {"citationID":"g5rNhf13","properties":{"formattedCitation":"(Safe Work Australia 2018a)","plainCitation":"(Safe Work Australia 2018a)","noteIndex":0},"citationItems":[{"id":807,"uris":["http://zotero.org/users/6230888/items/39ZBKPDY"],"itemData":{"id":807,"type":"report","page":"59","title":"Model Code of Practice: Construction work","URL":"https://www.safeworkaustralia.gov.au/doc/model-codes-practice/model-code-practice-construction-work","author":[{"literal":"Safe Work Australia"}],"accessed":{"date-parts":[["2022",6,30]]},"issued":{"date-parts":[["2018"]]}}}],"schema":"https://github.com/citation-style-language/schema/raw/master/csl-citation.json"} </w:instrText>
      </w:r>
      <w:r w:rsidR="004352FD" w:rsidRPr="009D0A4A">
        <w:rPr>
          <w:rFonts w:asciiTheme="minorHAnsi" w:hAnsiTheme="minorHAnsi" w:cstheme="minorHAnsi"/>
          <w:sz w:val="20"/>
          <w:szCs w:val="20"/>
        </w:rPr>
        <w:fldChar w:fldCharType="separate"/>
      </w:r>
      <w:r w:rsidR="006B4A7D" w:rsidRPr="009D0A4A">
        <w:rPr>
          <w:rFonts w:asciiTheme="minorHAnsi" w:hAnsiTheme="minorHAnsi" w:cstheme="minorHAnsi"/>
          <w:sz w:val="20"/>
          <w:szCs w:val="20"/>
        </w:rPr>
        <w:t>(Safe Work Australia 2018a)</w:t>
      </w:r>
      <w:r w:rsidR="004352FD" w:rsidRPr="009D0A4A">
        <w:rPr>
          <w:rFonts w:asciiTheme="minorHAnsi" w:hAnsiTheme="minorHAnsi" w:cstheme="minorHAnsi"/>
          <w:sz w:val="20"/>
          <w:szCs w:val="20"/>
        </w:rPr>
        <w:fldChar w:fldCharType="end"/>
      </w:r>
    </w:p>
    <w:p w14:paraId="5D8942AD" w14:textId="5F1FF72B" w:rsidR="00940F2A" w:rsidRPr="009D0A4A" w:rsidRDefault="00940F2A"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Demolition work</w:t>
      </w:r>
      <w:r w:rsidR="00D66BD4" w:rsidRPr="009D0A4A">
        <w:rPr>
          <w:rFonts w:asciiTheme="minorHAnsi" w:hAnsiTheme="minorHAnsi" w:cstheme="minorHAnsi"/>
          <w:sz w:val="20"/>
          <w:szCs w:val="20"/>
        </w:rPr>
        <w:t xml:space="preserve"> </w:t>
      </w:r>
      <w:r w:rsidR="00D66BD4" w:rsidRPr="009D0A4A">
        <w:rPr>
          <w:rFonts w:asciiTheme="minorHAnsi" w:hAnsiTheme="minorHAnsi" w:cstheme="minorHAnsi"/>
          <w:sz w:val="20"/>
          <w:szCs w:val="20"/>
        </w:rPr>
        <w:fldChar w:fldCharType="begin"/>
      </w:r>
      <w:r w:rsidR="004067E3">
        <w:rPr>
          <w:rFonts w:asciiTheme="minorHAnsi" w:hAnsiTheme="minorHAnsi" w:cstheme="minorHAnsi"/>
          <w:sz w:val="20"/>
          <w:szCs w:val="20"/>
        </w:rPr>
        <w:instrText xml:space="preserve"> ADDIN ZOTERO_ITEM CSL_CITATION {"citationID":"oIZj6zNJ","properties":{"formattedCitation":"(Safe Work Australia 2018b)","plainCitation":"(Safe Work Australia 2018b)","noteIndex":0},"citationItems":[{"id":809,"uris":["http://zotero.org/users/6230888/items/ELFMYQ42"],"itemData":{"id":809,"type":"report","page":"59","title":"Model Code of Practice: Demolition work","URL":"https://www.safeworkaustralia.gov.au/doc/model-codes-practice/model-code-practice-demolition-work","author":[{"literal":"Safe Work Australia"}],"accessed":{"date-parts":[["2022",6,30]]},"issued":{"date-parts":[["2018"]]}}}],"schema":"https://github.com/citation-style-language/schema/raw/master/csl-citation.json"} </w:instrText>
      </w:r>
      <w:r w:rsidR="00D66BD4" w:rsidRPr="009D0A4A">
        <w:rPr>
          <w:rFonts w:asciiTheme="minorHAnsi" w:hAnsiTheme="minorHAnsi" w:cstheme="minorHAnsi"/>
          <w:sz w:val="20"/>
          <w:szCs w:val="20"/>
        </w:rPr>
        <w:fldChar w:fldCharType="separate"/>
      </w:r>
      <w:r w:rsidR="006B4A7D" w:rsidRPr="009D0A4A">
        <w:rPr>
          <w:rFonts w:asciiTheme="minorHAnsi" w:hAnsiTheme="minorHAnsi" w:cstheme="minorHAnsi"/>
          <w:sz w:val="20"/>
          <w:szCs w:val="20"/>
        </w:rPr>
        <w:t>(Safe Work Australia 2018b)</w:t>
      </w:r>
      <w:r w:rsidR="00D66BD4" w:rsidRPr="009D0A4A">
        <w:rPr>
          <w:rFonts w:asciiTheme="minorHAnsi" w:hAnsiTheme="minorHAnsi" w:cstheme="minorHAnsi"/>
          <w:sz w:val="20"/>
          <w:szCs w:val="20"/>
        </w:rPr>
        <w:fldChar w:fldCharType="end"/>
      </w:r>
    </w:p>
    <w:p w14:paraId="75CFBD16" w14:textId="65617827" w:rsidR="00940F2A" w:rsidRPr="009D0A4A" w:rsidRDefault="00940F2A"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How to manage work health and safety risks</w:t>
      </w:r>
      <w:r w:rsidR="00B71044" w:rsidRPr="009D0A4A">
        <w:rPr>
          <w:rFonts w:cstheme="minorHAnsi"/>
        </w:rPr>
        <w:t xml:space="preserve"> </w:t>
      </w:r>
      <w:r w:rsidR="00D66BD4" w:rsidRPr="009D0A4A">
        <w:rPr>
          <w:rFonts w:cstheme="minorHAnsi"/>
        </w:rPr>
        <w:fldChar w:fldCharType="begin"/>
      </w:r>
      <w:r w:rsidR="004067E3">
        <w:rPr>
          <w:rFonts w:cstheme="minorHAnsi"/>
        </w:rPr>
        <w:instrText xml:space="preserve"> ADDIN ZOTERO_ITEM CSL_CITATION {"citationID":"qTEntk0p","properties":{"formattedCitation":"(Safe Work Australia 2018c)","plainCitation":"(Safe Work Australia 2018c)","noteIndex":0},"citationItems":[{"id":811,"uris":["http://zotero.org/users/6230888/items/7APZRZL4"],"itemData":{"id":811,"type":"report","page":"39","title":"Model Code of Practice: How to manage work health and safety risks","URL":"https://www.safeworkaustralia.gov.au/doc/model-codes-practice/model-code-practice-how-manage-work-health-and-safety-risks","author":[{"literal":"Safe Work Australia"}],"accessed":{"date-parts":[["2022",6,30]]},"issued":{"date-parts":[["2018"]]}}}],"schema":"https://github.com/citation-style-language/schema/raw/master/csl-citation.json"} </w:instrText>
      </w:r>
      <w:r w:rsidR="00D66BD4" w:rsidRPr="009D0A4A">
        <w:rPr>
          <w:rFonts w:cstheme="minorHAnsi"/>
        </w:rPr>
        <w:fldChar w:fldCharType="separate"/>
      </w:r>
      <w:r w:rsidR="006B4A7D" w:rsidRPr="009D0A4A">
        <w:rPr>
          <w:rFonts w:asciiTheme="minorHAnsi" w:hAnsiTheme="minorHAnsi" w:cstheme="minorHAnsi"/>
          <w:sz w:val="20"/>
          <w:szCs w:val="20"/>
        </w:rPr>
        <w:t>(Safe Work Australia 2018c)</w:t>
      </w:r>
      <w:r w:rsidR="00D66BD4" w:rsidRPr="009D0A4A">
        <w:rPr>
          <w:rFonts w:cstheme="minorHAnsi"/>
        </w:rPr>
        <w:fldChar w:fldCharType="end"/>
      </w:r>
    </w:p>
    <w:p w14:paraId="3D95F7D1" w14:textId="267423FE" w:rsidR="00940F2A" w:rsidRPr="009D0A4A" w:rsidRDefault="00940F2A"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Managing risks of hazardous chemicals in the workplace</w:t>
      </w:r>
      <w:r w:rsidR="00D66BD4" w:rsidRPr="009D0A4A">
        <w:rPr>
          <w:rFonts w:cstheme="minorHAnsi"/>
        </w:rPr>
        <w:t xml:space="preserve"> </w:t>
      </w:r>
      <w:r w:rsidR="00D66BD4" w:rsidRPr="009D0A4A">
        <w:rPr>
          <w:rFonts w:cstheme="minorHAnsi"/>
        </w:rPr>
        <w:fldChar w:fldCharType="begin"/>
      </w:r>
      <w:r w:rsidR="004067E3">
        <w:rPr>
          <w:rFonts w:cstheme="minorHAnsi"/>
        </w:rPr>
        <w:instrText xml:space="preserve"> ADDIN ZOTERO_ITEM CSL_CITATION {"citationID":"YkCb7RY9","properties":{"formattedCitation":"(Safe Work Australia 2020a)","plainCitation":"(Safe Work Australia 2020a)","noteIndex":0},"citationItems":[{"id":813,"uris":["http://zotero.org/users/6230888/items/223K2VXM"],"itemData":{"id":813,"type":"report","page":"114","title":"Model Code of Practice: Managing risks of hazardous chemicals in the workplace","URL":"https://www.safeworkaustralia.gov.au/doc/model-code-practice-managing-risks-hazardous-chemicals-workplace","author":[{"literal":"Safe Work Australia"}],"accessed":{"date-parts":[["2022",6,30]]},"issued":{"date-parts":[["2020"]]}}}],"schema":"https://github.com/citation-style-language/schema/raw/master/csl-citation.json"} </w:instrText>
      </w:r>
      <w:r w:rsidR="00D66BD4" w:rsidRPr="009D0A4A">
        <w:rPr>
          <w:rFonts w:cstheme="minorHAnsi"/>
        </w:rPr>
        <w:fldChar w:fldCharType="separate"/>
      </w:r>
      <w:r w:rsidR="006B4A7D" w:rsidRPr="009D0A4A">
        <w:rPr>
          <w:rFonts w:asciiTheme="minorHAnsi" w:hAnsiTheme="minorHAnsi" w:cstheme="minorHAnsi"/>
          <w:sz w:val="20"/>
          <w:szCs w:val="20"/>
        </w:rPr>
        <w:t>(Safe Work Australia 2020a)</w:t>
      </w:r>
      <w:r w:rsidR="00D66BD4" w:rsidRPr="009D0A4A">
        <w:rPr>
          <w:rFonts w:cstheme="minorHAnsi"/>
        </w:rPr>
        <w:fldChar w:fldCharType="end"/>
      </w:r>
    </w:p>
    <w:p w14:paraId="3D50EC76" w14:textId="53D0B8E6" w:rsidR="00940F2A" w:rsidRPr="009D0A4A" w:rsidRDefault="00940F2A"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Managing the risks of respirable crystalline silica from engineered stone in the workplace</w:t>
      </w:r>
      <w:r w:rsidR="007D7775" w:rsidRPr="009D0A4A">
        <w:rPr>
          <w:rFonts w:cstheme="minorHAnsi"/>
        </w:rPr>
        <w:t xml:space="preserve"> </w:t>
      </w:r>
      <w:r w:rsidR="007D7775" w:rsidRPr="009D0A4A">
        <w:rPr>
          <w:rFonts w:cstheme="minorHAnsi"/>
        </w:rPr>
        <w:fldChar w:fldCharType="begin"/>
      </w:r>
      <w:r w:rsidR="004067E3">
        <w:rPr>
          <w:rFonts w:cstheme="minorHAnsi"/>
        </w:rPr>
        <w:instrText xml:space="preserve"> ADDIN ZOTERO_ITEM CSL_CITATION {"citationID":"mqI6pUBX","properties":{"formattedCitation":"(Safe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007D7775" w:rsidRPr="009D0A4A">
        <w:rPr>
          <w:rFonts w:cstheme="minorHAnsi"/>
        </w:rPr>
        <w:fldChar w:fldCharType="separate"/>
      </w:r>
      <w:r w:rsidR="006B4A7D" w:rsidRPr="009D0A4A">
        <w:rPr>
          <w:rFonts w:asciiTheme="minorHAnsi" w:hAnsiTheme="minorHAnsi" w:cstheme="minorHAnsi"/>
          <w:sz w:val="20"/>
          <w:szCs w:val="20"/>
        </w:rPr>
        <w:t>(Safe Work Australia 2021a)</w:t>
      </w:r>
      <w:r w:rsidR="007D7775" w:rsidRPr="009D0A4A">
        <w:rPr>
          <w:rFonts w:cstheme="minorHAnsi"/>
        </w:rPr>
        <w:fldChar w:fldCharType="end"/>
      </w:r>
      <w:r w:rsidRPr="009D0A4A">
        <w:rPr>
          <w:rFonts w:asciiTheme="minorHAnsi" w:hAnsiTheme="minorHAnsi" w:cstheme="minorHAnsi"/>
          <w:sz w:val="20"/>
          <w:szCs w:val="20"/>
        </w:rPr>
        <w:t>, and</w:t>
      </w:r>
    </w:p>
    <w:p w14:paraId="648C350B" w14:textId="0E87CA33" w:rsidR="00940F2A" w:rsidRPr="009D0A4A" w:rsidRDefault="00940F2A"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Work health and safety consultation, cooperation and coordination</w:t>
      </w:r>
      <w:r w:rsidR="007D7775" w:rsidRPr="009D0A4A">
        <w:rPr>
          <w:rFonts w:cstheme="minorHAnsi"/>
        </w:rPr>
        <w:t xml:space="preserve"> </w:t>
      </w:r>
      <w:r w:rsidR="007D7775" w:rsidRPr="009D0A4A">
        <w:rPr>
          <w:rFonts w:cstheme="minorHAnsi"/>
        </w:rPr>
        <w:fldChar w:fldCharType="begin"/>
      </w:r>
      <w:r w:rsidR="004067E3">
        <w:rPr>
          <w:rFonts w:cstheme="minorHAnsi"/>
        </w:rPr>
        <w:instrText xml:space="preserve"> ADDIN ZOTERO_ITEM CSL_CITATION {"citationID":"mh3vge3C","properties":{"formattedCitation":"(Safe Work Australia 2022a)","plainCitation":"(Safe Work Australia 2022a)","noteIndex":0},"citationItems":[{"id":817,"uris":["http://zotero.org/users/6230888/items/6CYI2KT7"],"itemData":{"id":817,"type":"report","page":"45","title":"Model Code of Practice: Work health and safety consultation, cooperation and coordination","URL":"https://www.safeworkaustralia.gov.au/doc/model-code-practice-work-health-and-safety-consultation-cooperation-and-coordination","author":[{"literal":"Safe Work Australia"}],"accessed":{"date-parts":[["2022",6,30]]},"issued":{"date-parts":[["2022"]]}}}],"schema":"https://github.com/citation-style-language/schema/raw/master/csl-citation.json"} </w:instrText>
      </w:r>
      <w:r w:rsidR="007D7775" w:rsidRPr="009D0A4A">
        <w:rPr>
          <w:rFonts w:cstheme="minorHAnsi"/>
        </w:rPr>
        <w:fldChar w:fldCharType="separate"/>
      </w:r>
      <w:r w:rsidR="006B4A7D" w:rsidRPr="009D0A4A">
        <w:rPr>
          <w:rFonts w:asciiTheme="minorHAnsi" w:hAnsiTheme="minorHAnsi" w:cstheme="minorHAnsi"/>
          <w:sz w:val="20"/>
          <w:szCs w:val="20"/>
        </w:rPr>
        <w:t>(Safe Work Australia 2022a)</w:t>
      </w:r>
      <w:r w:rsidR="007D7775" w:rsidRPr="009D0A4A">
        <w:rPr>
          <w:rFonts w:cstheme="minorHAnsi"/>
        </w:rPr>
        <w:fldChar w:fldCharType="end"/>
      </w:r>
      <w:r w:rsidR="000C20A5" w:rsidRPr="009D0A4A">
        <w:rPr>
          <w:rFonts w:cstheme="minorHAnsi"/>
        </w:rPr>
        <w:t>.</w:t>
      </w:r>
    </w:p>
    <w:p w14:paraId="58293207" w14:textId="71DBE074" w:rsidR="00940F2A" w:rsidRPr="009D0A4A" w:rsidRDefault="00940F2A" w:rsidP="00940F2A">
      <w:pPr>
        <w:contextualSpacing/>
        <w:jc w:val="both"/>
      </w:pPr>
    </w:p>
    <w:p w14:paraId="381F3F3F" w14:textId="5897A2E5" w:rsidR="00940F2A" w:rsidRPr="009D0A4A" w:rsidRDefault="0097054F" w:rsidP="00940F2A">
      <w:pPr>
        <w:pStyle w:val="BodyText"/>
        <w:jc w:val="both"/>
      </w:pPr>
      <w:r w:rsidRPr="009D0A4A">
        <w:t>Appendix A</w:t>
      </w:r>
      <w:r w:rsidR="00E752D5" w:rsidRPr="009D0A4A">
        <w:t xml:space="preserve"> also</w:t>
      </w:r>
      <w:r w:rsidRPr="009D0A4A">
        <w:t xml:space="preserve"> </w:t>
      </w:r>
      <w:r w:rsidR="00940F2A" w:rsidRPr="009D0A4A">
        <w:t>summarises the duties of the following duty holders</w:t>
      </w:r>
      <w:r w:rsidR="00EC7485" w:rsidRPr="009D0A4A">
        <w:t xml:space="preserve"> related to</w:t>
      </w:r>
      <w:r w:rsidR="00940F2A" w:rsidRPr="009D0A4A">
        <w:t xml:space="preserve"> the risks of RCS at work: </w:t>
      </w:r>
    </w:p>
    <w:p w14:paraId="21CA27A9" w14:textId="77777777" w:rsidR="00940F2A" w:rsidRPr="009D0A4A" w:rsidRDefault="00940F2A"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persons conducting businesses or undertakings (PCBUs)</w:t>
      </w:r>
    </w:p>
    <w:p w14:paraId="636034B7" w14:textId="77777777" w:rsidR="00940F2A" w:rsidRPr="009D0A4A" w:rsidRDefault="00940F2A"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officers</w:t>
      </w:r>
    </w:p>
    <w:p w14:paraId="7CD344C4" w14:textId="77777777" w:rsidR="00940F2A" w:rsidRPr="009D0A4A" w:rsidRDefault="00940F2A"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designers, manufacturers, importers, suppliers, and those who commission plant or structures</w:t>
      </w:r>
    </w:p>
    <w:p w14:paraId="50020FCF" w14:textId="77777777" w:rsidR="00940F2A" w:rsidRPr="009D0A4A" w:rsidRDefault="00940F2A"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primary contractors</w:t>
      </w:r>
    </w:p>
    <w:p w14:paraId="7A2554BC" w14:textId="77777777" w:rsidR="00940F2A" w:rsidRPr="009D0A4A" w:rsidRDefault="00940F2A"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workers, and </w:t>
      </w:r>
    </w:p>
    <w:p w14:paraId="053096A7" w14:textId="77777777" w:rsidR="00940F2A" w:rsidRPr="009D0A4A" w:rsidRDefault="00940F2A"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other persons at the workplace.</w:t>
      </w:r>
    </w:p>
    <w:p w14:paraId="3875EE64" w14:textId="240FE7FE" w:rsidR="00EC7485" w:rsidRPr="009D0A4A" w:rsidRDefault="00EE55B3" w:rsidP="00F46E4C">
      <w:pPr>
        <w:pStyle w:val="BodyText"/>
        <w:jc w:val="both"/>
      </w:pPr>
      <w:r w:rsidRPr="009D0A4A">
        <w:t xml:space="preserve">This includes </w:t>
      </w:r>
      <w:r w:rsidR="00DF7D98" w:rsidRPr="009D0A4A">
        <w:t>duties around not exceeding the</w:t>
      </w:r>
      <w:r w:rsidR="0097054F" w:rsidRPr="009D0A4A">
        <w:t xml:space="preserve"> </w:t>
      </w:r>
      <w:r w:rsidR="00722B43" w:rsidRPr="009D0A4A">
        <w:t>workplace exposure standard (</w:t>
      </w:r>
      <w:r w:rsidR="00EC7485" w:rsidRPr="009D0A4A">
        <w:t>WES</w:t>
      </w:r>
      <w:r w:rsidR="00722B43" w:rsidRPr="009D0A4A">
        <w:t>)</w:t>
      </w:r>
      <w:r w:rsidR="00EC7485" w:rsidRPr="009D0A4A">
        <w:t xml:space="preserve"> for RCS, </w:t>
      </w:r>
      <w:r w:rsidR="00A858E5" w:rsidRPr="009D0A4A">
        <w:t xml:space="preserve">duties to undertake air and health monitoring, </w:t>
      </w:r>
      <w:r w:rsidR="0097054F" w:rsidRPr="009D0A4A">
        <w:t xml:space="preserve">and </w:t>
      </w:r>
      <w:r w:rsidR="00A858E5" w:rsidRPr="009D0A4A">
        <w:t xml:space="preserve">describes the </w:t>
      </w:r>
      <w:r w:rsidR="008D2F6F" w:rsidRPr="009D0A4A">
        <w:t xml:space="preserve">need to include </w:t>
      </w:r>
      <w:r w:rsidR="00C6232E" w:rsidRPr="009D0A4A">
        <w:t xml:space="preserve">RCS risk </w:t>
      </w:r>
      <w:r w:rsidR="008D2F6F" w:rsidRPr="009D0A4A">
        <w:t>controls in Safe Work Method Statements (</w:t>
      </w:r>
      <w:r w:rsidR="0097054F" w:rsidRPr="009D0A4A">
        <w:t>SWMS</w:t>
      </w:r>
      <w:r w:rsidR="00E752D5" w:rsidRPr="009D0A4A">
        <w:t>)</w:t>
      </w:r>
      <w:r w:rsidR="0097054F" w:rsidRPr="009D0A4A">
        <w:t xml:space="preserve"> </w:t>
      </w:r>
      <w:r w:rsidR="00E752D5" w:rsidRPr="009D0A4A">
        <w:t>(</w:t>
      </w:r>
      <w:r w:rsidR="008D2F6F" w:rsidRPr="009D0A4A">
        <w:t>where the work is high risk construction work)</w:t>
      </w:r>
      <w:r w:rsidR="007875DF" w:rsidRPr="009D0A4A">
        <w:t xml:space="preserve"> and consultation with workers and their representatives</w:t>
      </w:r>
      <w:r w:rsidR="008D2F6F" w:rsidRPr="009D0A4A">
        <w:t>.</w:t>
      </w:r>
    </w:p>
    <w:p w14:paraId="0E8E37A5" w14:textId="5F9553A9" w:rsidR="0097054F" w:rsidRPr="009D0A4A" w:rsidRDefault="0097054F" w:rsidP="003801F8">
      <w:pPr>
        <w:pStyle w:val="Heading2"/>
      </w:pPr>
      <w:bookmarkStart w:id="18" w:name="_Toc107395301"/>
      <w:r w:rsidRPr="009D0A4A">
        <w:lastRenderedPageBreak/>
        <w:t>National WHS policy initiatives</w:t>
      </w:r>
      <w:bookmarkEnd w:id="18"/>
    </w:p>
    <w:p w14:paraId="759868DF" w14:textId="4D7066CD" w:rsidR="004F3309" w:rsidRPr="009D0A4A" w:rsidRDefault="000F64C9" w:rsidP="004F3309">
      <w:pPr>
        <w:jc w:val="both"/>
      </w:pPr>
      <w:r w:rsidRPr="009D0A4A">
        <w:t>Following the emergence of new cases of silicosis</w:t>
      </w:r>
      <w:r w:rsidR="004F3309" w:rsidRPr="009D0A4A">
        <w:t xml:space="preserve">, there have been a range of </w:t>
      </w:r>
      <w:r w:rsidR="00435223" w:rsidRPr="009D0A4A">
        <w:t xml:space="preserve">additional </w:t>
      </w:r>
      <w:r w:rsidR="004F3309" w:rsidRPr="009D0A4A">
        <w:t xml:space="preserve">policy measures implemented by both Safe Work Australia and the states and territories to address the risks of exposure to RCS in the workplace. </w:t>
      </w:r>
    </w:p>
    <w:p w14:paraId="2910D69C" w14:textId="77777777" w:rsidR="004F3309" w:rsidRPr="009D0A4A" w:rsidRDefault="004F3309" w:rsidP="004F3309">
      <w:pPr>
        <w:pStyle w:val="Heading3"/>
      </w:pPr>
      <w:r w:rsidRPr="009D0A4A">
        <w:t>Review of the WES for RCS</w:t>
      </w:r>
    </w:p>
    <w:p w14:paraId="293EE343" w14:textId="440BEBAB" w:rsidR="004F3309" w:rsidRPr="009D0A4A" w:rsidRDefault="004F3309" w:rsidP="004F3309">
      <w:pPr>
        <w:jc w:val="both"/>
      </w:pPr>
      <w:r w:rsidRPr="009D0A4A">
        <w:t>In 2019, WHS ministers agreed to reduce</w:t>
      </w:r>
      <w:r w:rsidR="00F42B29" w:rsidRPr="009D0A4A">
        <w:t xml:space="preserve"> the WES</w:t>
      </w:r>
      <w:r w:rsidRPr="009D0A4A">
        <w:t xml:space="preserve"> for RCS </w:t>
      </w:r>
      <w:r w:rsidR="00207548" w:rsidRPr="009D0A4A">
        <w:t>from 0.1 mg/m</w:t>
      </w:r>
      <w:r w:rsidR="00207548" w:rsidRPr="009D0A4A">
        <w:rPr>
          <w:vertAlign w:val="superscript"/>
        </w:rPr>
        <w:t>3</w:t>
      </w:r>
      <w:r w:rsidR="00207548" w:rsidRPr="009D0A4A">
        <w:t xml:space="preserve"> </w:t>
      </w:r>
      <w:r w:rsidR="00F42B29" w:rsidRPr="009D0A4A">
        <w:t xml:space="preserve">8-hour time weighted average (TWA) </w:t>
      </w:r>
      <w:r w:rsidRPr="009D0A4A">
        <w:t>to 0.05</w:t>
      </w:r>
      <w:r w:rsidR="00207548" w:rsidRPr="009D0A4A">
        <w:t xml:space="preserve"> </w:t>
      </w:r>
      <w:r w:rsidRPr="009D0A4A">
        <w:t>mg/m</w:t>
      </w:r>
      <w:r w:rsidRPr="009D0A4A">
        <w:rPr>
          <w:vertAlign w:val="superscript"/>
        </w:rPr>
        <w:t>3</w:t>
      </w:r>
      <w:r w:rsidRPr="009D0A4A">
        <w:t xml:space="preserve">. </w:t>
      </w:r>
      <w:r w:rsidR="00B40804" w:rsidRPr="009D0A4A">
        <w:t>A f</w:t>
      </w:r>
      <w:r w:rsidR="00313680" w:rsidRPr="009D0A4A">
        <w:t xml:space="preserve">urther reduction of the WES </w:t>
      </w:r>
      <w:r w:rsidR="00B40804" w:rsidRPr="009D0A4A">
        <w:t>to 0.02 mg/m</w:t>
      </w:r>
      <w:r w:rsidR="00B40804" w:rsidRPr="009D0A4A">
        <w:rPr>
          <w:vertAlign w:val="superscript"/>
        </w:rPr>
        <w:t xml:space="preserve">3 </w:t>
      </w:r>
      <w:r w:rsidR="00B40804" w:rsidRPr="009D0A4A">
        <w:t xml:space="preserve">8-hour TWA </w:t>
      </w:r>
      <w:r w:rsidR="00313680" w:rsidRPr="009D0A4A">
        <w:t>has been considered by Safe Work Australia Members</w:t>
      </w:r>
      <w:r w:rsidR="004067E3">
        <w:t xml:space="preserve"> </w:t>
      </w:r>
      <w:r w:rsidR="004067E3">
        <w:fldChar w:fldCharType="begin"/>
      </w:r>
      <w:r w:rsidR="004067E3">
        <w:instrText xml:space="preserve"> ADDIN ZOTERO_ITEM CSL_CITATION {"citationID":"136qK7l1","properties":{"formattedCitation":"(Safe Work Australia 2020b)","plainCitation":"(Safe Work Australia 2020b)","noteIndex":0},"citationItems":[{"id":937,"uris":["http://zotero.org/users/6230888/items/8SQTPLH8"],"itemData":{"id":937,"type":"report","page":"44","title":"Measuring respirable crystalline silica","URL":"https://www.safeworkaustralia.gov.au/doc/report-measuring-respirable-crystalline-silica","author":[{"literal":"Safe Work Australia"}],"accessed":{"date-parts":[["2022",6,30]]},"issued":{"date-parts":[["2020"]]}}}],"schema":"https://github.com/citation-style-language/schema/raw/master/csl-citation.json"} </w:instrText>
      </w:r>
      <w:r w:rsidR="004067E3">
        <w:fldChar w:fldCharType="separate"/>
      </w:r>
      <w:r w:rsidR="004067E3" w:rsidRPr="004067E3">
        <w:rPr>
          <w:rFonts w:ascii="Calibri" w:hAnsi="Calibri" w:cs="Calibri"/>
        </w:rPr>
        <w:t>(Safe Work Australia 2020b)</w:t>
      </w:r>
      <w:r w:rsidR="004067E3">
        <w:fldChar w:fldCharType="end"/>
      </w:r>
      <w:r w:rsidR="004067E3">
        <w:t>. H</w:t>
      </w:r>
      <w:r w:rsidR="00663CE6" w:rsidRPr="009D0A4A">
        <w:t xml:space="preserve">owever, due to the uncertainty </w:t>
      </w:r>
      <w:r w:rsidR="00207548" w:rsidRPr="009D0A4A">
        <w:t>in</w:t>
      </w:r>
      <w:r w:rsidR="002904AE" w:rsidRPr="009D0A4A">
        <w:t xml:space="preserve"> </w:t>
      </w:r>
      <w:r w:rsidR="00773947" w:rsidRPr="009D0A4A">
        <w:t>measuring levels of RCS below 0.05mg/m</w:t>
      </w:r>
      <w:r w:rsidR="00773947" w:rsidRPr="009D0A4A">
        <w:rPr>
          <w:vertAlign w:val="superscript"/>
        </w:rPr>
        <w:t>3</w:t>
      </w:r>
      <w:r w:rsidR="00773947" w:rsidRPr="009D0A4A">
        <w:t xml:space="preserve"> 8-hour TWA, </w:t>
      </w:r>
      <w:r w:rsidR="00556691" w:rsidRPr="009D0A4A">
        <w:t xml:space="preserve">a further reduction </w:t>
      </w:r>
      <w:r w:rsidR="00F42B29" w:rsidRPr="009D0A4A">
        <w:t xml:space="preserve">of the WES </w:t>
      </w:r>
      <w:r w:rsidR="00556691" w:rsidRPr="009D0A4A">
        <w:t xml:space="preserve">was </w:t>
      </w:r>
      <w:r w:rsidR="00F42B29" w:rsidRPr="009D0A4A">
        <w:t xml:space="preserve">not </w:t>
      </w:r>
      <w:r w:rsidR="00556691" w:rsidRPr="009D0A4A">
        <w:t>considered feasible</w:t>
      </w:r>
      <w:r w:rsidR="00F42B29" w:rsidRPr="009D0A4A">
        <w:t xml:space="preserve"> at this time</w:t>
      </w:r>
      <w:r w:rsidR="00556691" w:rsidRPr="009D0A4A">
        <w:t>.</w:t>
      </w:r>
      <w:r w:rsidR="007D7775" w:rsidRPr="009D0A4A">
        <w:t xml:space="preserve"> </w:t>
      </w:r>
      <w:r w:rsidRPr="009D0A4A">
        <w:t xml:space="preserve">As part of its Occupational Lung </w:t>
      </w:r>
      <w:r w:rsidR="00FC4908" w:rsidRPr="009D0A4A">
        <w:t>D</w:t>
      </w:r>
      <w:r w:rsidRPr="009D0A4A">
        <w:t xml:space="preserve">iseases </w:t>
      </w:r>
      <w:r w:rsidR="00FC4908" w:rsidRPr="009D0A4A">
        <w:t>W</w:t>
      </w:r>
      <w:r w:rsidRPr="009D0A4A">
        <w:t>orkplan, Safe Work Australia will continue to monitor developments in the measurability of RCS to inform future reductions in the WES</w:t>
      </w:r>
      <w:r w:rsidR="007D7775" w:rsidRPr="009D0A4A">
        <w:t xml:space="preserve"> </w:t>
      </w:r>
      <w:r w:rsidR="007D7775" w:rsidRPr="009D0A4A">
        <w:fldChar w:fldCharType="begin"/>
      </w:r>
      <w:r w:rsidR="004067E3">
        <w:instrText xml:space="preserve"> ADDIN ZOTERO_ITEM CSL_CITATION {"citationID":"1QXMuRal","properties":{"formattedCitation":"(Safe Work Australia 2022b)","plainCitation":"(Safe Work Australia 2022b)","noteIndex":0},"citationItems":[{"id":819,"uris":["http://zotero.org/users/6230888/items/NZD525RC"],"itemData":{"id":819,"type":"webpage","title":"Safe Work Australia Occupational Lung Diseases work plan","URL":"https://www.safeworkaustralia.gov.au/doc/safe-work-australia-occupational-lung-diseases-work-plan","author":[{"literal":"Safe Work Australia"}],"accessed":{"date-parts":[["2022",6,30]]},"issued":{"date-parts":[["2022"]]}}}],"schema":"https://github.com/citation-style-language/schema/raw/master/csl-citation.json"} </w:instrText>
      </w:r>
      <w:r w:rsidR="007D7775" w:rsidRPr="009D0A4A">
        <w:fldChar w:fldCharType="separate"/>
      </w:r>
      <w:r w:rsidR="006B4A7D" w:rsidRPr="009D0A4A">
        <w:rPr>
          <w:rFonts w:ascii="Calibri" w:hAnsi="Calibri" w:cs="Calibri"/>
        </w:rPr>
        <w:t>(Safe Work Australia 2022b)</w:t>
      </w:r>
      <w:r w:rsidR="007D7775" w:rsidRPr="009D0A4A">
        <w:fldChar w:fldCharType="end"/>
      </w:r>
      <w:r w:rsidRPr="009D0A4A">
        <w:t>.</w:t>
      </w:r>
    </w:p>
    <w:p w14:paraId="46CC0DB6" w14:textId="0BBD9A51" w:rsidR="004F3309" w:rsidRPr="009D0A4A" w:rsidRDefault="004F3309" w:rsidP="004F3309">
      <w:pPr>
        <w:pStyle w:val="Heading3"/>
      </w:pPr>
      <w:r w:rsidRPr="009D0A4A">
        <w:t>Prohibition on uncontrolled processing of engineered stone</w:t>
      </w:r>
    </w:p>
    <w:p w14:paraId="13E400EB" w14:textId="77777777" w:rsidR="004F3309" w:rsidRPr="009D0A4A" w:rsidRDefault="004F3309" w:rsidP="004F3309">
      <w:pPr>
        <w:jc w:val="both"/>
      </w:pPr>
      <w:r w:rsidRPr="009D0A4A">
        <w:t>Safe Work Australia Members have also agreed to include a specific regulation in the model WHS Regulations to expressly prohibit the uncontrolled processing of engineered stone. This regulatory amendment is being drafted. It will cover the cutting, grinding, trimming, sanding, polishing, or drilling of engineered stone using power tools or another form of mechanical plant. If a PCBU is unable to eliminate, substitute or isolate the hazard, one or more of the following engineering controls are required: a water delivery system, on tool dust extraction, and/or local exhaust ventilation. In addition to engineering controls, the amendment regulation would require that each worker who may be exposed to RCS from the processes is provided with and wears respiratory protective equipment (RPE).</w:t>
      </w:r>
    </w:p>
    <w:p w14:paraId="6CA14812" w14:textId="77777777" w:rsidR="004F3309" w:rsidRPr="009D0A4A" w:rsidRDefault="004F3309" w:rsidP="009F6D84">
      <w:pPr>
        <w:pStyle w:val="Heading3"/>
      </w:pPr>
      <w:r w:rsidRPr="009D0A4A">
        <w:t>Incident notification provisions for long latency diseases under the model WHS laws</w:t>
      </w:r>
    </w:p>
    <w:p w14:paraId="0256C65D" w14:textId="2A5437EB" w:rsidR="004F3309" w:rsidRPr="009D0A4A" w:rsidRDefault="004F3309" w:rsidP="004F3309">
      <w:pPr>
        <w:jc w:val="both"/>
      </w:pPr>
      <w:r w:rsidRPr="009D0A4A">
        <w:t>Recommendation 20 of the Decision RIS for the 2018 Review of the model WHS laws recommended that Safe Work Australia “review incident notification provisions in the model WHS Act to ensure the provisions meet the intention outlined in the 2008 National Review; the provisions capture relevant incidents, injuries and illnesses that are emerging from new work practices, industries and work arrangements; and, WHS regulators have appropriate visibility of work-related psychological injuries and illnesses”</w:t>
      </w:r>
      <w:r w:rsidR="00C96D80" w:rsidRPr="009D0A4A">
        <w:t xml:space="preserve"> </w:t>
      </w:r>
      <w:r w:rsidR="00C96D80" w:rsidRPr="009D0A4A">
        <w:fldChar w:fldCharType="begin"/>
      </w:r>
      <w:r w:rsidR="004067E3">
        <w:instrText xml:space="preserve"> ADDIN ZOTERO_ITEM CSL_CITATION {"citationID":"EF63rqXk","properties":{"formattedCitation":"(Safe Work Australia 2021b)","plainCitation":"(Safe Work Australia 2021b)","noteIndex":0},"citationItems":[{"id":821,"uris":["http://zotero.org/users/6230888/items/MHTQD6LM"],"itemData":{"id":821,"type":"report","page":"146","title":"Decision Regulation Impact Statement: Review of the model Work Health and Safety laws","URL":"https://www.safeworkaustralia.gov.au/resources-and-publications/corporate-publications/decision-regulation-impact-statement-review-model-work-health-and-safety-laws","author":[{"literal":"Safe Work Australia"}],"accessed":{"date-parts":[["2022",6,30]]},"issued":{"date-parts":[["2021"]]}}}],"schema":"https://github.com/citation-style-language/schema/raw/master/csl-citation.json"} </w:instrText>
      </w:r>
      <w:r w:rsidR="00C96D80" w:rsidRPr="009D0A4A">
        <w:fldChar w:fldCharType="separate"/>
      </w:r>
      <w:r w:rsidR="006B4A7D" w:rsidRPr="009D0A4A">
        <w:rPr>
          <w:rFonts w:ascii="Calibri" w:hAnsi="Calibri" w:cs="Calibri"/>
        </w:rPr>
        <w:t>(Safe Work Australia 2021b)</w:t>
      </w:r>
      <w:r w:rsidR="00C96D80" w:rsidRPr="009D0A4A">
        <w:fldChar w:fldCharType="end"/>
      </w:r>
      <w:r w:rsidRPr="009D0A4A">
        <w:t xml:space="preserve">. Improving WHS regulator visibility of incidents related to long latency diseases, such as silicosis and </w:t>
      </w:r>
      <w:r w:rsidR="007A79B0" w:rsidRPr="009D0A4A">
        <w:t>silica related</w:t>
      </w:r>
      <w:r w:rsidRPr="009D0A4A">
        <w:t xml:space="preserve"> diseases, has been included as part of this review. Recognising that mandatory reporting of silicosis </w:t>
      </w:r>
      <w:r w:rsidR="00387C6F" w:rsidRPr="009D0A4A">
        <w:t xml:space="preserve">will be </w:t>
      </w:r>
      <w:r w:rsidRPr="009D0A4A">
        <w:t xml:space="preserve">a requirement of the National Occupational Lung Diseases Registry, this review is considering potential notification requirements for exposures to </w:t>
      </w:r>
      <w:r w:rsidR="00387C6F" w:rsidRPr="009D0A4A">
        <w:t xml:space="preserve">RCS and other </w:t>
      </w:r>
      <w:r w:rsidRPr="009D0A4A">
        <w:t>airborne contaminants.</w:t>
      </w:r>
      <w:r w:rsidR="00B57BA3" w:rsidRPr="009D0A4A">
        <w:t xml:space="preserve"> Subject to Safe Work Australia Members’ consideration of the incident notification review recommendations later this year, a separate preliminary assessment for a regulatory impact analysis will be submitted to the Office of Best Practice Regulation.</w:t>
      </w:r>
    </w:p>
    <w:p w14:paraId="57A02957" w14:textId="7A764078" w:rsidR="004F3309" w:rsidRPr="009D0A4A" w:rsidRDefault="003F5102" w:rsidP="004F3309">
      <w:pPr>
        <w:pStyle w:val="Heading3"/>
      </w:pPr>
      <w:r w:rsidRPr="009D0A4A">
        <w:t>Undertaking the</w:t>
      </w:r>
      <w:r w:rsidR="004F3309" w:rsidRPr="009D0A4A">
        <w:t xml:space="preserve"> Clean Air. Clear Lungs. </w:t>
      </w:r>
      <w:r w:rsidRPr="009D0A4A">
        <w:t>national awareness campaign</w:t>
      </w:r>
    </w:p>
    <w:p w14:paraId="2594404B" w14:textId="4F867829" w:rsidR="003F5102" w:rsidRPr="009D0A4A" w:rsidRDefault="0065485D" w:rsidP="000823EF">
      <w:pPr>
        <w:pStyle w:val="BodyText"/>
        <w:jc w:val="both"/>
      </w:pPr>
      <w:r w:rsidRPr="009D0A4A">
        <w:t>The Clean Air. Clear Lungs. national education and awareness campaign concluded in December 2021. The campaign aimed to raise awareness of occupational lung diseases and provide practical information to eliminate or manage the risk of workers developing a lung disease</w:t>
      </w:r>
      <w:r w:rsidR="00C96D80" w:rsidRPr="009D0A4A">
        <w:t xml:space="preserve"> </w:t>
      </w:r>
      <w:r w:rsidR="00C96D80" w:rsidRPr="009D0A4A">
        <w:fldChar w:fldCharType="begin"/>
      </w:r>
      <w:r w:rsidR="004067E3">
        <w:instrText xml:space="preserve"> ADDIN ZOTERO_ITEM CSL_CITATION {"citationID":"ixvUTNlt","properties":{"formattedCitation":"(Safe Work Australia 2021c)","plainCitation":"(Safe Work Australia 2021c)","noteIndex":0},"citationItems":[{"id":823,"uris":["http://zotero.org/users/6230888/items/ICFBT637"],"itemData":{"id":823,"type":"webpage","title":"Clean Air. Clear Lungs.","URL":"https://www.safeworkaustralia.gov.au/clearlungs","author":[{"literal":"Safe Work Australia"}],"accessed":{"date-parts":[["2022",6,30]]},"issued":{"date-parts":[["2021"]]}}}],"schema":"https://github.com/citation-style-language/schema/raw/master/csl-citation.json"} </w:instrText>
      </w:r>
      <w:r w:rsidR="00C96D80" w:rsidRPr="009D0A4A">
        <w:fldChar w:fldCharType="separate"/>
      </w:r>
      <w:r w:rsidR="006B4A7D" w:rsidRPr="009D0A4A">
        <w:rPr>
          <w:rFonts w:ascii="Calibri" w:hAnsi="Calibri" w:cs="Calibri"/>
        </w:rPr>
        <w:t>(Safe Work Australia 2021c)</w:t>
      </w:r>
      <w:r w:rsidR="00C96D80" w:rsidRPr="009D0A4A">
        <w:fldChar w:fldCharType="end"/>
      </w:r>
      <w:r w:rsidRPr="009D0A4A">
        <w:t>. The campaign was a key initiative of the occupational lung disease work plan agreed by Safe Work Australia Members in 2018 and targeted the construction, agriculture, manufacturing and engineered stone sectors. The campaign evaluation showed that the campaign was successful in increasing audience awareness of occupational lung diseases.</w:t>
      </w:r>
    </w:p>
    <w:p w14:paraId="02E6FE97" w14:textId="5D3A9CE3" w:rsidR="003F5102" w:rsidRPr="009D0A4A" w:rsidRDefault="003F5102" w:rsidP="003F5102">
      <w:pPr>
        <w:pStyle w:val="Heading3"/>
      </w:pPr>
      <w:r w:rsidRPr="009D0A4A">
        <w:t>Publication of revised national guidance on RCS</w:t>
      </w:r>
    </w:p>
    <w:p w14:paraId="042E2FCE" w14:textId="6FAAB068" w:rsidR="004F3309" w:rsidRPr="009D0A4A" w:rsidRDefault="003F5102" w:rsidP="000823EF">
      <w:pPr>
        <w:pStyle w:val="BodyText"/>
        <w:jc w:val="both"/>
      </w:pPr>
      <w:r w:rsidRPr="009D0A4A">
        <w:t xml:space="preserve">In 2022, Safe Work Australia published a revised version of </w:t>
      </w:r>
      <w:r w:rsidR="00FC4908" w:rsidRPr="009D0A4A">
        <w:t>the national guide:</w:t>
      </w:r>
      <w:r w:rsidR="004F3309" w:rsidRPr="009D0A4A">
        <w:t xml:space="preserve"> Working with silica and silica containing products</w:t>
      </w:r>
      <w:r w:rsidR="00C96D80" w:rsidRPr="009D0A4A">
        <w:t xml:space="preserve"> </w:t>
      </w:r>
      <w:r w:rsidR="00C96D80" w:rsidRPr="009D0A4A">
        <w:fldChar w:fldCharType="begin"/>
      </w:r>
      <w:r w:rsidR="004067E3">
        <w:instrText xml:space="preserve"> ADDIN ZOTERO_ITEM CSL_CITATION {"citationID":"i1AUgMb8","properties":{"formattedCitation":"(Safe Work Australia 2022c)","plainCitation":"(Safe Work Australia 2022c)","noteIndex":0},"citationItems":[{"id":825,"uris":["http://zotero.org/users/6230888/items/CWP3HXBL"],"itemData":{"id":825,"type":"report","page":"40","title":"Working with silica and silica containing products","URL":"https://www.safeworkaustralia.gov.au/doc/working-silica-and-silica-containing-products","author":[{"literal":"Safe Work Australia"}],"accessed":{"date-parts":[["2022",6,30]]},"issued":{"date-parts":[["2022"]]}}}],"schema":"https://github.com/citation-style-language/schema/raw/master/csl-citation.json"} </w:instrText>
      </w:r>
      <w:r w:rsidR="00C96D80" w:rsidRPr="009D0A4A">
        <w:fldChar w:fldCharType="separate"/>
      </w:r>
      <w:r w:rsidR="006B4A7D" w:rsidRPr="009D0A4A">
        <w:rPr>
          <w:rFonts w:ascii="Calibri" w:hAnsi="Calibri" w:cs="Calibri"/>
        </w:rPr>
        <w:t>(Safe Work Australia 2022c)</w:t>
      </w:r>
      <w:r w:rsidR="00C96D80" w:rsidRPr="009D0A4A">
        <w:fldChar w:fldCharType="end"/>
      </w:r>
      <w:r w:rsidRPr="009D0A4A">
        <w:t xml:space="preserve">, which will be translated into 6 additional languages. Safe Work Australia also recently revised its </w:t>
      </w:r>
      <w:r w:rsidRPr="009D0A4A">
        <w:lastRenderedPageBreak/>
        <w:t xml:space="preserve">guidance on health monitoring, including publication of </w:t>
      </w:r>
      <w:r w:rsidR="00FC4908" w:rsidRPr="009D0A4A">
        <w:t xml:space="preserve">guides on </w:t>
      </w:r>
      <w:r w:rsidR="004F3309" w:rsidRPr="009D0A4A">
        <w:t>Health monitoring: Guide for crystalline silica</w:t>
      </w:r>
      <w:r w:rsidR="00C9713B" w:rsidRPr="009D0A4A">
        <w:t xml:space="preserve"> </w:t>
      </w:r>
      <w:r w:rsidR="00C9713B" w:rsidRPr="009D0A4A">
        <w:rPr>
          <w:rStyle w:val="FootnoteReference"/>
        </w:rPr>
        <w:fldChar w:fldCharType="begin"/>
      </w:r>
      <w:r w:rsidR="004067E3">
        <w:instrText xml:space="preserve"> ADDIN ZOTERO_ITEM CSL_CITATION {"citationID":"yVBCXcfN","properties":{"formattedCitation":"(Safe Work Australia 2020c)","plainCitation":"(Safe Work Australia 2020c)","noteIndex":0},"citationItems":[{"id":827,"uris":["http://zotero.org/users/6230888/items/F7SQ7AIW"],"itemData":{"id":827,"type":"report","page":"27","title":"Health monitoring for crystalline silica","URL":"https://www.safeworkaustralia.gov.au/doc/health-monitoring-crystalline-silica","author":[{"literal":"Safe Work Australia"}],"accessed":{"date-parts":[["2022",6,30]]},"issued":{"date-parts":[["2020"]]}}}],"schema":"https://github.com/citation-style-language/schema/raw/master/csl-citation.json"} </w:instrText>
      </w:r>
      <w:r w:rsidR="00C9713B" w:rsidRPr="009D0A4A">
        <w:rPr>
          <w:rStyle w:val="FootnoteReference"/>
        </w:rPr>
        <w:fldChar w:fldCharType="separate"/>
      </w:r>
      <w:r w:rsidR="004067E3" w:rsidRPr="004067E3">
        <w:rPr>
          <w:rFonts w:ascii="Calibri" w:hAnsi="Calibri" w:cs="Calibri"/>
        </w:rPr>
        <w:t>(Safe Work Australia 2020c)</w:t>
      </w:r>
      <w:r w:rsidR="00C9713B" w:rsidRPr="009D0A4A">
        <w:rPr>
          <w:rStyle w:val="FootnoteReference"/>
        </w:rPr>
        <w:fldChar w:fldCharType="end"/>
      </w:r>
      <w:r w:rsidRPr="009D0A4A">
        <w:t>, and</w:t>
      </w:r>
      <w:r w:rsidR="004F3309" w:rsidRPr="009D0A4A">
        <w:t xml:space="preserve"> Health monitoring: Guide for registered medical practitioners</w:t>
      </w:r>
      <w:r w:rsidR="00C9713B" w:rsidRPr="009D0A4A">
        <w:t xml:space="preserve"> </w:t>
      </w:r>
      <w:r w:rsidR="00C9713B" w:rsidRPr="009D0A4A">
        <w:fldChar w:fldCharType="begin"/>
      </w:r>
      <w:r w:rsidR="004067E3">
        <w:instrText xml:space="preserve"> ADDIN ZOTERO_ITEM CSL_CITATION {"citationID":"GHQVTvlt","properties":{"formattedCitation":"(Safe Work Australia 2020d)","plainCitation":"(Safe Work Australia 2020d)","noteIndex":0},"citationItems":[{"id":829,"uris":["http://zotero.org/users/6230888/items/M2SJ9L4G"],"itemData":{"id":829,"type":"report","page":"29","title":"Health monitoring for registered medical practitioners guide","URL":"https://www.safeworkaustralia.gov.au/resources-and-publications/guidance-materials/health-monitoring-registered-medical-practitioners-guide","author":[{"literal":"Safe Work Australia"}],"accessed":{"date-parts":[["2022",6,30]]},"issued":{"date-parts":[["2020"]]}}}],"schema":"https://github.com/citation-style-language/schema/raw/master/csl-citation.json"} </w:instrText>
      </w:r>
      <w:r w:rsidR="00C9713B" w:rsidRPr="009D0A4A">
        <w:fldChar w:fldCharType="separate"/>
      </w:r>
      <w:r w:rsidR="004067E3" w:rsidRPr="004067E3">
        <w:rPr>
          <w:rFonts w:ascii="Calibri" w:hAnsi="Calibri" w:cs="Calibri"/>
        </w:rPr>
        <w:t>(Safe Work Australia 2020d)</w:t>
      </w:r>
      <w:r w:rsidR="00C9713B" w:rsidRPr="009D0A4A">
        <w:fldChar w:fldCharType="end"/>
      </w:r>
      <w:r w:rsidR="00C9713B" w:rsidRPr="009D0A4A">
        <w:t>.</w:t>
      </w:r>
    </w:p>
    <w:p w14:paraId="384C54DB" w14:textId="49C23CAF" w:rsidR="003F5102" w:rsidRPr="009D0A4A" w:rsidRDefault="003F5102" w:rsidP="003F5102">
      <w:pPr>
        <w:pStyle w:val="Heading3"/>
      </w:pPr>
      <w:r w:rsidRPr="009D0A4A">
        <w:t>State and territory initiatives to manage RCS risks</w:t>
      </w:r>
    </w:p>
    <w:p w14:paraId="636DCA94" w14:textId="77777777" w:rsidR="00976FC3" w:rsidRPr="009D0A4A" w:rsidRDefault="003F5102" w:rsidP="003F5102">
      <w:pPr>
        <w:keepNext/>
        <w:tabs>
          <w:tab w:val="left" w:pos="851"/>
          <w:tab w:val="left" w:pos="1017"/>
        </w:tabs>
        <w:spacing w:before="120"/>
        <w:jc w:val="both"/>
      </w:pPr>
      <w:r w:rsidRPr="009D0A4A">
        <w:t xml:space="preserve"> Table 2 below summarises state and territory initiatives to manage the risks of RCS. </w:t>
      </w:r>
    </w:p>
    <w:p w14:paraId="1E6D3887" w14:textId="4F33D106" w:rsidR="004F3309" w:rsidRPr="009D0A4A" w:rsidRDefault="004F3309" w:rsidP="003F5102">
      <w:pPr>
        <w:keepNext/>
        <w:tabs>
          <w:tab w:val="left" w:pos="851"/>
          <w:tab w:val="left" w:pos="1017"/>
        </w:tabs>
        <w:spacing w:before="120"/>
        <w:jc w:val="both"/>
        <w:rPr>
          <w:rFonts w:asciiTheme="majorHAnsi" w:hAnsiTheme="majorHAnsi"/>
          <w:b/>
          <w:iCs/>
          <w:color w:val="014463" w:themeColor="text2"/>
          <w:szCs w:val="18"/>
        </w:rPr>
      </w:pPr>
      <w:r w:rsidRPr="009D0A4A">
        <w:rPr>
          <w:rFonts w:asciiTheme="majorHAnsi" w:hAnsiTheme="majorHAnsi"/>
          <w:b/>
          <w:iCs/>
          <w:color w:val="014463" w:themeColor="text2"/>
          <w:szCs w:val="18"/>
        </w:rPr>
        <w:t>Tab</w:t>
      </w:r>
      <w:r w:rsidR="003F5102" w:rsidRPr="009D0A4A">
        <w:rPr>
          <w:rFonts w:asciiTheme="majorHAnsi" w:hAnsiTheme="majorHAnsi"/>
          <w:b/>
          <w:iCs/>
          <w:color w:val="014463" w:themeColor="text2"/>
          <w:szCs w:val="18"/>
        </w:rPr>
        <w:t>le 2</w:t>
      </w:r>
      <w:r w:rsidRPr="009D0A4A">
        <w:rPr>
          <w:rFonts w:asciiTheme="majorHAnsi" w:hAnsiTheme="majorHAnsi"/>
          <w:b/>
          <w:iCs/>
          <w:color w:val="014463" w:themeColor="text2"/>
          <w:szCs w:val="18"/>
        </w:rPr>
        <w:t>: Overview of state and territory measures to manage RCS exposure</w:t>
      </w:r>
      <w:r w:rsidR="00E752D5" w:rsidRPr="009D0A4A">
        <w:rPr>
          <w:rFonts w:asciiTheme="majorHAnsi" w:hAnsiTheme="majorHAnsi"/>
          <w:b/>
          <w:iCs/>
          <w:color w:val="014463" w:themeColor="text2"/>
          <w:szCs w:val="18"/>
        </w:rPr>
        <w:t xml:space="preserve"> in jurisdictions subject to the model WHS laws</w:t>
      </w:r>
    </w:p>
    <w:tbl>
      <w:tblPr>
        <w:tblStyle w:val="PMCDefaultTableStyle"/>
        <w:tblW w:w="10206" w:type="dxa"/>
        <w:tblLayout w:type="fixed"/>
        <w:tblLook w:val="04A0" w:firstRow="1" w:lastRow="0" w:firstColumn="1" w:lastColumn="0" w:noHBand="0" w:noVBand="1"/>
      </w:tblPr>
      <w:tblGrid>
        <w:gridCol w:w="1276"/>
        <w:gridCol w:w="2835"/>
        <w:gridCol w:w="2977"/>
        <w:gridCol w:w="3118"/>
      </w:tblGrid>
      <w:tr w:rsidR="004F3309" w:rsidRPr="009D0A4A" w14:paraId="70BE6DFC" w14:textId="77777777" w:rsidTr="000823EF">
        <w:trPr>
          <w:cnfStyle w:val="100000000000" w:firstRow="1" w:lastRow="0" w:firstColumn="0" w:lastColumn="0" w:oddVBand="0" w:evenVBand="0" w:oddHBand="0" w:evenHBand="0" w:firstRowFirstColumn="0" w:firstRowLastColumn="0" w:lastRowFirstColumn="0" w:lastRowLastColumn="0"/>
          <w:trHeight w:val="582"/>
        </w:trPr>
        <w:tc>
          <w:tcPr>
            <w:tcW w:w="1276" w:type="dxa"/>
          </w:tcPr>
          <w:p w14:paraId="5F1E64B7" w14:textId="77777777" w:rsidR="004F3309" w:rsidRPr="009D0A4A" w:rsidRDefault="004F3309" w:rsidP="004F3309">
            <w:r w:rsidRPr="009D0A4A">
              <w:t>Jurisdiction</w:t>
            </w:r>
          </w:p>
        </w:tc>
        <w:tc>
          <w:tcPr>
            <w:tcW w:w="2835" w:type="dxa"/>
          </w:tcPr>
          <w:p w14:paraId="2C0A99DF" w14:textId="77777777" w:rsidR="004F3309" w:rsidRPr="009D0A4A" w:rsidRDefault="004F3309" w:rsidP="004F3309">
            <w:r w:rsidRPr="009D0A4A">
              <w:t>Education and awareness</w:t>
            </w:r>
          </w:p>
        </w:tc>
        <w:tc>
          <w:tcPr>
            <w:tcW w:w="2977" w:type="dxa"/>
          </w:tcPr>
          <w:p w14:paraId="2DBDCE3D" w14:textId="77777777" w:rsidR="004F3309" w:rsidRPr="009D0A4A" w:rsidRDefault="004F3309" w:rsidP="004F3309">
            <w:r w:rsidRPr="009D0A4A">
              <w:t>Health screening</w:t>
            </w:r>
            <w:r w:rsidRPr="009D0A4A">
              <w:rPr>
                <w:vertAlign w:val="superscript"/>
              </w:rPr>
              <w:footnoteReference w:id="2"/>
            </w:r>
            <w:r w:rsidRPr="009D0A4A">
              <w:t xml:space="preserve"> and registries</w:t>
            </w:r>
          </w:p>
        </w:tc>
        <w:tc>
          <w:tcPr>
            <w:tcW w:w="3118" w:type="dxa"/>
          </w:tcPr>
          <w:p w14:paraId="659DC5E9" w14:textId="77777777" w:rsidR="004F3309" w:rsidRPr="009D0A4A" w:rsidRDefault="004F3309" w:rsidP="004F3309">
            <w:r w:rsidRPr="009D0A4A">
              <w:t>Other measures</w:t>
            </w:r>
          </w:p>
        </w:tc>
      </w:tr>
      <w:tr w:rsidR="004F3309" w:rsidRPr="009D0A4A" w14:paraId="188BEF6A" w14:textId="77777777" w:rsidTr="000823EF">
        <w:trPr>
          <w:cnfStyle w:val="000000100000" w:firstRow="0" w:lastRow="0" w:firstColumn="0" w:lastColumn="0" w:oddVBand="0" w:evenVBand="0" w:oddHBand="1" w:evenHBand="0" w:firstRowFirstColumn="0" w:firstRowLastColumn="0" w:lastRowFirstColumn="0" w:lastRowLastColumn="0"/>
          <w:trHeight w:val="349"/>
        </w:trPr>
        <w:tc>
          <w:tcPr>
            <w:tcW w:w="1276" w:type="dxa"/>
          </w:tcPr>
          <w:p w14:paraId="548E3D6E" w14:textId="77777777" w:rsidR="004F3309" w:rsidRPr="009D0A4A" w:rsidRDefault="004F3309" w:rsidP="004F3309">
            <w:r w:rsidRPr="009D0A4A">
              <w:t>ACT</w:t>
            </w:r>
          </w:p>
        </w:tc>
        <w:tc>
          <w:tcPr>
            <w:tcW w:w="2835" w:type="dxa"/>
          </w:tcPr>
          <w:p w14:paraId="42691080" w14:textId="1A578C4E" w:rsidR="0039709B" w:rsidRPr="009D0A4A" w:rsidRDefault="0039709B" w:rsidP="004F3309">
            <w:r w:rsidRPr="009D0A4A">
              <w:t xml:space="preserve">Developed online materials </w:t>
            </w:r>
            <w:r w:rsidR="00D94848" w:rsidRPr="009D0A4A">
              <w:fldChar w:fldCharType="begin"/>
            </w:r>
            <w:r w:rsidR="004067E3">
              <w:instrText xml:space="preserve"> ADDIN ZOTERO_ITEM CSL_CITATION {"citationID":"TjfqqIB4","properties":{"formattedCitation":"(WorkSafe ACT 2020)","plainCitation":"(WorkSafe ACT 2020)","noteIndex":0},"citationItems":[{"id":920,"uris":["http://zotero.org/users/6230888/items/LQQGQ4JK"],"itemData":{"id":920,"type":"webpage","language":"en","note":"Last Modified: 2022-01-18 09:08:45","title":"Silica dust","URL":"https://www.worksafe.act.gov.au/health-and-safety-portal/safety-topics/dangerous-goods-and-hazardous-substances/silica-dust","author":[{"literal":"WorkSafe ACT"}],"accessed":{"date-parts":[["2022",6,30]]},"issued":{"date-parts":[["2020",10,1]]}}}],"schema":"https://github.com/citation-style-language/schema/raw/master/csl-citation.json"} </w:instrText>
            </w:r>
            <w:r w:rsidR="00D94848" w:rsidRPr="009D0A4A">
              <w:fldChar w:fldCharType="separate"/>
            </w:r>
            <w:r w:rsidR="00D94848" w:rsidRPr="009D0A4A">
              <w:rPr>
                <w:rFonts w:ascii="Calibri" w:hAnsi="Calibri" w:cs="Calibri"/>
              </w:rPr>
              <w:t>(WorkSafe ACT 2020)</w:t>
            </w:r>
            <w:r w:rsidR="00D94848" w:rsidRPr="009D0A4A">
              <w:fldChar w:fldCharType="end"/>
            </w:r>
          </w:p>
          <w:p w14:paraId="6FD7798D" w14:textId="0019152C" w:rsidR="004F3309" w:rsidRPr="009D0A4A" w:rsidRDefault="004F3309" w:rsidP="004F3309">
            <w:r w:rsidRPr="009D0A4A">
              <w:t xml:space="preserve">Produced </w:t>
            </w:r>
            <w:r w:rsidR="0039709B" w:rsidRPr="009D0A4A">
              <w:t>2</w:t>
            </w:r>
            <w:r w:rsidRPr="009D0A4A">
              <w:t xml:space="preserve"> guidance note</w:t>
            </w:r>
            <w:r w:rsidR="0039709B" w:rsidRPr="009D0A4A">
              <w:t>s</w:t>
            </w:r>
            <w:r w:rsidRPr="009D0A4A">
              <w:t xml:space="preserve"> </w:t>
            </w:r>
            <w:r w:rsidR="0039709B" w:rsidRPr="009D0A4A">
              <w:t>on the risks of RCS</w:t>
            </w:r>
            <w:r w:rsidR="00BB5F3A" w:rsidRPr="009D0A4A">
              <w:t xml:space="preserve"> </w:t>
            </w:r>
            <w:r w:rsidR="00BA0D00" w:rsidRPr="009D0A4A">
              <w:fldChar w:fldCharType="begin"/>
            </w:r>
            <w:r w:rsidR="004067E3">
              <w:instrText xml:space="preserve"> ADDIN ZOTERO_ITEM CSL_CITATION {"citationID":"51b5GGWq","properties":{"formattedCitation":"(WorkSafe ACT 2021, WorkSafe ACT 2022)","plainCitation":"(WorkSafe ACT 2021, WorkSafe ACT 2022)","noteIndex":0},"citationItems":[{"id":923,"uris":["http://zotero.org/users/6230888/items/JJQGJ7QL"],"itemData":{"id":923,"type":"report","page":"4","title":"Guidance note crystalline silica dust","URL":"https://www.worksafe.act.gov.au/__data/assets/pdf_file/0011/1793342/WorkSafe-ACT-Crystalline-Silica-Dust-Guidance-note.pdf","author":[{"literal":"WorkSafe ACT"}],"accessed":{"date-parts":[["2022",6,30]]},"issued":{"date-parts":[["2021"]]}}},{"id":922,"uris":["http://zotero.org/users/6230888/items/QWNLZU5U"],"itemData":{"id":922,"type":"report","page":"18","title":"Managing silica dust at construction sites","URL":"https://www.worksafe.act.gov.au/__data/assets/pdf_file/0005/1931765/Guidance-note-Managing-silica-dust-at-construction-sites.pdf","author":[{"literal":"WorkSafe ACT"}],"accessed":{"date-parts":[["2022",6,30]]},"issued":{"date-parts":[["2022"]]}}}],"schema":"https://github.com/citation-style-language/schema/raw/master/csl-citation.json"} </w:instrText>
            </w:r>
            <w:r w:rsidR="00BA0D00" w:rsidRPr="009D0A4A">
              <w:fldChar w:fldCharType="separate"/>
            </w:r>
            <w:r w:rsidR="00BA0D00" w:rsidRPr="009D0A4A">
              <w:rPr>
                <w:rFonts w:ascii="Calibri" w:hAnsi="Calibri" w:cs="Calibri"/>
              </w:rPr>
              <w:t>(WorkSafe ACT 2021, WorkSafe ACT 2022)</w:t>
            </w:r>
            <w:r w:rsidR="00BA0D00" w:rsidRPr="009D0A4A">
              <w:fldChar w:fldCharType="end"/>
            </w:r>
            <w:r w:rsidR="00BA0D00" w:rsidRPr="009D0A4A">
              <w:t>.</w:t>
            </w:r>
            <w:r w:rsidR="00BB5F3A" w:rsidRPr="009D0A4A">
              <w:t xml:space="preserve"> </w:t>
            </w:r>
          </w:p>
        </w:tc>
        <w:tc>
          <w:tcPr>
            <w:tcW w:w="2977" w:type="dxa"/>
          </w:tcPr>
          <w:p w14:paraId="385F1933" w14:textId="6EA2C626" w:rsidR="004F3309" w:rsidRPr="009D0A4A" w:rsidRDefault="004F3309" w:rsidP="004F3309"/>
        </w:tc>
        <w:tc>
          <w:tcPr>
            <w:tcW w:w="3118" w:type="dxa"/>
          </w:tcPr>
          <w:p w14:paraId="3356807C" w14:textId="7598885D" w:rsidR="004F3309" w:rsidRPr="009D0A4A" w:rsidRDefault="004F3309" w:rsidP="004F3309"/>
        </w:tc>
      </w:tr>
      <w:tr w:rsidR="004F3309" w:rsidRPr="009D0A4A" w14:paraId="21160D7F" w14:textId="77777777" w:rsidTr="000823EF">
        <w:trPr>
          <w:cnfStyle w:val="000000010000" w:firstRow="0" w:lastRow="0" w:firstColumn="0" w:lastColumn="0" w:oddVBand="0" w:evenVBand="0" w:oddHBand="0" w:evenHBand="1" w:firstRowFirstColumn="0" w:firstRowLastColumn="0" w:lastRowFirstColumn="0" w:lastRowLastColumn="0"/>
          <w:trHeight w:val="1772"/>
        </w:trPr>
        <w:tc>
          <w:tcPr>
            <w:tcW w:w="1276" w:type="dxa"/>
          </w:tcPr>
          <w:p w14:paraId="4B6C6B3B" w14:textId="77777777" w:rsidR="004F3309" w:rsidRPr="009D0A4A" w:rsidRDefault="004F3309" w:rsidP="004F3309">
            <w:r w:rsidRPr="009D0A4A">
              <w:t>NSW</w:t>
            </w:r>
          </w:p>
        </w:tc>
        <w:tc>
          <w:tcPr>
            <w:tcW w:w="2835" w:type="dxa"/>
          </w:tcPr>
          <w:p w14:paraId="195A9957" w14:textId="000E2097" w:rsidR="004F3309" w:rsidRPr="009D0A4A" w:rsidRDefault="004F3309" w:rsidP="004F3309">
            <w:r w:rsidRPr="009D0A4A">
              <w:t>Awareness campaigns ran in 2018, 2019 and 2020 including radio and online advertising, a Silica Symposium and regional roadshow event series, webinars and safety videos as well as 107 industry presentations</w:t>
            </w:r>
            <w:r w:rsidR="005B62D3" w:rsidRPr="009D0A4A">
              <w:t xml:space="preserve"> </w:t>
            </w:r>
            <w:r w:rsidR="005B62D3" w:rsidRPr="009D0A4A">
              <w:fldChar w:fldCharType="begin"/>
            </w:r>
            <w:r w:rsidR="004067E3">
              <w:instrText xml:space="preserve"> ADDIN ZOTERO_ITEM CSL_CITATION {"citationID":"VcnT3Duo","properties":{"formattedCitation":"(SafeWork NSW 2021)","plainCitation":"(SafeWork NSW 2021)","noteIndex":0},"citationItems":[{"id":832,"uris":["http://zotero.org/users/6230888/items/GZWLVXHN"],"itemData":{"id":832,"type":"report","language":"en","page":"33","source":"Zotero","title":"NSW Dust Disease Register Annual Report 2020-2021","URL":"https://www.nsw.gov.au/sites/default/files/2021-08/nsw-dust-disease-register-annual-report-2020-21.pdf","author":[{"literal":"SafeWork NSW"}],"accessed":{"date-parts":[["2022",6,30]]},"issued":{"date-parts":[["2021"]]}}}],"schema":"https://github.com/citation-style-language/schema/raw/master/csl-citation.json"} </w:instrText>
            </w:r>
            <w:r w:rsidR="005B62D3" w:rsidRPr="009D0A4A">
              <w:fldChar w:fldCharType="separate"/>
            </w:r>
            <w:r w:rsidR="006B4A7D" w:rsidRPr="009D0A4A">
              <w:rPr>
                <w:rFonts w:ascii="Calibri" w:hAnsi="Calibri" w:cs="Calibri"/>
              </w:rPr>
              <w:t>(SafeWork NSW 2021)</w:t>
            </w:r>
            <w:r w:rsidR="005B62D3" w:rsidRPr="009D0A4A">
              <w:fldChar w:fldCharType="end"/>
            </w:r>
            <w:r w:rsidRPr="009D0A4A">
              <w:t>.</w:t>
            </w:r>
          </w:p>
        </w:tc>
        <w:tc>
          <w:tcPr>
            <w:tcW w:w="2977" w:type="dxa"/>
          </w:tcPr>
          <w:p w14:paraId="3BF58E9B" w14:textId="5E647906" w:rsidR="004F3309" w:rsidRPr="009D0A4A" w:rsidRDefault="004F3309" w:rsidP="0039709B">
            <w:r w:rsidRPr="009D0A4A">
              <w:t>Commenced the NSW Dust Disease Register</w:t>
            </w:r>
            <w:r w:rsidR="0039709B" w:rsidRPr="009D0A4A">
              <w:t xml:space="preserve"> which r</w:t>
            </w:r>
            <w:r w:rsidRPr="009D0A4A">
              <w:t>equire</w:t>
            </w:r>
            <w:r w:rsidR="0039709B" w:rsidRPr="009D0A4A">
              <w:t>d</w:t>
            </w:r>
            <w:r w:rsidRPr="009D0A4A">
              <w:t xml:space="preserve"> all NSW medical practitioners to notify NSW Health upon diagnosing a silicosis case from 1 July 2020</w:t>
            </w:r>
            <w:r w:rsidR="00BB5F3A" w:rsidRPr="009D0A4A">
              <w:t xml:space="preserve"> </w:t>
            </w:r>
            <w:r w:rsidR="000D181A" w:rsidRPr="009D0A4A">
              <w:fldChar w:fldCharType="begin"/>
            </w:r>
            <w:r w:rsidR="004067E3">
              <w:instrText xml:space="preserve"> ADDIN ZOTERO_ITEM CSL_CITATION {"citationID":"RzVdG4TM","properties":{"formattedCitation":"(SafeWork NSW 2021)","plainCitation":"(SafeWork NSW 2021)","noteIndex":0},"citationItems":[{"id":832,"uris":["http://zotero.org/users/6230888/items/GZWLVXHN"],"itemData":{"id":832,"type":"report","language":"en","page":"33","source":"Zotero","title":"NSW Dust Disease Register Annual Report 2020-2021","URL":"https://www.nsw.gov.au/sites/default/files/2021-08/nsw-dust-disease-register-annual-report-2020-21.pdf","author":[{"literal":"SafeWork NSW"}],"accessed":{"date-parts":[["2022",6,30]]},"issued":{"date-parts":[["2021"]]}}}],"schema":"https://github.com/citation-style-language/schema/raw/master/csl-citation.json"} </w:instrText>
            </w:r>
            <w:r w:rsidR="000D181A" w:rsidRPr="009D0A4A">
              <w:fldChar w:fldCharType="separate"/>
            </w:r>
            <w:r w:rsidR="000D181A" w:rsidRPr="009D0A4A">
              <w:rPr>
                <w:rFonts w:ascii="Calibri" w:hAnsi="Calibri" w:cs="Calibri"/>
              </w:rPr>
              <w:t>(SafeWork NSW 2021)</w:t>
            </w:r>
            <w:r w:rsidR="000D181A" w:rsidRPr="009D0A4A">
              <w:fldChar w:fldCharType="end"/>
            </w:r>
            <w:r w:rsidR="000D181A" w:rsidRPr="009D0A4A">
              <w:t>.</w:t>
            </w:r>
          </w:p>
        </w:tc>
        <w:tc>
          <w:tcPr>
            <w:tcW w:w="3118" w:type="dxa"/>
          </w:tcPr>
          <w:p w14:paraId="6A8820BA" w14:textId="77D8D36C" w:rsidR="004F3309" w:rsidRPr="009D0A4A" w:rsidRDefault="004F3309" w:rsidP="004F3309">
            <w:r w:rsidRPr="009D0A4A">
              <w:t xml:space="preserve">Banned uncontrolled dry cutting of manufactured stone </w:t>
            </w:r>
            <w:r w:rsidR="00BB5F3A" w:rsidRPr="009D0A4A">
              <w:t xml:space="preserve"> </w:t>
            </w:r>
            <w:r w:rsidRPr="009D0A4A">
              <w:t>and offered rebates of up to $1,000 to businesses for the purchase of necessary equipment</w:t>
            </w:r>
            <w:r w:rsidR="00BB5F3A" w:rsidRPr="009D0A4A">
              <w:t xml:space="preserve"> </w:t>
            </w:r>
            <w:r w:rsidR="00BB5F3A" w:rsidRPr="009D0A4A">
              <w:fldChar w:fldCharType="begin"/>
            </w:r>
            <w:r w:rsidR="004067E3">
              <w:instrText xml:space="preserve"> ADDIN ZOTERO_ITEM CSL_CITATION {"citationID":"pOtqUyRg","properties":{"formattedCitation":"(NSW Legislative Council Standing Committee on Law and Justice 2022)","plainCitation":"(NSW Legislative Council Standing Committee on Law and Justice 2022)","noteIndex":0},"citationItems":[{"id":902,"uris":["http://zotero.org/users/6230888/items/W7BHQ3ZM"],"itemData":{"id":902,"type":"report","title":"2021 Review of the Dust Diseases Scheme","URL":"https://www.parliament.nsw.gov.au/lcdocs/inquiries/2833/Report%20No.%2080%20-%202021%20Review%20of%20the%20Dust%20Diseases%20Scheme.pdf","author":[{"literal":"NSW Legislative Council Standing Committee on Law and Justice"}],"accessed":{"date-parts":[["2022",6,30]]},"issued":{"date-parts":[["2022"]]}}}],"schema":"https://github.com/citation-style-language/schema/raw/master/csl-citation.json"} </w:instrText>
            </w:r>
            <w:r w:rsidR="00BB5F3A" w:rsidRPr="009D0A4A">
              <w:fldChar w:fldCharType="separate"/>
            </w:r>
            <w:r w:rsidR="00BB5F3A" w:rsidRPr="009D0A4A">
              <w:rPr>
                <w:rFonts w:ascii="Calibri" w:hAnsi="Calibri" w:cs="Calibri"/>
              </w:rPr>
              <w:t>(NSW Legislative Council Standing Committee on Law and Justice 2022)</w:t>
            </w:r>
            <w:r w:rsidR="00BB5F3A" w:rsidRPr="009D0A4A">
              <w:fldChar w:fldCharType="end"/>
            </w:r>
            <w:r w:rsidR="00BB5F3A" w:rsidRPr="009D0A4A">
              <w:t>.</w:t>
            </w:r>
          </w:p>
          <w:p w14:paraId="566CA580" w14:textId="2FA4B27A" w:rsidR="000D181A" w:rsidRPr="009D0A4A" w:rsidRDefault="000D181A" w:rsidP="004F3309">
            <w:r w:rsidRPr="009D0A4A">
              <w:t xml:space="preserve">Implemented the </w:t>
            </w:r>
            <w:r w:rsidRPr="009D0A4A">
              <w:rPr>
                <w:rFonts w:cstheme="minorHAnsi"/>
              </w:rPr>
              <w:t xml:space="preserve">model Code of Practice: Managing the risks of RCS from engineered stone in the workplace </w:t>
            </w:r>
            <w:r w:rsidR="00262B8C" w:rsidRPr="009D0A4A">
              <w:rPr>
                <w:rFonts w:cstheme="minorHAnsi"/>
              </w:rPr>
              <w:fldChar w:fldCharType="begin"/>
            </w:r>
            <w:r w:rsidR="004067E3">
              <w:rPr>
                <w:rFonts w:cstheme="minorHAnsi"/>
              </w:rPr>
              <w:instrText xml:space="preserve"> ADDIN ZOTERO_ITEM CSL_CITATION {"citationID":"UJXY0w2L","properties":{"formattedCitation":"(SafeWork NSW 2022)","plainCitation":"(SafeWork NSW 2022)","noteIndex":0},"citationItems":[{"id":924,"uris":["http://zotero.org/users/6230888/items/SPL4RT7W"],"itemData":{"id":924,"type":"webpage","abstract":"The Code of Practice: Silica in engineered stone provides practical guidance on how to manage the risks of respirable crystalline silica from engineered stone in the workplace.","container-title":"SafeWork NSW","genre":"Code of practice","language":"en-AU","title":"Managing the risks of respirable crystalline silica from engineered stone in the workplace","title-short":"Code of Practice","URL":"https://www.safework.nsw.gov.au/resource-library/list-of-all-codes-of-practice/codes-of-practice/engineered-stone-code-of-practice","author":[{"literal":"SafeWork NSW"}],"accessed":{"date-parts":[["2022",6,30]]},"issued":{"date-parts":[["2022"]]}}}],"schema":"https://github.com/citation-style-language/schema/raw/master/csl-citation.json"} </w:instrText>
            </w:r>
            <w:r w:rsidR="00262B8C" w:rsidRPr="009D0A4A">
              <w:rPr>
                <w:rFonts w:cstheme="minorHAnsi"/>
              </w:rPr>
              <w:fldChar w:fldCharType="separate"/>
            </w:r>
            <w:r w:rsidR="00262B8C" w:rsidRPr="009D0A4A">
              <w:rPr>
                <w:rFonts w:ascii="Calibri" w:hAnsi="Calibri" w:cs="Calibri"/>
              </w:rPr>
              <w:t>(SafeWork NSW 2022)</w:t>
            </w:r>
            <w:r w:rsidR="00262B8C" w:rsidRPr="009D0A4A">
              <w:rPr>
                <w:rFonts w:cstheme="minorHAnsi"/>
              </w:rPr>
              <w:fldChar w:fldCharType="end"/>
            </w:r>
            <w:r w:rsidRPr="009D0A4A">
              <w:t>.</w:t>
            </w:r>
          </w:p>
        </w:tc>
      </w:tr>
      <w:tr w:rsidR="004F3309" w:rsidRPr="009D0A4A" w14:paraId="4565FC61" w14:textId="77777777" w:rsidTr="000823EF">
        <w:trPr>
          <w:cnfStyle w:val="000000100000" w:firstRow="0" w:lastRow="0" w:firstColumn="0" w:lastColumn="0" w:oddVBand="0" w:evenVBand="0" w:oddHBand="1" w:evenHBand="0" w:firstRowFirstColumn="0" w:firstRowLastColumn="0" w:lastRowFirstColumn="0" w:lastRowLastColumn="0"/>
          <w:trHeight w:val="349"/>
        </w:trPr>
        <w:tc>
          <w:tcPr>
            <w:tcW w:w="1276" w:type="dxa"/>
          </w:tcPr>
          <w:p w14:paraId="66108D7D" w14:textId="77777777" w:rsidR="004F3309" w:rsidRPr="009D0A4A" w:rsidRDefault="004F3309" w:rsidP="004F3309">
            <w:r w:rsidRPr="009D0A4A">
              <w:t>NT</w:t>
            </w:r>
          </w:p>
        </w:tc>
        <w:tc>
          <w:tcPr>
            <w:tcW w:w="2835" w:type="dxa"/>
          </w:tcPr>
          <w:p w14:paraId="2410D1C6" w14:textId="0696AEE5" w:rsidR="004F3309" w:rsidRPr="009D0A4A" w:rsidRDefault="004F3309" w:rsidP="004F3309"/>
        </w:tc>
        <w:tc>
          <w:tcPr>
            <w:tcW w:w="2977" w:type="dxa"/>
          </w:tcPr>
          <w:p w14:paraId="344C58D8" w14:textId="5DC04023" w:rsidR="004F3309" w:rsidRPr="009D0A4A" w:rsidRDefault="004F3309" w:rsidP="004F3309"/>
        </w:tc>
        <w:tc>
          <w:tcPr>
            <w:tcW w:w="3118" w:type="dxa"/>
          </w:tcPr>
          <w:p w14:paraId="6FF92DFB" w14:textId="01E87A81" w:rsidR="004F3309" w:rsidRPr="009D0A4A" w:rsidRDefault="004F3309" w:rsidP="004F3309">
            <w:r w:rsidRPr="009D0A4A">
              <w:t>NT WorkSafe conducted a compliance campaign in 2019 visiting 3</w:t>
            </w:r>
            <w:r w:rsidR="00BB5F3A" w:rsidRPr="009D0A4A">
              <w:t>5</w:t>
            </w:r>
            <w:r w:rsidRPr="009D0A4A">
              <w:t xml:space="preserve"> businesses in the engineered stone benchtop manufacturing industry</w:t>
            </w:r>
            <w:r w:rsidR="00BB5F3A" w:rsidRPr="009D0A4A">
              <w:t xml:space="preserve"> </w:t>
            </w:r>
            <w:r w:rsidR="00BB5F3A" w:rsidRPr="009D0A4A">
              <w:fldChar w:fldCharType="begin"/>
            </w:r>
            <w:r w:rsidR="004067E3">
              <w:instrText xml:space="preserve"> ADDIN ZOTERO_ITEM CSL_CITATION {"citationID":"NrZUU838","properties":{"formattedCitation":"(Australian Government 2022)","plainCitation":"(Australian Government 2022)","noteIndex":0},"citationItems":[{"id":881,"uris":["http://zotero.org/users/6230888/items/MBL8JFFI"],"itemData":{"id":881,"type":"report","page":"64","title":"All of governments’ response to the National Dust Disease Taskforce Final Report","URL":"https://www1.health.gov.au/internet/main/publishing.nsf/Content/45748C2442F5BA74CA2587E4000F8600/$File/All-Govt-Response-Final-Report-Dust-Disease-Taskforce.pdf","author":[{"literal":"Australian Government"}],"accessed":{"date-parts":[["2022",6,30]]},"issued":{"date-parts":[["2022"]]}}}],"schema":"https://github.com/citation-style-language/schema/raw/master/csl-citation.json"} </w:instrText>
            </w:r>
            <w:r w:rsidR="00BB5F3A" w:rsidRPr="009D0A4A">
              <w:fldChar w:fldCharType="separate"/>
            </w:r>
            <w:r w:rsidR="00BB5F3A" w:rsidRPr="009D0A4A">
              <w:rPr>
                <w:rFonts w:ascii="Calibri" w:hAnsi="Calibri" w:cs="Calibri"/>
              </w:rPr>
              <w:t>(Australian Government 2022)</w:t>
            </w:r>
            <w:r w:rsidR="00BB5F3A" w:rsidRPr="009D0A4A">
              <w:fldChar w:fldCharType="end"/>
            </w:r>
            <w:r w:rsidRPr="009D0A4A">
              <w:t>.</w:t>
            </w:r>
          </w:p>
        </w:tc>
      </w:tr>
      <w:tr w:rsidR="004F3309" w:rsidRPr="009D0A4A" w14:paraId="1B1E5653" w14:textId="77777777" w:rsidTr="000823EF">
        <w:trPr>
          <w:cnfStyle w:val="000000010000" w:firstRow="0" w:lastRow="0" w:firstColumn="0" w:lastColumn="0" w:oddVBand="0" w:evenVBand="0" w:oddHBand="0" w:evenHBand="1" w:firstRowFirstColumn="0" w:firstRowLastColumn="0" w:lastRowFirstColumn="0" w:lastRowLastColumn="0"/>
          <w:trHeight w:val="1255"/>
        </w:trPr>
        <w:tc>
          <w:tcPr>
            <w:tcW w:w="1276" w:type="dxa"/>
          </w:tcPr>
          <w:p w14:paraId="748FFB5D" w14:textId="77777777" w:rsidR="004F3309" w:rsidRPr="009D0A4A" w:rsidRDefault="004F3309" w:rsidP="004F3309">
            <w:r w:rsidRPr="009D0A4A">
              <w:t>QLD</w:t>
            </w:r>
          </w:p>
        </w:tc>
        <w:tc>
          <w:tcPr>
            <w:tcW w:w="2835" w:type="dxa"/>
          </w:tcPr>
          <w:p w14:paraId="52AB0EBA" w14:textId="6AC7E374" w:rsidR="004F3309" w:rsidRPr="009D0A4A" w:rsidRDefault="004F3309" w:rsidP="004F3309">
            <w:r w:rsidRPr="009D0A4A">
              <w:t>Issued a safety alert in September 2018 for uncontrolled dry cutting of engineered stone</w:t>
            </w:r>
            <w:r w:rsidR="00BB5F3A" w:rsidRPr="009D0A4A">
              <w:t xml:space="preserve"> </w:t>
            </w:r>
            <w:r w:rsidR="00262B8C" w:rsidRPr="009D0A4A">
              <w:fldChar w:fldCharType="begin"/>
            </w:r>
            <w:r w:rsidR="004067E3">
              <w:instrText xml:space="preserve"> ADDIN ZOTERO_ITEM CSL_CITATION {"citationID":"SP0gBbnD","properties":{"formattedCitation":"(Queensland Government 2018)","plainCitation":"(Queensland Government 2018)","noteIndex":0},"citationItems":[{"id":926,"uris":["http://zotero.org/users/6230888/items/63EAHN2A"],"itemData":{"id":926,"type":"webpage","container-title":"Ministerial Media Statements","language":"en","title":"Safety alert issued for engineered stone benchtop workers","URL":"https://statements.qld.gov.au/statements/85566","author":[{"literal":"Queensland Government"}],"accessed":{"date-parts":[["2022",6,30]]},"issued":{"date-parts":[["2018"]]}}}],"schema":"https://github.com/citation-style-language/schema/raw/master/csl-citation.json"} </w:instrText>
            </w:r>
            <w:r w:rsidR="00262B8C" w:rsidRPr="009D0A4A">
              <w:fldChar w:fldCharType="separate"/>
            </w:r>
            <w:r w:rsidR="00262B8C" w:rsidRPr="009D0A4A">
              <w:rPr>
                <w:rFonts w:ascii="Calibri" w:hAnsi="Calibri" w:cs="Calibri"/>
              </w:rPr>
              <w:t>(Queensland Government 2018)</w:t>
            </w:r>
            <w:r w:rsidR="00262B8C" w:rsidRPr="009D0A4A">
              <w:fldChar w:fldCharType="end"/>
            </w:r>
            <w:r w:rsidR="00262B8C" w:rsidRPr="009D0A4A">
              <w:t>.</w:t>
            </w:r>
          </w:p>
        </w:tc>
        <w:tc>
          <w:tcPr>
            <w:tcW w:w="2977" w:type="dxa"/>
          </w:tcPr>
          <w:p w14:paraId="0760DDCD" w14:textId="2BAB6401" w:rsidR="004F3309" w:rsidRPr="009D0A4A" w:rsidRDefault="004F3309" w:rsidP="004F3309">
            <w:r w:rsidRPr="009D0A4A">
              <w:t xml:space="preserve">Diagnoses of silicosis are notifiable in Queensland, in the opinion of the prescribed medical </w:t>
            </w:r>
            <w:r w:rsidR="000D181A" w:rsidRPr="009D0A4A">
              <w:t xml:space="preserve">practitioner </w:t>
            </w:r>
            <w:r w:rsidR="00262B8C" w:rsidRPr="009D0A4A">
              <w:fldChar w:fldCharType="begin"/>
            </w:r>
            <w:r w:rsidR="004067E3">
              <w:instrText xml:space="preserve"> ADDIN ZOTERO_ITEM CSL_CITATION {"citationID":"dPhgggBQ","properties":{"formattedCitation":"(Queensland Health 2022)","plainCitation":"(Queensland Health 2022)","noteIndex":0},"citationItems":[{"id":928,"uris":["http://zotero.org/users/6230888/items/U24LPU96"],"itemData":{"id":928,"type":"webpage","abstract":"Changes to the Public Health Act 2005 and Regulation provide a legislative framework for a notifiable dust lung disease register.","genre":"Text","language":"en-AU","note":"Last Modified: 2022-05-16 09:03:00\npublisher: corporateName=The State of Queensland; jurisdiction=Queensland","title":"About the Notifiable Dust Lung Disease Register","URL":"https://www.health.qld.gov.au/public-health/industry-environment/dust-lung-disease-register/about-the-register","author":[{"literal":"Queensland Health"}],"accessed":{"date-parts":[["2022",6,30]]},"issued":{"date-parts":[["2022"]]}}}],"schema":"https://github.com/citation-style-language/schema/raw/master/csl-citation.json"} </w:instrText>
            </w:r>
            <w:r w:rsidR="00262B8C" w:rsidRPr="009D0A4A">
              <w:fldChar w:fldCharType="separate"/>
            </w:r>
            <w:r w:rsidR="00262B8C" w:rsidRPr="009D0A4A">
              <w:rPr>
                <w:rFonts w:ascii="Calibri" w:hAnsi="Calibri" w:cs="Calibri"/>
              </w:rPr>
              <w:t>(Queensland Health 2022)</w:t>
            </w:r>
            <w:r w:rsidR="00262B8C" w:rsidRPr="009D0A4A">
              <w:fldChar w:fldCharType="end"/>
            </w:r>
            <w:r w:rsidRPr="009D0A4A">
              <w:t>.</w:t>
            </w:r>
          </w:p>
        </w:tc>
        <w:tc>
          <w:tcPr>
            <w:tcW w:w="3118" w:type="dxa"/>
          </w:tcPr>
          <w:p w14:paraId="2A29A7FD" w14:textId="2B68A54E" w:rsidR="004F3309" w:rsidRPr="009D0A4A" w:rsidRDefault="004F3309" w:rsidP="004F3309">
            <w:r w:rsidRPr="009D0A4A">
              <w:t>Managing RCS dust exposure in the stone benchtop industry Code of Practice commenced on 31 October 2019</w:t>
            </w:r>
            <w:r w:rsidR="00BB5F3A" w:rsidRPr="009D0A4A">
              <w:t xml:space="preserve"> </w:t>
            </w:r>
            <w:r w:rsidR="00BB5F3A" w:rsidRPr="009D0A4A">
              <w:rPr>
                <w:rFonts w:ascii="Calibri" w:hAnsi="Calibri" w:cs="Calibri"/>
              </w:rPr>
              <w:t>(Workplace Health and Safety Queensland 2019)</w:t>
            </w:r>
            <w:r w:rsidRPr="009D0A4A">
              <w:t>.</w:t>
            </w:r>
          </w:p>
        </w:tc>
      </w:tr>
      <w:tr w:rsidR="004F3309" w:rsidRPr="009D0A4A" w14:paraId="146AB326" w14:textId="77777777" w:rsidTr="000823EF">
        <w:trPr>
          <w:cnfStyle w:val="000000100000" w:firstRow="0" w:lastRow="0" w:firstColumn="0" w:lastColumn="0" w:oddVBand="0" w:evenVBand="0" w:oddHBand="1" w:evenHBand="0" w:firstRowFirstColumn="0" w:firstRowLastColumn="0" w:lastRowFirstColumn="0" w:lastRowLastColumn="0"/>
          <w:trHeight w:val="816"/>
        </w:trPr>
        <w:tc>
          <w:tcPr>
            <w:tcW w:w="1276" w:type="dxa"/>
          </w:tcPr>
          <w:p w14:paraId="75E27794" w14:textId="77777777" w:rsidR="004F3309" w:rsidRPr="009D0A4A" w:rsidRDefault="004F3309" w:rsidP="004F3309">
            <w:r w:rsidRPr="009D0A4A">
              <w:t>SA</w:t>
            </w:r>
          </w:p>
        </w:tc>
        <w:tc>
          <w:tcPr>
            <w:tcW w:w="2835" w:type="dxa"/>
          </w:tcPr>
          <w:p w14:paraId="0C126945" w14:textId="2877D7BE" w:rsidR="004F3309" w:rsidRPr="009D0A4A" w:rsidRDefault="004F3309" w:rsidP="004F3309"/>
        </w:tc>
        <w:tc>
          <w:tcPr>
            <w:tcW w:w="2977" w:type="dxa"/>
          </w:tcPr>
          <w:p w14:paraId="395D4353" w14:textId="3CE102DC" w:rsidR="004F3309" w:rsidRPr="009D0A4A" w:rsidRDefault="004F3309" w:rsidP="004F3309">
            <w:r w:rsidRPr="009D0A4A">
              <w:t>Wellbeing SA conducted a baseline finding screening program</w:t>
            </w:r>
            <w:r w:rsidR="00BB5F3A" w:rsidRPr="009D0A4A">
              <w:t xml:space="preserve"> </w:t>
            </w:r>
            <w:r w:rsidR="00BB5F3A" w:rsidRPr="009D0A4A">
              <w:fldChar w:fldCharType="begin"/>
            </w:r>
            <w:r w:rsidR="004067E3">
              <w:instrText xml:space="preserve"> ADDIN ZOTERO_ITEM CSL_CITATION {"citationID":"5GJfqozI","properties":{"formattedCitation":"(Wellbeing SA 2020)","plainCitation":"(Wellbeing SA 2020)","noteIndex":0},"citationItems":[{"id":870,"uris":["http://zotero.org/users/6230888/items/QSF8UJ79"],"itemData":{"id":870,"type":"report","page":"40","title":"Silicosis Health Screening Program Baseline findings – September 2020","URL":"https://www.safework.sa.gov.au/workplaces/chemicals-substances-and-explosives/documents/Silicosis-Health-Screening-Program-Baseline-Findings.pdf","author":[{"literal":"Wellbeing SA"}],"accessed":{"date-parts":[["2022",6,30]]},"issued":{"date-parts":[["2020"]]}}}],"schema":"https://github.com/citation-style-language/schema/raw/master/csl-citation.json"} </w:instrText>
            </w:r>
            <w:r w:rsidR="00BB5F3A" w:rsidRPr="009D0A4A">
              <w:fldChar w:fldCharType="separate"/>
            </w:r>
            <w:r w:rsidR="00BB5F3A" w:rsidRPr="009D0A4A">
              <w:rPr>
                <w:rFonts w:ascii="Calibri" w:hAnsi="Calibri" w:cs="Calibri"/>
              </w:rPr>
              <w:t>(Wellbeing SA 2020)</w:t>
            </w:r>
            <w:r w:rsidR="00BB5F3A" w:rsidRPr="009D0A4A">
              <w:fldChar w:fldCharType="end"/>
            </w:r>
            <w:r w:rsidRPr="009D0A4A">
              <w:t xml:space="preserve">. </w:t>
            </w:r>
          </w:p>
        </w:tc>
        <w:tc>
          <w:tcPr>
            <w:tcW w:w="3118" w:type="dxa"/>
          </w:tcPr>
          <w:p w14:paraId="49EC9707" w14:textId="5977FE50" w:rsidR="004F3309" w:rsidRPr="009D0A4A" w:rsidRDefault="004F3309" w:rsidP="004F3309">
            <w:r w:rsidRPr="009D0A4A">
              <w:t>Silicosis database and compliance program from 2019 to 2021</w:t>
            </w:r>
            <w:r w:rsidR="00BB5F3A" w:rsidRPr="009D0A4A">
              <w:t xml:space="preserve"> </w:t>
            </w:r>
            <w:r w:rsidR="000D181A" w:rsidRPr="009D0A4A">
              <w:fldChar w:fldCharType="begin"/>
            </w:r>
            <w:r w:rsidR="004067E3">
              <w:instrText xml:space="preserve"> ADDIN ZOTERO_ITEM CSL_CITATION {"citationID":"jruxQRoj","properties":{"formattedCitation":"(SafeWork SA 2019, SafeWork SA 2021)","plainCitation":"(SafeWork SA 2019, SafeWork SA 2021)","noteIndex":0},"citationItems":[{"id":884,"uris":["http://zotero.org/users/6230888/items/XAX8CMBR"],"itemData":{"id":884,"type":"report","page":"15","title":"Respirable Crystalline Silica Compliance Program - 2019 Audit Report","URL":"https://www.safework.sa.gov.au/__data/assets/pdf_file/0010/187624/rcs_compliance_audit_report_2019.pdf","author":[{"literal":"SafeWork SA"}],"accessed":{"date-parts":[["2022",6,30]]},"issued":{"date-parts":[["2019"]]}}},{"id":879,"uris":["http://zotero.org/users/6230888/items/DKBHJC4X"],"itemData":{"id":879,"type":"report","page":"18","title":"Respirable Crystalline Silica Campaign Report 2020-21","URL":"https://www.safework.sa.gov.au/__data/assets/pdf_file/0006/469833/Respirable-Crystalline-Silica-Campaign-Report-2020-21.pdf","author":[{"literal":"SafeWork SA"}],"accessed":{"date-parts":[["2022",6,30]]},"issued":{"date-parts":[["2021"]]}}}],"schema":"https://github.com/citation-style-language/schema/raw/master/csl-citation.json"} </w:instrText>
            </w:r>
            <w:r w:rsidR="000D181A" w:rsidRPr="009D0A4A">
              <w:fldChar w:fldCharType="separate"/>
            </w:r>
            <w:r w:rsidR="00262B8C" w:rsidRPr="009D0A4A">
              <w:rPr>
                <w:rFonts w:ascii="Calibri" w:hAnsi="Calibri" w:cs="Calibri"/>
              </w:rPr>
              <w:t>(SafeWork SA 2019, SafeWork SA 2021)</w:t>
            </w:r>
            <w:r w:rsidR="000D181A" w:rsidRPr="009D0A4A">
              <w:fldChar w:fldCharType="end"/>
            </w:r>
            <w:r w:rsidRPr="009D0A4A">
              <w:t xml:space="preserve">. </w:t>
            </w:r>
          </w:p>
        </w:tc>
      </w:tr>
      <w:tr w:rsidR="004F3309" w:rsidRPr="009D0A4A" w14:paraId="40EB4C82" w14:textId="77777777" w:rsidTr="000823EF">
        <w:trPr>
          <w:cnfStyle w:val="000000010000" w:firstRow="0" w:lastRow="0" w:firstColumn="0" w:lastColumn="0" w:oddVBand="0" w:evenVBand="0" w:oddHBand="0" w:evenHBand="1" w:firstRowFirstColumn="0" w:firstRowLastColumn="0" w:lastRowFirstColumn="0" w:lastRowLastColumn="0"/>
          <w:trHeight w:val="563"/>
        </w:trPr>
        <w:tc>
          <w:tcPr>
            <w:tcW w:w="1276" w:type="dxa"/>
          </w:tcPr>
          <w:p w14:paraId="5C6776D8" w14:textId="77777777" w:rsidR="004F3309" w:rsidRPr="009D0A4A" w:rsidRDefault="004F3309" w:rsidP="004F3309">
            <w:r w:rsidRPr="009D0A4A">
              <w:t>TAS</w:t>
            </w:r>
          </w:p>
        </w:tc>
        <w:tc>
          <w:tcPr>
            <w:tcW w:w="2835" w:type="dxa"/>
          </w:tcPr>
          <w:p w14:paraId="08472599" w14:textId="4B471310" w:rsidR="004F3309" w:rsidRPr="009D0A4A" w:rsidRDefault="004F3309" w:rsidP="004F3309">
            <w:r w:rsidRPr="009D0A4A">
              <w:t xml:space="preserve">A media campaign ran by WorkSafe Tasmania between November 2019 and January 2020 targeting tradespeople and others with the tagline: ‘don’t breathe dust’ and </w:t>
            </w:r>
            <w:r w:rsidRPr="009D0A4A">
              <w:lastRenderedPageBreak/>
              <w:t>‘be silica safe</w:t>
            </w:r>
            <w:r w:rsidR="008D0D91" w:rsidRPr="009D0A4A">
              <w:t xml:space="preserve">’ </w:t>
            </w:r>
            <w:r w:rsidR="008D0D91" w:rsidRPr="009D0A4A">
              <w:fldChar w:fldCharType="begin"/>
            </w:r>
            <w:r w:rsidR="004067E3">
              <w:instrText xml:space="preserve"> ADDIN ZOTERO_ITEM CSL_CITATION {"citationID":"xxLN77UU","properties":{"formattedCitation":"(WorkSafe Tasmania 2019)","plainCitation":"(WorkSafe Tasmania 2019)","noteIndex":0},"citationItems":[{"id":930,"uris":["http://zotero.org/users/6230888/items/WFYPX5L7"],"itemData":{"id":930,"type":"report","event-place":"10","publisher-place":"10","title":"Silica Dust Awareness Campaign 2019","URL":"https://worksafe.tas.gov.au/__data/assets/pdf_file/0007/548971/Silica-Dust-Awareness-Campaign-Kit.pdf","author":[{"literal":"WorkSafe Tasmania"}],"accessed":{"date-parts":[["2022",6,30]]},"issued":{"date-parts":[["2019"]]}}}],"schema":"https://github.com/citation-style-language/schema/raw/master/csl-citation.json"} </w:instrText>
            </w:r>
            <w:r w:rsidR="008D0D91" w:rsidRPr="009D0A4A">
              <w:fldChar w:fldCharType="separate"/>
            </w:r>
            <w:r w:rsidR="008D0D91" w:rsidRPr="009D0A4A">
              <w:rPr>
                <w:rFonts w:ascii="Calibri" w:hAnsi="Calibri" w:cs="Calibri"/>
              </w:rPr>
              <w:t>(WorkSafe Tasmania 2019)</w:t>
            </w:r>
            <w:r w:rsidR="008D0D91" w:rsidRPr="009D0A4A">
              <w:fldChar w:fldCharType="end"/>
            </w:r>
            <w:r w:rsidRPr="009D0A4A">
              <w:t>.</w:t>
            </w:r>
          </w:p>
        </w:tc>
        <w:tc>
          <w:tcPr>
            <w:tcW w:w="2977" w:type="dxa"/>
          </w:tcPr>
          <w:p w14:paraId="2C7A0BFD" w14:textId="494BE81C" w:rsidR="004F3309" w:rsidRPr="009D0A4A" w:rsidRDefault="004F3309" w:rsidP="004F3309"/>
        </w:tc>
        <w:tc>
          <w:tcPr>
            <w:tcW w:w="3118" w:type="dxa"/>
          </w:tcPr>
          <w:p w14:paraId="612AC598" w14:textId="0DD09092" w:rsidR="004F3309" w:rsidRPr="009D0A4A" w:rsidRDefault="000D181A" w:rsidP="004F3309">
            <w:pPr>
              <w:rPr>
                <w:rFonts w:cstheme="minorHAnsi"/>
              </w:rPr>
            </w:pPr>
            <w:r w:rsidRPr="009D0A4A">
              <w:t xml:space="preserve">Implemented the </w:t>
            </w:r>
            <w:r w:rsidRPr="009D0A4A">
              <w:rPr>
                <w:rFonts w:cstheme="minorHAnsi"/>
              </w:rPr>
              <w:t xml:space="preserve">model Code of Practice: Managing the risks of RCS from engineered stone in the workplace </w:t>
            </w:r>
            <w:r w:rsidR="008D0D91" w:rsidRPr="009D0A4A">
              <w:fldChar w:fldCharType="begin"/>
            </w:r>
            <w:r w:rsidR="004067E3">
              <w:instrText xml:space="preserve"> ADDIN ZOTERO_ITEM CSL_CITATION {"citationID":"RhhwerJg","properties":{"formattedCitation":"(WorkSafe Tasmania 2022)","plainCitation":"(WorkSafe Tasmania 2022)","noteIndex":0},"citationItems":[{"id":931,"uris":["http://zotero.org/users/6230888/items/6HS98EWH"],"itemData":{"id":931,"type":"webpage","abstract":"Provides practical guidance on how to manage the health and safety risks associated with respirable crystalline silica from engineered stone","language":"en","note":"publisher: Department of Justice","title":"Managing the risks of respirable crystalline silica from engineered stone in the workplace","URL":"https://worksafe.tas.gov.au/topics/laws-and-compliance/codes-of-practice/cop-folder/managing-the-risks-of-respirable-crystalline-silica-from-engineered-stone-in-the-workplace","author":[{"literal":"WorkSafe Tasmania"}],"accessed":{"date-parts":[["2022",6,30]]},"issued":{"date-parts":[["2022"]]}}}],"schema":"https://github.com/citation-style-language/schema/raw/master/csl-citation.json"} </w:instrText>
            </w:r>
            <w:r w:rsidR="008D0D91" w:rsidRPr="009D0A4A">
              <w:fldChar w:fldCharType="separate"/>
            </w:r>
            <w:r w:rsidR="008D0D91" w:rsidRPr="009D0A4A">
              <w:rPr>
                <w:rFonts w:ascii="Calibri" w:hAnsi="Calibri" w:cs="Calibri"/>
              </w:rPr>
              <w:t>(WorkSafe Tasmania 2022)</w:t>
            </w:r>
            <w:r w:rsidR="008D0D91" w:rsidRPr="009D0A4A">
              <w:fldChar w:fldCharType="end"/>
            </w:r>
            <w:r w:rsidR="008D0D91" w:rsidRPr="009D0A4A">
              <w:t>.</w:t>
            </w:r>
          </w:p>
        </w:tc>
      </w:tr>
      <w:tr w:rsidR="004F3309" w:rsidRPr="009D0A4A" w14:paraId="30CB5B7E" w14:textId="77777777" w:rsidTr="000823EF">
        <w:trPr>
          <w:cnfStyle w:val="000000100000" w:firstRow="0" w:lastRow="0" w:firstColumn="0" w:lastColumn="0" w:oddVBand="0" w:evenVBand="0" w:oddHBand="1" w:evenHBand="0" w:firstRowFirstColumn="0" w:firstRowLastColumn="0" w:lastRowFirstColumn="0" w:lastRowLastColumn="0"/>
          <w:trHeight w:val="1750"/>
        </w:trPr>
        <w:tc>
          <w:tcPr>
            <w:tcW w:w="1276" w:type="dxa"/>
          </w:tcPr>
          <w:p w14:paraId="1DE2ED79" w14:textId="77777777" w:rsidR="004F3309" w:rsidRPr="009D0A4A" w:rsidRDefault="004F3309" w:rsidP="004F3309">
            <w:r w:rsidRPr="009D0A4A">
              <w:t>WA</w:t>
            </w:r>
          </w:p>
        </w:tc>
        <w:tc>
          <w:tcPr>
            <w:tcW w:w="2835" w:type="dxa"/>
          </w:tcPr>
          <w:p w14:paraId="25BCF10F" w14:textId="508E82B4" w:rsidR="004F3309" w:rsidRPr="009D0A4A" w:rsidRDefault="004F3309" w:rsidP="004F3309">
            <w:r w:rsidRPr="009D0A4A">
              <w:t xml:space="preserve">WorkSafe </w:t>
            </w:r>
            <w:r w:rsidR="00FC4908" w:rsidRPr="009D0A4A">
              <w:t>Western Australia</w:t>
            </w:r>
            <w:r w:rsidRPr="009D0A4A">
              <w:t xml:space="preserve"> issued a safety alert in November 2018 for stone benchtop workers at risk of silicosis</w:t>
            </w:r>
            <w:r w:rsidR="000D181A" w:rsidRPr="009D0A4A">
              <w:t xml:space="preserve"> </w:t>
            </w:r>
            <w:r w:rsidR="004067E3">
              <w:fldChar w:fldCharType="begin"/>
            </w:r>
            <w:r w:rsidR="004067E3">
              <w:instrText xml:space="preserve"> ADDIN ZOTERO_ITEM CSL_CITATION {"citationID":"pLbxNn9g","properties":{"formattedCitation":"(WorkSafe Western Australia 2018)","plainCitation":"(WorkSafe Western Australia 2018)","noteIndex":0},"citationItems":[{"id":939,"uris":["http://zotero.org/users/6230888/items/PJY4XCSL"],"itemData":{"id":939,"type":"report","page":"4","title":"Safety alert 11/2018 - Stone benchtop workers at risk of silicosis","URL":"https://www.commerce.wa.gov.au/publications/safety-alert-112018-stone-benchtop-workers-risk-silicosis","author":[{"literal":"WorkSafe Western Australia"}],"accessed":{"date-parts":[["2022",6,28]]},"issued":{"date-parts":[["2018"]]}}}],"schema":"https://github.com/citation-style-language/schema/raw/master/csl-citation.json"} </w:instrText>
            </w:r>
            <w:r w:rsidR="004067E3">
              <w:fldChar w:fldCharType="separate"/>
            </w:r>
            <w:r w:rsidR="004067E3" w:rsidRPr="004067E3">
              <w:rPr>
                <w:rFonts w:ascii="Calibri" w:hAnsi="Calibri" w:cs="Calibri"/>
              </w:rPr>
              <w:t>(WorkSafe Western Australia 2018)</w:t>
            </w:r>
            <w:r w:rsidR="004067E3">
              <w:fldChar w:fldCharType="end"/>
            </w:r>
            <w:r w:rsidRPr="009D0A4A">
              <w:t xml:space="preserve">. </w:t>
            </w:r>
          </w:p>
          <w:p w14:paraId="5C788578" w14:textId="5AFCD2C2" w:rsidR="004F3309" w:rsidRPr="009D0A4A" w:rsidRDefault="004F3309" w:rsidP="004F3309">
            <w:r w:rsidRPr="009D0A4A">
              <w:t xml:space="preserve">Guidance note developed for those working with stone </w:t>
            </w:r>
            <w:r w:rsidR="00FC4908" w:rsidRPr="009D0A4A">
              <w:fldChar w:fldCharType="begin"/>
            </w:r>
            <w:r w:rsidR="004067E3">
              <w:instrText xml:space="preserve"> ADDIN ZOTERO_ITEM CSL_CITATION {"citationID":"jbEFprJv","properties":{"formattedCitation":"(WorkSafe Western Australia 2021)","plainCitation":"(WorkSafe Western Australia 2021)","noteIndex":0},"citationItems":[{"id":871,"uris":["http://zotero.org/users/6230888/items/TA8RQVKK"],"itemData":{"id":871,"type":"report","abstract":"Between July 2018 and May 2021, WorkSafe WA undertook a proactive compliance project into engineered stone benchtop fabrication and installation to investigate respirable crystalline silica (RCS) e","language":"en","page":"8","title":"WorkSafe Western Australia silica compliance project - report","URL":"https://www.commerce.wa.gov.au/sites/default/files/atoms/files/silica_compliance_report.pdf","author":[{"literal":"WorkSafe Western Australia"}],"accessed":{"date-parts":[["2022",6,30]]},"issued":{"date-parts":[["2021",7,14]]}}}],"schema":"https://github.com/citation-style-language/schema/raw/master/csl-citation.json"} </w:instrText>
            </w:r>
            <w:r w:rsidR="00FC4908" w:rsidRPr="009D0A4A">
              <w:fldChar w:fldCharType="separate"/>
            </w:r>
            <w:r w:rsidR="00FC4908" w:rsidRPr="009D0A4A">
              <w:t>(WorkSafe Western Australia 2021)</w:t>
            </w:r>
            <w:r w:rsidR="00FC4908" w:rsidRPr="009D0A4A">
              <w:fldChar w:fldCharType="end"/>
            </w:r>
            <w:r w:rsidR="00FC4908" w:rsidRPr="009D0A4A">
              <w:t>.</w:t>
            </w:r>
          </w:p>
        </w:tc>
        <w:tc>
          <w:tcPr>
            <w:tcW w:w="2977" w:type="dxa"/>
          </w:tcPr>
          <w:p w14:paraId="16A52F34" w14:textId="08F9812D" w:rsidR="004F3309" w:rsidRPr="009D0A4A" w:rsidRDefault="004F3309" w:rsidP="004F3309">
            <w:r w:rsidRPr="009D0A4A">
              <w:t>Between July 2018 and May 2021, workers participated in the WorkSafe Health Surveillance Recall Project or the WA Silicosis Screening Project</w:t>
            </w:r>
            <w:r w:rsidR="008D0D91" w:rsidRPr="009D0A4A">
              <w:t xml:space="preserve"> </w:t>
            </w:r>
            <w:r w:rsidR="008D0D91" w:rsidRPr="009D0A4A">
              <w:fldChar w:fldCharType="begin"/>
            </w:r>
            <w:r w:rsidR="004067E3">
              <w:instrText xml:space="preserve"> ADDIN ZOTERO_ITEM CSL_CITATION {"citationID":"22kt1JRr","properties":{"formattedCitation":"(WorkSafe Western Australia 2021)","plainCitation":"(WorkSafe Western Australia 2021)","noteIndex":0},"citationItems":[{"id":871,"uris":["http://zotero.org/users/6230888/items/TA8RQVKK"],"itemData":{"id":871,"type":"report","abstract":"Between July 2018 and May 2021, WorkSafe WA undertook a proactive compliance project into engineered stone benchtop fabrication and installation to investigate respirable crystalline silica (RCS) e","language":"en","page":"8","title":"WorkSafe Western Australia silica compliance project - report","URL":"https://www.commerce.wa.gov.au/sites/default/files/atoms/files/silica_compliance_report.pdf","author":[{"literal":"WorkSafe Western Australia"}],"accessed":{"date-parts":[["2022",6,30]]},"issued":{"date-parts":[["2021",7,14]]}}}],"schema":"https://github.com/citation-style-language/schema/raw/master/csl-citation.json"} </w:instrText>
            </w:r>
            <w:r w:rsidR="008D0D91" w:rsidRPr="009D0A4A">
              <w:fldChar w:fldCharType="separate"/>
            </w:r>
            <w:r w:rsidR="008D0D91" w:rsidRPr="009D0A4A">
              <w:rPr>
                <w:rFonts w:ascii="Calibri" w:hAnsi="Calibri" w:cs="Calibri"/>
              </w:rPr>
              <w:t>(WorkSafe Western Australia 2021)</w:t>
            </w:r>
            <w:r w:rsidR="008D0D91" w:rsidRPr="009D0A4A">
              <w:fldChar w:fldCharType="end"/>
            </w:r>
            <w:r w:rsidRPr="009D0A4A">
              <w:t>.</w:t>
            </w:r>
          </w:p>
          <w:p w14:paraId="5A1092DD" w14:textId="1927FDAE" w:rsidR="004F3309" w:rsidRPr="009D0A4A" w:rsidRDefault="004F3309" w:rsidP="004F3309">
            <w:r w:rsidRPr="009D0A4A">
              <w:t>In January 2021, amended the OHS regulations to require employers to provide a low-dose HRCT scan instead of previously required chest X-ray</w:t>
            </w:r>
            <w:r w:rsidR="005B62D3" w:rsidRPr="009D0A4A">
              <w:t xml:space="preserve"> </w:t>
            </w:r>
            <w:r w:rsidR="005B62D3" w:rsidRPr="009D0A4A">
              <w:fldChar w:fldCharType="begin"/>
            </w:r>
            <w:r w:rsidR="004067E3">
              <w:instrText xml:space="preserve"> ADDIN ZOTERO_ITEM CSL_CITATION {"citationID":"wk8tjjh1","properties":{"formattedCitation":"(Government of Western Australia 2021)","plainCitation":"(Government of Western Australia 2021)","noteIndex":0},"citationItems":[{"id":833,"uris":["http://zotero.org/users/6230888/items/SBVRFUDL"],"itemData":{"id":833,"type":"webpage","container-title":"Health surveillance requirements for silica strengthened","title":"Media Statements - Health surveillance requirements for silica strengthened","URL":"https://www.mediastatements.wa.gov.au/Pages/McGowan/2021/01/Health-surveillance-requirements-for-silica-strengthened.aspx","author":[{"literal":"Government of Western Australia"}],"accessed":{"date-parts":[["2022",6,30]]},"issued":{"date-parts":[["2021"]]}}}],"schema":"https://github.com/citation-style-language/schema/raw/master/csl-citation.json"} </w:instrText>
            </w:r>
            <w:r w:rsidR="005B62D3" w:rsidRPr="009D0A4A">
              <w:fldChar w:fldCharType="separate"/>
            </w:r>
            <w:r w:rsidR="006B4A7D" w:rsidRPr="009D0A4A">
              <w:rPr>
                <w:rFonts w:ascii="Calibri" w:hAnsi="Calibri" w:cs="Calibri"/>
              </w:rPr>
              <w:t>(Government of Western Australia 2021)</w:t>
            </w:r>
            <w:r w:rsidR="005B62D3" w:rsidRPr="009D0A4A">
              <w:fldChar w:fldCharType="end"/>
            </w:r>
          </w:p>
        </w:tc>
        <w:tc>
          <w:tcPr>
            <w:tcW w:w="3118" w:type="dxa"/>
          </w:tcPr>
          <w:p w14:paraId="48DF123C" w14:textId="09A33ED2" w:rsidR="004F3309" w:rsidRPr="009D0A4A" w:rsidRDefault="004F3309" w:rsidP="004F3309"/>
        </w:tc>
      </w:tr>
    </w:tbl>
    <w:p w14:paraId="402D27FC" w14:textId="505D43B1" w:rsidR="008A1D1F" w:rsidRPr="009D0A4A" w:rsidRDefault="00B61508" w:rsidP="003801F8">
      <w:pPr>
        <w:pStyle w:val="Heading2"/>
      </w:pPr>
      <w:bookmarkStart w:id="19" w:name="_Toc107395302"/>
      <w:r w:rsidRPr="009D0A4A">
        <w:t xml:space="preserve">Other complementary </w:t>
      </w:r>
      <w:r w:rsidR="005654F1" w:rsidRPr="009D0A4A">
        <w:t xml:space="preserve">policy </w:t>
      </w:r>
      <w:r w:rsidR="008A1D1F" w:rsidRPr="009D0A4A">
        <w:t>initiatives</w:t>
      </w:r>
      <w:bookmarkEnd w:id="19"/>
    </w:p>
    <w:p w14:paraId="1F63B26F" w14:textId="26415D0F" w:rsidR="008A1D1F" w:rsidRPr="009D0A4A" w:rsidRDefault="008A1D1F" w:rsidP="00244966">
      <w:pPr>
        <w:pStyle w:val="BodyText"/>
      </w:pPr>
      <w:r w:rsidRPr="009D0A4A">
        <w:t xml:space="preserve">Several regulatory and non-regulatory initiatives are being progressed in parallel with this </w:t>
      </w:r>
      <w:r w:rsidR="00CE6EC6" w:rsidRPr="009D0A4A">
        <w:t xml:space="preserve">RIS </w:t>
      </w:r>
      <w:r w:rsidRPr="009D0A4A">
        <w:t>process</w:t>
      </w:r>
      <w:r w:rsidR="00244966" w:rsidRPr="009D0A4A">
        <w:t xml:space="preserve"> at the </w:t>
      </w:r>
      <w:r w:rsidR="00E752D5" w:rsidRPr="009D0A4A">
        <w:t>national</w:t>
      </w:r>
      <w:r w:rsidR="00244966" w:rsidRPr="009D0A4A">
        <w:t xml:space="preserve"> level</w:t>
      </w:r>
      <w:r w:rsidRPr="009D0A4A">
        <w:t xml:space="preserve">, which </w:t>
      </w:r>
      <w:r w:rsidR="00CE6EC6" w:rsidRPr="009D0A4A">
        <w:t>are intended to reduce</w:t>
      </w:r>
      <w:r w:rsidRPr="009D0A4A">
        <w:t xml:space="preserve"> the risks associated with RCS exposures at the workplace</w:t>
      </w:r>
      <w:r w:rsidR="00BE02B3" w:rsidRPr="009D0A4A">
        <w:t xml:space="preserve">. These </w:t>
      </w:r>
      <w:r w:rsidR="00244966" w:rsidRPr="009D0A4A">
        <w:t xml:space="preserve">include </w:t>
      </w:r>
      <w:r w:rsidR="00E6161D" w:rsidRPr="009D0A4A">
        <w:t xml:space="preserve">Commonwealth </w:t>
      </w:r>
      <w:r w:rsidR="0097054F" w:rsidRPr="009D0A4A">
        <w:t xml:space="preserve">initiatives in the </w:t>
      </w:r>
      <w:r w:rsidR="00244966" w:rsidRPr="009D0A4A">
        <w:t>All of Australian Governments</w:t>
      </w:r>
      <w:r w:rsidR="004E3629" w:rsidRPr="009D0A4A">
        <w:t>’</w:t>
      </w:r>
      <w:r w:rsidR="00244966" w:rsidRPr="009D0A4A">
        <w:t xml:space="preserve"> Response to the National Dust Disease Taskforce Report and development of a </w:t>
      </w:r>
      <w:r w:rsidR="00745E60" w:rsidRPr="009D0A4A">
        <w:t xml:space="preserve">nationally recognised </w:t>
      </w:r>
      <w:r w:rsidR="00244966" w:rsidRPr="009D0A4A">
        <w:t xml:space="preserve">silica safety training package. These </w:t>
      </w:r>
      <w:r w:rsidR="00BE02B3" w:rsidRPr="009D0A4A">
        <w:t>are summarised in Appendix B.</w:t>
      </w:r>
      <w:r w:rsidRPr="009D0A4A">
        <w:t xml:space="preserve"> </w:t>
      </w:r>
    </w:p>
    <w:p w14:paraId="6C56218A" w14:textId="5E4F4057" w:rsidR="6E04D04A" w:rsidRPr="009D0A4A" w:rsidRDefault="6E04D04A" w:rsidP="003801F8">
      <w:pPr>
        <w:pStyle w:val="Heading2"/>
      </w:pPr>
      <w:bookmarkStart w:id="20" w:name="_Toc107395303"/>
      <w:r w:rsidRPr="009D0A4A">
        <w:t>Purpose</w:t>
      </w:r>
      <w:r w:rsidR="008258DC" w:rsidRPr="009D0A4A">
        <w:t xml:space="preserve"> </w:t>
      </w:r>
      <w:r w:rsidR="007502F0" w:rsidRPr="009D0A4A">
        <w:t xml:space="preserve">and scope </w:t>
      </w:r>
      <w:r w:rsidR="008A1D1F" w:rsidRPr="009D0A4A">
        <w:t>of this consultation RIS</w:t>
      </w:r>
      <w:bookmarkEnd w:id="20"/>
    </w:p>
    <w:p w14:paraId="31E03DC0" w14:textId="10A28E8B" w:rsidR="00A7374C" w:rsidRPr="009D0A4A" w:rsidRDefault="0027349B" w:rsidP="00FA48E5">
      <w:pPr>
        <w:jc w:val="both"/>
      </w:pPr>
      <w:r w:rsidRPr="009D0A4A">
        <w:t>The purpose of this</w:t>
      </w:r>
      <w:r w:rsidR="00A7374C" w:rsidRPr="009D0A4A">
        <w:t xml:space="preserve"> consultation </w:t>
      </w:r>
      <w:r w:rsidR="00880680" w:rsidRPr="009D0A4A">
        <w:t>RIS</w:t>
      </w:r>
      <w:r w:rsidR="009554F0" w:rsidRPr="009D0A4A">
        <w:t xml:space="preserve"> (CRIS) </w:t>
      </w:r>
      <w:r w:rsidRPr="009D0A4A">
        <w:t xml:space="preserve">is to seek stakeholder feedback on </w:t>
      </w:r>
      <w:r w:rsidR="00A7374C" w:rsidRPr="009D0A4A">
        <w:t xml:space="preserve">non-regulatory and regulatory options for managing the risks of </w:t>
      </w:r>
      <w:r w:rsidR="004C3746" w:rsidRPr="009D0A4A">
        <w:t>RCS</w:t>
      </w:r>
      <w:r w:rsidR="0022698B" w:rsidRPr="009D0A4A">
        <w:t xml:space="preserve"> </w:t>
      </w:r>
      <w:r w:rsidR="00E752D5" w:rsidRPr="009D0A4A">
        <w:t>at work</w:t>
      </w:r>
      <w:r w:rsidR="00A7374C" w:rsidRPr="009D0A4A">
        <w:t>.</w:t>
      </w:r>
    </w:p>
    <w:p w14:paraId="5996E6A4" w14:textId="77E9C969" w:rsidR="008739C4" w:rsidRPr="009D0A4A" w:rsidRDefault="00E95290" w:rsidP="00FA48E5">
      <w:pPr>
        <w:pStyle w:val="CommentText"/>
        <w:jc w:val="both"/>
      </w:pPr>
      <w:r w:rsidRPr="009D0A4A">
        <w:t xml:space="preserve">As explained in Section </w:t>
      </w:r>
      <w:r w:rsidR="00A16E14" w:rsidRPr="009D0A4A">
        <w:t>2.</w:t>
      </w:r>
      <w:r w:rsidR="00BC307D" w:rsidRPr="009D0A4A">
        <w:t>2</w:t>
      </w:r>
      <w:r w:rsidR="00A16E14" w:rsidRPr="009D0A4A">
        <w:t>.</w:t>
      </w:r>
      <w:r w:rsidR="00BC307D" w:rsidRPr="009D0A4A">
        <w:t>2</w:t>
      </w:r>
      <w:r w:rsidRPr="009D0A4A">
        <w:t xml:space="preserve">, </w:t>
      </w:r>
      <w:r w:rsidR="00522F68" w:rsidRPr="009D0A4A">
        <w:t>w</w:t>
      </w:r>
      <w:r w:rsidRPr="009D0A4A">
        <w:t xml:space="preserve">orkplace exposure to RCS occurs in a wide range of industries. </w:t>
      </w:r>
      <w:r w:rsidR="004432B2" w:rsidRPr="009D0A4A">
        <w:t xml:space="preserve">The scope of this </w:t>
      </w:r>
      <w:r w:rsidR="009D40FF" w:rsidRPr="009D0A4A">
        <w:t xml:space="preserve">CRIS covers </w:t>
      </w:r>
      <w:r w:rsidR="006A1ED1" w:rsidRPr="009D0A4A">
        <w:t>all workplaces</w:t>
      </w:r>
      <w:r w:rsidR="00E752D5" w:rsidRPr="009D0A4A">
        <w:t xml:space="preserve"> during which workers</w:t>
      </w:r>
      <w:r w:rsidR="006F1E8E" w:rsidRPr="009D0A4A">
        <w:t xml:space="preserve"> may be exposed to hazardous levels of RCS </w:t>
      </w:r>
      <w:r w:rsidR="00693E45" w:rsidRPr="009D0A4A">
        <w:t xml:space="preserve">and </w:t>
      </w:r>
      <w:r w:rsidR="008739C4" w:rsidRPr="009D0A4A">
        <w:t xml:space="preserve">that are </w:t>
      </w:r>
      <w:r w:rsidR="006A1ED1" w:rsidRPr="009D0A4A">
        <w:t xml:space="preserve">subject to the model WHS laws. </w:t>
      </w:r>
    </w:p>
    <w:p w14:paraId="6CE7DBA9" w14:textId="3CCAE5EA" w:rsidR="00E44777" w:rsidRPr="009D0A4A" w:rsidRDefault="00D34F34" w:rsidP="00FA48E5">
      <w:pPr>
        <w:pStyle w:val="CommentText"/>
        <w:jc w:val="both"/>
      </w:pPr>
      <w:r w:rsidRPr="009D0A4A">
        <w:t>Victoria has not adop</w:t>
      </w:r>
      <w:r w:rsidR="0063053F" w:rsidRPr="009D0A4A">
        <w:t>t</w:t>
      </w:r>
      <w:r w:rsidRPr="009D0A4A">
        <w:t xml:space="preserve">ed the model WHS laws, and </w:t>
      </w:r>
      <w:r w:rsidR="000111E3" w:rsidRPr="009D0A4A">
        <w:t xml:space="preserve">therefore </w:t>
      </w:r>
      <w:r w:rsidRPr="009D0A4A">
        <w:t>w</w:t>
      </w:r>
      <w:r w:rsidR="004F4169" w:rsidRPr="009D0A4A">
        <w:t xml:space="preserve">orkplaces in Victoria are </w:t>
      </w:r>
      <w:r w:rsidRPr="009D0A4A">
        <w:t>out of</w:t>
      </w:r>
      <w:r w:rsidR="001C2A3C" w:rsidRPr="009D0A4A">
        <w:t xml:space="preserve"> </w:t>
      </w:r>
      <w:r w:rsidRPr="009D0A4A">
        <w:t xml:space="preserve">the </w:t>
      </w:r>
      <w:r w:rsidR="001C2A3C" w:rsidRPr="009D0A4A">
        <w:t xml:space="preserve">scope </w:t>
      </w:r>
      <w:r w:rsidRPr="009D0A4A">
        <w:t>of</w:t>
      </w:r>
      <w:r w:rsidR="00C25444" w:rsidRPr="009D0A4A">
        <w:t xml:space="preserve"> this CRIS</w:t>
      </w:r>
      <w:r w:rsidRPr="009D0A4A">
        <w:t xml:space="preserve">. </w:t>
      </w:r>
      <w:r w:rsidR="00E44777" w:rsidRPr="009D0A4A">
        <w:t xml:space="preserve">However, </w:t>
      </w:r>
      <w:r w:rsidR="006A5D0B" w:rsidRPr="009D0A4A">
        <w:t>recent</w:t>
      </w:r>
      <w:r w:rsidR="00E44777" w:rsidRPr="009D0A4A">
        <w:t xml:space="preserve"> amendments to the Victorian Occupational Health and Safety Regulations</w:t>
      </w:r>
      <w:r w:rsidR="006A5D0B" w:rsidRPr="009D0A4A">
        <w:t xml:space="preserve"> </w:t>
      </w:r>
      <w:r w:rsidR="008739C4" w:rsidRPr="009D0A4A">
        <w:t xml:space="preserve">2017 </w:t>
      </w:r>
      <w:r w:rsidR="006A5D0B" w:rsidRPr="009D0A4A">
        <w:t>have been considered in developing the proposed options</w:t>
      </w:r>
      <w:r w:rsidR="00FA48E5" w:rsidRPr="009D0A4A">
        <w:t xml:space="preserve">. The amendments include </w:t>
      </w:r>
      <w:r w:rsidR="006A5D0B" w:rsidRPr="009D0A4A">
        <w:t>the introduction of</w:t>
      </w:r>
      <w:r w:rsidR="00E44777" w:rsidRPr="009D0A4A">
        <w:t xml:space="preserve"> a licensing scheme for employers working with engineered stone, duties on </w:t>
      </w:r>
      <w:r w:rsidR="006A5D0B" w:rsidRPr="009D0A4A">
        <w:t xml:space="preserve">manufacturers and suppliers </w:t>
      </w:r>
      <w:r w:rsidR="00E44777" w:rsidRPr="009D0A4A">
        <w:t xml:space="preserve">of engineered stone, and </w:t>
      </w:r>
      <w:r w:rsidR="006A5D0B" w:rsidRPr="009D0A4A">
        <w:t xml:space="preserve">additional regulatory oversight of high risk crystalline silica work outside of engineered stone across </w:t>
      </w:r>
      <w:r w:rsidR="00FA48E5" w:rsidRPr="009D0A4A">
        <w:t>a broad range of</w:t>
      </w:r>
      <w:r w:rsidR="006A5D0B" w:rsidRPr="009D0A4A">
        <w:t xml:space="preserve"> industries</w:t>
      </w:r>
      <w:r w:rsidR="0039083F" w:rsidRPr="009D0A4A">
        <w:t xml:space="preserve"> </w:t>
      </w:r>
      <w:r w:rsidR="0039083F" w:rsidRPr="009D0A4A">
        <w:fldChar w:fldCharType="begin"/>
      </w:r>
      <w:r w:rsidR="004067E3">
        <w:instrText xml:space="preserve"> ADDIN ZOTERO_ITEM CSL_CITATION {"citationID":"3iK7yZfu","properties":{"formattedCitation":"(WorkSafe Victoria 2021)","plainCitation":"(WorkSafe Victoria 2021)","noteIndex":0},"citationItems":[{"id":835,"uris":["http://zotero.org/users/6230888/items/H4E4TH5E"],"itemData":{"id":835,"type":"webpage","title":"Changes to protect Victorians working with crystalline silica","URL":"https://www.worksafe.vic.gov.au/changes-protect-victorians-working-crystalline-silica","author":[{"literal":"WorkSafe Victoria"}],"accessed":{"date-parts":[["2022",6,24]]},"issued":{"date-parts":[["2021"]]}}}],"schema":"https://github.com/citation-style-language/schema/raw/master/csl-citation.json"} </w:instrText>
      </w:r>
      <w:r w:rsidR="0039083F" w:rsidRPr="009D0A4A">
        <w:fldChar w:fldCharType="separate"/>
      </w:r>
      <w:r w:rsidR="006B4A7D" w:rsidRPr="009D0A4A">
        <w:rPr>
          <w:rFonts w:ascii="Calibri" w:hAnsi="Calibri" w:cs="Calibri"/>
        </w:rPr>
        <w:t>(WorkSafe Victoria 2021)</w:t>
      </w:r>
      <w:r w:rsidR="0039083F" w:rsidRPr="009D0A4A">
        <w:fldChar w:fldCharType="end"/>
      </w:r>
      <w:r w:rsidR="006A5D0B" w:rsidRPr="009D0A4A">
        <w:t>.</w:t>
      </w:r>
    </w:p>
    <w:p w14:paraId="0C2FA077" w14:textId="4CAC8845" w:rsidR="00914114" w:rsidRPr="009D0A4A" w:rsidRDefault="006A5D0B" w:rsidP="00FA48E5">
      <w:pPr>
        <w:pStyle w:val="CommentText"/>
        <w:jc w:val="both"/>
      </w:pPr>
      <w:r w:rsidRPr="009D0A4A">
        <w:t>T</w:t>
      </w:r>
      <w:r w:rsidR="00C25444" w:rsidRPr="009D0A4A">
        <w:t xml:space="preserve">he </w:t>
      </w:r>
      <w:r w:rsidR="000111E3" w:rsidRPr="009D0A4A">
        <w:t xml:space="preserve">quarrying and </w:t>
      </w:r>
      <w:r w:rsidR="000D1201" w:rsidRPr="009D0A4A">
        <w:t xml:space="preserve">mining industries </w:t>
      </w:r>
      <w:r w:rsidR="00C25444" w:rsidRPr="009D0A4A">
        <w:t xml:space="preserve">in </w:t>
      </w:r>
      <w:r w:rsidR="00E707B3" w:rsidRPr="009D0A4A">
        <w:t xml:space="preserve">New South Wales, </w:t>
      </w:r>
      <w:r w:rsidR="00C66563" w:rsidRPr="009D0A4A">
        <w:t>Queensland</w:t>
      </w:r>
      <w:r w:rsidR="00916DE1" w:rsidRPr="009D0A4A">
        <w:t xml:space="preserve">, Tasmania </w:t>
      </w:r>
      <w:r w:rsidR="00B43AD6" w:rsidRPr="009D0A4A">
        <w:t>and</w:t>
      </w:r>
      <w:r w:rsidR="00C66563" w:rsidRPr="009D0A4A">
        <w:t xml:space="preserve"> Western Australia </w:t>
      </w:r>
      <w:r w:rsidR="00C25444" w:rsidRPr="009D0A4A">
        <w:t xml:space="preserve">are </w:t>
      </w:r>
      <w:r w:rsidR="00C355A4" w:rsidRPr="009D0A4A">
        <w:t xml:space="preserve">not regulated </w:t>
      </w:r>
      <w:r w:rsidR="00B22ED8" w:rsidRPr="009D0A4A">
        <w:t>under</w:t>
      </w:r>
      <w:r w:rsidR="00C355A4" w:rsidRPr="009D0A4A">
        <w:t xml:space="preserve"> the model WHS laws</w:t>
      </w:r>
      <w:r w:rsidR="00C66563" w:rsidRPr="009D0A4A">
        <w:t xml:space="preserve"> and are also out of scope</w:t>
      </w:r>
      <w:r w:rsidR="00C355A4" w:rsidRPr="009D0A4A">
        <w:t xml:space="preserve">. </w:t>
      </w:r>
      <w:r w:rsidR="00A16E14" w:rsidRPr="009D0A4A">
        <w:t>The Commonwealth does not regulate quarrying and mining</w:t>
      </w:r>
      <w:r w:rsidR="005B0AF3" w:rsidRPr="009D0A4A">
        <w:t xml:space="preserve">; </w:t>
      </w:r>
      <w:r w:rsidR="004E3629" w:rsidRPr="009D0A4A">
        <w:t>however,</w:t>
      </w:r>
      <w:r w:rsidR="005B0AF3" w:rsidRPr="009D0A4A">
        <w:t xml:space="preserve"> the Commonwealth regulator</w:t>
      </w:r>
      <w:r w:rsidR="005701B6" w:rsidRPr="009D0A4A">
        <w:t>,</w:t>
      </w:r>
      <w:r w:rsidR="005B0AF3" w:rsidRPr="009D0A4A">
        <w:t xml:space="preserve"> Comcare</w:t>
      </w:r>
      <w:r w:rsidR="005701B6" w:rsidRPr="009D0A4A">
        <w:t>,</w:t>
      </w:r>
      <w:r w:rsidR="005B0AF3" w:rsidRPr="009D0A4A">
        <w:t xml:space="preserve"> </w:t>
      </w:r>
      <w:r w:rsidR="00917163" w:rsidRPr="009D0A4A">
        <w:t>regulates self-insured</w:t>
      </w:r>
      <w:r w:rsidR="001819B8" w:rsidRPr="009D0A4A">
        <w:t xml:space="preserve"> licensees</w:t>
      </w:r>
      <w:r w:rsidR="0097054F" w:rsidRPr="009D0A4A">
        <w:t xml:space="preserve">, which includes </w:t>
      </w:r>
      <w:r w:rsidR="00D26D77" w:rsidRPr="009D0A4A">
        <w:t xml:space="preserve">businesses involved in </w:t>
      </w:r>
      <w:r w:rsidR="0097054F" w:rsidRPr="009D0A4A">
        <w:t xml:space="preserve">the </w:t>
      </w:r>
      <w:r w:rsidR="00D26D77" w:rsidRPr="009D0A4A">
        <w:t>tunnelling sector</w:t>
      </w:r>
      <w:r w:rsidR="00A16E14" w:rsidRPr="009D0A4A">
        <w:t>.</w:t>
      </w:r>
    </w:p>
    <w:p w14:paraId="0C46CDD6" w14:textId="73435071" w:rsidR="00A71E6D" w:rsidRPr="009D0A4A" w:rsidRDefault="00CC36B9" w:rsidP="003801F8">
      <w:pPr>
        <w:pStyle w:val="Heading2"/>
      </w:pPr>
      <w:bookmarkStart w:id="21" w:name="_Toc107395304"/>
      <w:r w:rsidRPr="009D0A4A">
        <w:t>Structure of this report</w:t>
      </w:r>
      <w:bookmarkEnd w:id="21"/>
    </w:p>
    <w:p w14:paraId="0F039150" w14:textId="767D8615" w:rsidR="00CC36B9" w:rsidRPr="009D0A4A" w:rsidRDefault="00F15F7A" w:rsidP="00FA48E5">
      <w:pPr>
        <w:pStyle w:val="CommentText"/>
        <w:jc w:val="both"/>
      </w:pPr>
      <w:r w:rsidRPr="009D0A4A">
        <w:t xml:space="preserve">This CRIS was prepared </w:t>
      </w:r>
      <w:r w:rsidR="006B652E" w:rsidRPr="009D0A4A">
        <w:t xml:space="preserve">in accordance </w:t>
      </w:r>
      <w:r w:rsidR="000A630D" w:rsidRPr="009D0A4A">
        <w:t xml:space="preserve">with the </w:t>
      </w:r>
      <w:r w:rsidR="00A767B1" w:rsidRPr="009D0A4A">
        <w:t>Regulatory Impact Analysis Guide for Ministers’ Meetings and National Standard Setting Bodies</w:t>
      </w:r>
      <w:r w:rsidR="0039083F" w:rsidRPr="009D0A4A">
        <w:t xml:space="preserve"> </w:t>
      </w:r>
      <w:r w:rsidR="0039083F" w:rsidRPr="009D0A4A">
        <w:fldChar w:fldCharType="begin"/>
      </w:r>
      <w:r w:rsidR="004067E3">
        <w:instrText xml:space="preserve"> ADDIN ZOTERO_ITEM CSL_CITATION {"citationID":"QMtJAFM9","properties":{"formattedCitation":"(Department of Prime Minister and Cabinet 2021a)","plainCitation":"(Department of Prime Minister and Cabinet 2021a)","noteIndex":0},"citationItems":[{"id":837,"uris":["http://zotero.org/users/6230888/items/QGN7XAW3"],"itemData":{"id":837,"type":"report","page":"34","title":"Regulatory Impact Analysis Guide for Ministers’ Meetings and National Standard Setting Bodies | OBPR","URL":"https://obpr.pmc.gov.au/resources/guidance-impact-analysis/regulatory-impact-analysis-guide-ministers-meetings-and-national","author":[{"literal":"Department of Prime Minister and Cabinet"}],"accessed":{"date-parts":[["2022",6,24]]},"issued":{"date-parts":[["2021"]]}}}],"schema":"https://github.com/citation-style-language/schema/raw/master/csl-citation.json"} </w:instrText>
      </w:r>
      <w:r w:rsidR="0039083F" w:rsidRPr="009D0A4A">
        <w:fldChar w:fldCharType="separate"/>
      </w:r>
      <w:r w:rsidR="00D45D04" w:rsidRPr="009D0A4A">
        <w:rPr>
          <w:rFonts w:ascii="Calibri" w:hAnsi="Calibri" w:cs="Calibri"/>
        </w:rPr>
        <w:t>(Department of Prime Minister and Cabinet 2021a)</w:t>
      </w:r>
      <w:r w:rsidR="0039083F" w:rsidRPr="009D0A4A">
        <w:fldChar w:fldCharType="end"/>
      </w:r>
      <w:r w:rsidR="00A767B1" w:rsidRPr="009D0A4A">
        <w:t>.</w:t>
      </w:r>
      <w:r w:rsidR="0081209A" w:rsidRPr="009D0A4A">
        <w:t xml:space="preserve"> It </w:t>
      </w:r>
      <w:r w:rsidR="00CC36B9" w:rsidRPr="009D0A4A">
        <w:t>is structured as follows:</w:t>
      </w:r>
    </w:p>
    <w:p w14:paraId="44B497F3" w14:textId="110C8FE4" w:rsidR="001459BD" w:rsidRPr="009D0A4A" w:rsidRDefault="001459BD" w:rsidP="00FA48E5">
      <w:pPr>
        <w:pStyle w:val="BodyText"/>
        <w:jc w:val="both"/>
      </w:pPr>
      <w:r w:rsidRPr="009D0A4A">
        <w:t xml:space="preserve">Chapter 1 – Introduction </w:t>
      </w:r>
    </w:p>
    <w:p w14:paraId="16EA573F" w14:textId="55E81D30" w:rsidR="00CC36B9" w:rsidRPr="009D0A4A" w:rsidRDefault="00CC36B9" w:rsidP="00FA48E5">
      <w:pPr>
        <w:pStyle w:val="BodyText"/>
        <w:jc w:val="both"/>
      </w:pPr>
      <w:r w:rsidRPr="009D0A4A">
        <w:lastRenderedPageBreak/>
        <w:t xml:space="preserve">Chapter </w:t>
      </w:r>
      <w:r w:rsidR="009E4771" w:rsidRPr="009D0A4A">
        <w:t>2</w:t>
      </w:r>
      <w:r w:rsidRPr="009D0A4A">
        <w:t xml:space="preserve"> – </w:t>
      </w:r>
      <w:r w:rsidR="0011021D" w:rsidRPr="009D0A4A">
        <w:t>Statement of the problem</w:t>
      </w:r>
    </w:p>
    <w:p w14:paraId="3721D3AB" w14:textId="1749D387" w:rsidR="00CC36B9" w:rsidRPr="009D0A4A" w:rsidRDefault="00CC36B9" w:rsidP="00FA48E5">
      <w:pPr>
        <w:pStyle w:val="BodyText"/>
        <w:jc w:val="both"/>
      </w:pPr>
      <w:r w:rsidRPr="009D0A4A">
        <w:t xml:space="preserve">Chapter </w:t>
      </w:r>
      <w:r w:rsidR="009E4771" w:rsidRPr="009D0A4A">
        <w:t>3</w:t>
      </w:r>
      <w:r w:rsidRPr="009D0A4A">
        <w:t xml:space="preserve"> – Why is government action needed? </w:t>
      </w:r>
    </w:p>
    <w:p w14:paraId="27C22169" w14:textId="06448F4E" w:rsidR="00CC36B9" w:rsidRPr="009D0A4A" w:rsidRDefault="00CC36B9" w:rsidP="00FA48E5">
      <w:pPr>
        <w:pStyle w:val="BodyText"/>
        <w:jc w:val="both"/>
      </w:pPr>
      <w:r w:rsidRPr="009D0A4A">
        <w:t xml:space="preserve">Chapter </w:t>
      </w:r>
      <w:r w:rsidR="009E4771" w:rsidRPr="009D0A4A">
        <w:t>4</w:t>
      </w:r>
      <w:r w:rsidRPr="009D0A4A">
        <w:t xml:space="preserve"> – What policy options are</w:t>
      </w:r>
      <w:r w:rsidR="008739C4" w:rsidRPr="009D0A4A">
        <w:t xml:space="preserve"> being considered</w:t>
      </w:r>
      <w:r w:rsidRPr="009D0A4A">
        <w:t>?</w:t>
      </w:r>
    </w:p>
    <w:p w14:paraId="5D888E43" w14:textId="6DE4938B" w:rsidR="00CC36B9" w:rsidRPr="009D0A4A" w:rsidRDefault="00CC36B9" w:rsidP="00FA48E5">
      <w:pPr>
        <w:pStyle w:val="BodyText"/>
        <w:jc w:val="both"/>
      </w:pPr>
      <w:r w:rsidRPr="009D0A4A">
        <w:t xml:space="preserve">Chapter </w:t>
      </w:r>
      <w:r w:rsidR="009E4771" w:rsidRPr="009D0A4A">
        <w:t>5</w:t>
      </w:r>
      <w:r w:rsidRPr="009D0A4A">
        <w:t xml:space="preserve"> – </w:t>
      </w:r>
      <w:r w:rsidR="00D61EA3" w:rsidRPr="009D0A4A">
        <w:t xml:space="preserve">Who was </w:t>
      </w:r>
      <w:r w:rsidR="008B3275" w:rsidRPr="009D0A4A">
        <w:t>engaged in preliminary consultation</w:t>
      </w:r>
      <w:r w:rsidR="00D61EA3" w:rsidRPr="009D0A4A">
        <w:t xml:space="preserve"> and how was their feedback incorporated?</w:t>
      </w:r>
    </w:p>
    <w:p w14:paraId="5AC6875D" w14:textId="31A7530D" w:rsidR="00CC36B9" w:rsidRPr="009D0A4A" w:rsidRDefault="00CC36B9" w:rsidP="00FA48E5">
      <w:pPr>
        <w:pStyle w:val="BodyText"/>
        <w:jc w:val="both"/>
      </w:pPr>
      <w:r w:rsidRPr="009D0A4A">
        <w:t xml:space="preserve">Chapter </w:t>
      </w:r>
      <w:r w:rsidR="009E4771" w:rsidRPr="009D0A4A">
        <w:t>6</w:t>
      </w:r>
      <w:r w:rsidRPr="009D0A4A">
        <w:t xml:space="preserve"> – </w:t>
      </w:r>
      <w:r w:rsidR="00D61EA3" w:rsidRPr="009D0A4A">
        <w:t>What is the likely impact of each option?</w:t>
      </w:r>
    </w:p>
    <w:p w14:paraId="0D43F1A0" w14:textId="2B11CC27" w:rsidR="00CC36B9" w:rsidRPr="009D0A4A" w:rsidRDefault="00CC36B9" w:rsidP="00FA48E5">
      <w:pPr>
        <w:pStyle w:val="BodyText"/>
        <w:jc w:val="both"/>
      </w:pPr>
      <w:r w:rsidRPr="009D0A4A">
        <w:t xml:space="preserve">Chapter </w:t>
      </w:r>
      <w:r w:rsidR="009E4771" w:rsidRPr="009D0A4A">
        <w:t>7</w:t>
      </w:r>
      <w:r w:rsidRPr="009D0A4A">
        <w:t xml:space="preserve"> – </w:t>
      </w:r>
      <w:r w:rsidR="008A1D1F" w:rsidRPr="009D0A4A">
        <w:t>Discussion of options</w:t>
      </w:r>
    </w:p>
    <w:p w14:paraId="02993DC0" w14:textId="4F0D57BE" w:rsidR="00CC36B9" w:rsidRPr="009D0A4A" w:rsidRDefault="00CC36B9" w:rsidP="00FA48E5">
      <w:pPr>
        <w:pStyle w:val="BodyText"/>
        <w:jc w:val="both"/>
      </w:pPr>
      <w:r w:rsidRPr="009D0A4A">
        <w:t xml:space="preserve">Chapter </w:t>
      </w:r>
      <w:r w:rsidR="009E4771" w:rsidRPr="009D0A4A">
        <w:t>8</w:t>
      </w:r>
      <w:r w:rsidRPr="009D0A4A">
        <w:t xml:space="preserve"> – </w:t>
      </w:r>
      <w:r w:rsidR="008A1D1F" w:rsidRPr="009D0A4A">
        <w:t>Consultation plan</w:t>
      </w:r>
    </w:p>
    <w:p w14:paraId="1FC3C4DD" w14:textId="55B47B9C" w:rsidR="00F456FE" w:rsidRPr="009D0A4A" w:rsidRDefault="138E22A2" w:rsidP="003801F8">
      <w:pPr>
        <w:pStyle w:val="Heading2"/>
      </w:pPr>
      <w:bookmarkStart w:id="22" w:name="_Toc107395305"/>
      <w:r w:rsidRPr="009D0A4A">
        <w:t>How to provide your feedback</w:t>
      </w:r>
      <w:bookmarkEnd w:id="22"/>
      <w:r w:rsidRPr="009D0A4A">
        <w:t xml:space="preserve"> </w:t>
      </w:r>
    </w:p>
    <w:p w14:paraId="4D1CD83C" w14:textId="0CCF02E0" w:rsidR="00805553" w:rsidRPr="009D0A4A" w:rsidRDefault="00BE2E18" w:rsidP="00FA48E5">
      <w:pPr>
        <w:pStyle w:val="BodyText"/>
        <w:jc w:val="both"/>
      </w:pPr>
      <w:bookmarkStart w:id="23" w:name="_Hlk106889115"/>
      <w:r w:rsidRPr="009D0A4A">
        <w:t>This</w:t>
      </w:r>
      <w:r w:rsidR="0039083F" w:rsidRPr="009D0A4A">
        <w:t xml:space="preserve"> CRIS</w:t>
      </w:r>
      <w:r w:rsidRPr="009D0A4A">
        <w:t xml:space="preserve"> has been developed to seek feedback from stakeholders and the general public the impact of regulatory and non-regulatory options to minimise exposures to respirable crystalline silica at Australian workplaces. </w:t>
      </w:r>
      <w:r w:rsidR="39EC0CD0" w:rsidRPr="009D0A4A">
        <w:t xml:space="preserve">Interested parties are invited to comment on the options outlined in this consultation RIS. The consultation process is open until </w:t>
      </w:r>
      <w:r w:rsidRPr="009D0A4A">
        <w:t xml:space="preserve">15 </w:t>
      </w:r>
      <w:r w:rsidR="00F30CA6" w:rsidRPr="009D0A4A">
        <w:t>August</w:t>
      </w:r>
      <w:r w:rsidR="39EC0CD0" w:rsidRPr="009D0A4A">
        <w:t xml:space="preserve"> 2022, with the objective of gathering additional evidence and data on the extent of the problem and to seek views on the </w:t>
      </w:r>
      <w:r w:rsidRPr="009D0A4A">
        <w:t>impact of</w:t>
      </w:r>
      <w:r w:rsidR="39EC0CD0" w:rsidRPr="009D0A4A">
        <w:t xml:space="preserve"> the proposed options. In addition, there are </w:t>
      </w:r>
      <w:r w:rsidR="004E3629" w:rsidRPr="009D0A4A">
        <w:t>several</w:t>
      </w:r>
      <w:r w:rsidR="39EC0CD0" w:rsidRPr="009D0A4A">
        <w:t xml:space="preserve"> targeted consultation questions to consider when making a submission. There is no obligation to answer any or all of the consultation questions, and there is no limit to the length of submissions.</w:t>
      </w:r>
      <w:r w:rsidR="00212813" w:rsidRPr="009D0A4A">
        <w:t xml:space="preserve"> </w:t>
      </w:r>
    </w:p>
    <w:p w14:paraId="03EDA590" w14:textId="6EE931CA" w:rsidR="00BE2E18" w:rsidRPr="009D0A4A" w:rsidRDefault="6E04D04A" w:rsidP="00BE2E18">
      <w:pPr>
        <w:pStyle w:val="BodyText"/>
        <w:jc w:val="both"/>
      </w:pPr>
      <w:r w:rsidRPr="009D0A4A">
        <w:t>Consultation questions</w:t>
      </w:r>
      <w:r w:rsidR="00805553" w:rsidRPr="009D0A4A">
        <w:t xml:space="preserve"> that you may consider in your response </w:t>
      </w:r>
      <w:r w:rsidR="00DF1710" w:rsidRPr="009D0A4A">
        <w:t>are included throughout the document and are listed in Appendix C.</w:t>
      </w:r>
      <w:r w:rsidR="00BE2E18" w:rsidRPr="009D0A4A">
        <w:t xml:space="preserve"> </w:t>
      </w:r>
    </w:p>
    <w:p w14:paraId="04CA76C6" w14:textId="76CBA3CB" w:rsidR="00BE2E18" w:rsidRPr="009D0A4A" w:rsidRDefault="00BE2E18" w:rsidP="00BE2E18">
      <w:pPr>
        <w:pStyle w:val="BodyText"/>
        <w:jc w:val="both"/>
      </w:pPr>
      <w:r w:rsidRPr="009D0A4A">
        <w:t xml:space="preserve">The options outlined in this paper have not received approval by WHS ministers and are not yet law. As a result, this paper is merely a guide as to how the options address the problem and might be implemented. </w:t>
      </w:r>
    </w:p>
    <w:p w14:paraId="663B32D7" w14:textId="7B831A16" w:rsidR="00BE2E18" w:rsidRPr="009D0A4A" w:rsidRDefault="00BE2E18" w:rsidP="00BE2E18">
      <w:pPr>
        <w:pStyle w:val="BodyText"/>
        <w:jc w:val="both"/>
      </w:pPr>
      <w:r w:rsidRPr="009D0A4A">
        <w:t>Submissions are requested by 11.59 pm on 15 August 2022. Submissions can be made using Safe Work Australia’s online Engage consultation platform available at</w:t>
      </w:r>
      <w:r w:rsidR="005A1E8F" w:rsidRPr="009D0A4A">
        <w:t>:</w:t>
      </w:r>
      <w:r w:rsidRPr="009D0A4A">
        <w:t xml:space="preserve"> </w:t>
      </w:r>
      <w:hyperlink r:id="rId26" w:history="1">
        <w:r w:rsidR="005A1E8F" w:rsidRPr="009D0A4A">
          <w:rPr>
            <w:rStyle w:val="Hyperlink"/>
          </w:rPr>
          <w:t>https://engage.swa.gov.au/cris-managing-the-risks-of-respirable-crystalline-silica</w:t>
        </w:r>
      </w:hyperlink>
      <w:r w:rsidR="005A1E8F" w:rsidRPr="009D0A4A">
        <w:t xml:space="preserve">. </w:t>
      </w:r>
    </w:p>
    <w:p w14:paraId="081A42B1" w14:textId="58572E42" w:rsidR="00BE2E18" w:rsidRPr="009D0A4A" w:rsidRDefault="00BE2E18" w:rsidP="00BE2E18">
      <w:pPr>
        <w:pStyle w:val="BodyText"/>
        <w:jc w:val="both"/>
      </w:pPr>
      <w:r w:rsidRPr="009D0A4A">
        <w:t xml:space="preserve">If you are unable to lodge your submission using Engage, please email, occhygiene@swa.gov.au. </w:t>
      </w:r>
    </w:p>
    <w:p w14:paraId="48FE820B" w14:textId="77777777" w:rsidR="00BE2E18" w:rsidRPr="009D0A4A" w:rsidRDefault="00BE2E18" w:rsidP="00BE2E18">
      <w:pPr>
        <w:pStyle w:val="Normalbeforebullets"/>
        <w:rPr>
          <w:rFonts w:asciiTheme="minorHAnsi" w:hAnsiTheme="minorHAnsi" w:cstheme="minorHAnsi"/>
          <w:sz w:val="20"/>
          <w:szCs w:val="20"/>
        </w:rPr>
      </w:pPr>
      <w:r w:rsidRPr="009D0A4A">
        <w:rPr>
          <w:rFonts w:asciiTheme="minorHAnsi" w:hAnsiTheme="minorHAnsi" w:cstheme="minorHAnsi"/>
          <w:sz w:val="20"/>
          <w:szCs w:val="20"/>
        </w:rPr>
        <w:t>Respondents may choose how their submission is published on the Safe Work Australia website by choosing from the following options:</w:t>
      </w:r>
    </w:p>
    <w:p w14:paraId="66CFA9A6" w14:textId="77777777" w:rsidR="00BE2E18" w:rsidRPr="009D0A4A" w:rsidRDefault="00BE2E18"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submission published </w:t>
      </w:r>
    </w:p>
    <w:p w14:paraId="47AC3459" w14:textId="77777777" w:rsidR="00BE2E18" w:rsidRPr="009D0A4A" w:rsidRDefault="00BE2E18"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submission published anonymously, or</w:t>
      </w:r>
    </w:p>
    <w:p w14:paraId="34611B84" w14:textId="77777777" w:rsidR="00BE2E18" w:rsidRPr="009D0A4A" w:rsidRDefault="00BE2E18"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submission not published.</w:t>
      </w:r>
    </w:p>
    <w:p w14:paraId="3E08B488" w14:textId="77777777" w:rsidR="00BE2E18" w:rsidRPr="009D0A4A" w:rsidRDefault="00BE2E18" w:rsidP="00FC4908">
      <w:pPr>
        <w:pStyle w:val="BodyText1"/>
        <w:jc w:val="both"/>
        <w:rPr>
          <w:rFonts w:asciiTheme="minorHAnsi" w:eastAsiaTheme="majorEastAsia" w:hAnsiTheme="minorHAnsi" w:cstheme="minorHAnsi"/>
          <w:color w:val="015F8B" w:themeColor="hyperlink"/>
          <w:sz w:val="20"/>
          <w:szCs w:val="20"/>
          <w:u w:val="single"/>
        </w:rPr>
      </w:pPr>
      <w:r w:rsidRPr="009D0A4A">
        <w:rPr>
          <w:rFonts w:asciiTheme="minorHAnsi" w:hAnsiTheme="minorHAnsi" w:cstheme="minorHAnsi"/>
          <w:sz w:val="20"/>
          <w:szCs w:val="20"/>
        </w:rPr>
        <w:t xml:space="preserve">For further information on the publication of submissions on Engage, please refer to the </w:t>
      </w:r>
      <w:hyperlink r:id="rId27" w:history="1">
        <w:r w:rsidRPr="009D0A4A">
          <w:rPr>
            <w:rStyle w:val="Hyperlink"/>
            <w:rFonts w:asciiTheme="minorHAnsi" w:eastAsiaTheme="majorEastAsia" w:hAnsiTheme="minorHAnsi" w:cstheme="minorHAnsi"/>
            <w:sz w:val="20"/>
            <w:szCs w:val="20"/>
          </w:rPr>
          <w:t>Safe Work Australia Privacy Policy</w:t>
        </w:r>
      </w:hyperlink>
      <w:r w:rsidRPr="009D0A4A">
        <w:rPr>
          <w:rFonts w:asciiTheme="minorHAnsi" w:hAnsiTheme="minorHAnsi" w:cstheme="minorHAnsi"/>
          <w:sz w:val="20"/>
          <w:szCs w:val="20"/>
        </w:rPr>
        <w:t xml:space="preserve"> and the </w:t>
      </w:r>
      <w:hyperlink r:id="rId28" w:history="1">
        <w:r w:rsidRPr="009D0A4A">
          <w:rPr>
            <w:rStyle w:val="Hyperlink"/>
            <w:rFonts w:asciiTheme="minorHAnsi" w:eastAsiaTheme="majorEastAsia" w:hAnsiTheme="minorHAnsi" w:cstheme="minorHAnsi"/>
            <w:sz w:val="20"/>
            <w:szCs w:val="20"/>
          </w:rPr>
          <w:t>Engagement HQ privacy policy</w:t>
        </w:r>
      </w:hyperlink>
      <w:r w:rsidRPr="009D0A4A">
        <w:rPr>
          <w:rStyle w:val="Hyperlink"/>
          <w:rFonts w:asciiTheme="minorHAnsi" w:eastAsiaTheme="majorEastAsia" w:hAnsiTheme="minorHAnsi" w:cstheme="minorHAnsi"/>
          <w:sz w:val="20"/>
          <w:szCs w:val="20"/>
        </w:rPr>
        <w:t>.</w:t>
      </w:r>
    </w:p>
    <w:p w14:paraId="1F14E373" w14:textId="7D44D051" w:rsidR="6E04D04A" w:rsidRPr="009D0A4A" w:rsidRDefault="00BE2E18" w:rsidP="00BE2E18">
      <w:pPr>
        <w:pStyle w:val="BodyText"/>
        <w:jc w:val="both"/>
      </w:pPr>
      <w:r w:rsidRPr="009D0A4A">
        <w:t xml:space="preserve">Enquiries can be directed to:  </w:t>
      </w:r>
      <w:r w:rsidR="6E04D04A" w:rsidRPr="009D0A4A">
        <w:t>Director, Occupational Diseases and Hygiene Policy by email</w:t>
      </w:r>
      <w:r w:rsidRPr="009D0A4A">
        <w:t xml:space="preserve">: </w:t>
      </w:r>
      <w:hyperlink r:id="rId29" w:history="1">
        <w:r w:rsidR="005D543D" w:rsidRPr="009D0A4A">
          <w:rPr>
            <w:rStyle w:val="Hyperlink"/>
          </w:rPr>
          <w:t>occhygiene@swa.gov.au</w:t>
        </w:r>
      </w:hyperlink>
      <w:r w:rsidR="005D543D" w:rsidRPr="009D0A4A">
        <w:t xml:space="preserve">. </w:t>
      </w:r>
      <w:r w:rsidRPr="009D0A4A">
        <w:t xml:space="preserve"> </w:t>
      </w:r>
      <w:r w:rsidR="6E04D04A" w:rsidRPr="009D0A4A">
        <w:t xml:space="preserve"> </w:t>
      </w:r>
    </w:p>
    <w:p w14:paraId="3291653F" w14:textId="77777777" w:rsidR="00C75317" w:rsidRPr="009D0A4A" w:rsidRDefault="00C75317">
      <w:pPr>
        <w:rPr>
          <w:rFonts w:asciiTheme="majorHAnsi" w:hAnsiTheme="majorHAnsi"/>
          <w:b/>
          <w:color w:val="014463" w:themeColor="text2"/>
          <w:sz w:val="60"/>
          <w:szCs w:val="60"/>
        </w:rPr>
      </w:pPr>
      <w:bookmarkStart w:id="24" w:name="_Toc102142415"/>
      <w:bookmarkStart w:id="25" w:name="_Toc106109644"/>
      <w:bookmarkStart w:id="26" w:name="_Toc106111959"/>
      <w:bookmarkStart w:id="27" w:name="_Toc102142416"/>
      <w:bookmarkStart w:id="28" w:name="_Toc106109645"/>
      <w:bookmarkStart w:id="29" w:name="_Toc106111960"/>
      <w:bookmarkStart w:id="30" w:name="_Toc102142417"/>
      <w:bookmarkStart w:id="31" w:name="_Toc106109646"/>
      <w:bookmarkStart w:id="32" w:name="_Toc106111961"/>
      <w:bookmarkStart w:id="33" w:name="_Toc102142418"/>
      <w:bookmarkStart w:id="34" w:name="_Toc106109647"/>
      <w:bookmarkStart w:id="35" w:name="_Toc106111962"/>
      <w:bookmarkStart w:id="36" w:name="_Toc102142419"/>
      <w:bookmarkStart w:id="37" w:name="_Toc106109648"/>
      <w:bookmarkStart w:id="38" w:name="_Toc106111963"/>
      <w:bookmarkStart w:id="39" w:name="_Toc102142447"/>
      <w:bookmarkStart w:id="40" w:name="_Toc106109676"/>
      <w:bookmarkStart w:id="41" w:name="_Toc106111991"/>
      <w:bookmarkStart w:id="42" w:name="_Toc102142448"/>
      <w:bookmarkStart w:id="43" w:name="_Toc106109677"/>
      <w:bookmarkStart w:id="44" w:name="_Toc106111992"/>
      <w:bookmarkStart w:id="45" w:name="_Toc102142449"/>
      <w:bookmarkStart w:id="46" w:name="_Toc106109678"/>
      <w:bookmarkStart w:id="47" w:name="_Toc106111993"/>
      <w:bookmarkStart w:id="48" w:name="_Toc102142450"/>
      <w:bookmarkStart w:id="49" w:name="_Toc106109679"/>
      <w:bookmarkStart w:id="50" w:name="_Toc106111994"/>
      <w:bookmarkStart w:id="51" w:name="_Toc102142451"/>
      <w:bookmarkStart w:id="52" w:name="_Toc106109680"/>
      <w:bookmarkStart w:id="53" w:name="_Toc106111995"/>
      <w:bookmarkStart w:id="54" w:name="_Toc102142452"/>
      <w:bookmarkStart w:id="55" w:name="_Toc106109681"/>
      <w:bookmarkStart w:id="56" w:name="_Toc106111996"/>
      <w:bookmarkStart w:id="57" w:name="_Toc102142453"/>
      <w:bookmarkStart w:id="58" w:name="_Toc106109682"/>
      <w:bookmarkStart w:id="59" w:name="_Toc106111997"/>
      <w:bookmarkStart w:id="60" w:name="_Toc102142454"/>
      <w:bookmarkStart w:id="61" w:name="_Toc106109683"/>
      <w:bookmarkStart w:id="62" w:name="_Toc106111998"/>
      <w:bookmarkStart w:id="63" w:name="_Toc102142455"/>
      <w:bookmarkStart w:id="64" w:name="_Toc106109684"/>
      <w:bookmarkStart w:id="65" w:name="_Toc106111999"/>
      <w:bookmarkStart w:id="66" w:name="_Toc102142456"/>
      <w:bookmarkStart w:id="67" w:name="_Toc106109685"/>
      <w:bookmarkStart w:id="68" w:name="_Toc106112000"/>
      <w:bookmarkStart w:id="69" w:name="_Toc102142457"/>
      <w:bookmarkStart w:id="70" w:name="_Toc106109686"/>
      <w:bookmarkStart w:id="71" w:name="_Toc106112001"/>
      <w:bookmarkStart w:id="72" w:name="_Toc102142458"/>
      <w:bookmarkStart w:id="73" w:name="_Toc106109687"/>
      <w:bookmarkStart w:id="74" w:name="_Toc106112002"/>
      <w:bookmarkStart w:id="75" w:name="_Toc102142459"/>
      <w:bookmarkStart w:id="76" w:name="_Toc106109688"/>
      <w:bookmarkStart w:id="77" w:name="_Toc106112003"/>
      <w:bookmarkStart w:id="78" w:name="_Toc102142460"/>
      <w:bookmarkStart w:id="79" w:name="_Toc106109689"/>
      <w:bookmarkStart w:id="80" w:name="_Toc106112004"/>
      <w:bookmarkStart w:id="81" w:name="_Toc102142461"/>
      <w:bookmarkStart w:id="82" w:name="_Toc106109690"/>
      <w:bookmarkStart w:id="83" w:name="_Toc106112005"/>
      <w:bookmarkStart w:id="84" w:name="_Toc102142462"/>
      <w:bookmarkStart w:id="85" w:name="_Toc106109691"/>
      <w:bookmarkStart w:id="86" w:name="_Toc106112006"/>
      <w:bookmarkStart w:id="87" w:name="_Toc102142463"/>
      <w:bookmarkStart w:id="88" w:name="_Toc106109692"/>
      <w:bookmarkStart w:id="89" w:name="_Toc106112007"/>
      <w:bookmarkStart w:id="90" w:name="_Toc102142464"/>
      <w:bookmarkStart w:id="91" w:name="_Toc106109693"/>
      <w:bookmarkStart w:id="92" w:name="_Toc106112008"/>
      <w:bookmarkStart w:id="93" w:name="_Toc102142465"/>
      <w:bookmarkStart w:id="94" w:name="_Toc106109694"/>
      <w:bookmarkStart w:id="95" w:name="_Toc106112009"/>
      <w:bookmarkStart w:id="96" w:name="_Toc102142466"/>
      <w:bookmarkStart w:id="97" w:name="_Toc106109695"/>
      <w:bookmarkStart w:id="98" w:name="_Toc106112010"/>
      <w:bookmarkStart w:id="99" w:name="_Toc102142467"/>
      <w:bookmarkStart w:id="100" w:name="_Toc106109696"/>
      <w:bookmarkStart w:id="101" w:name="_Toc106112011"/>
      <w:bookmarkStart w:id="102" w:name="_Toc102142468"/>
      <w:bookmarkStart w:id="103" w:name="_Toc106109697"/>
      <w:bookmarkStart w:id="104" w:name="_Toc106112012"/>
      <w:bookmarkStart w:id="105" w:name="_Toc102142469"/>
      <w:bookmarkStart w:id="106" w:name="_Toc106109698"/>
      <w:bookmarkStart w:id="107" w:name="_Toc106112013"/>
      <w:bookmarkStart w:id="108" w:name="_Toc102142470"/>
      <w:bookmarkStart w:id="109" w:name="_Toc106109699"/>
      <w:bookmarkStart w:id="110" w:name="_Toc106112014"/>
      <w:bookmarkStart w:id="111" w:name="_Toc102142471"/>
      <w:bookmarkStart w:id="112" w:name="_Toc106109700"/>
      <w:bookmarkStart w:id="113" w:name="_Toc106112015"/>
      <w:bookmarkStart w:id="114" w:name="_Toc102142472"/>
      <w:bookmarkStart w:id="115" w:name="_Toc106109701"/>
      <w:bookmarkStart w:id="116" w:name="_Toc106112016"/>
      <w:bookmarkStart w:id="117" w:name="_Toc102142473"/>
      <w:bookmarkStart w:id="118" w:name="_Toc106109702"/>
      <w:bookmarkStart w:id="119" w:name="_Toc106112017"/>
      <w:bookmarkStart w:id="120" w:name="_Toc102142474"/>
      <w:bookmarkStart w:id="121" w:name="_Toc106109703"/>
      <w:bookmarkStart w:id="122" w:name="_Toc106112018"/>
      <w:bookmarkStart w:id="123" w:name="_Toc102142475"/>
      <w:bookmarkStart w:id="124" w:name="_Toc106109704"/>
      <w:bookmarkStart w:id="125" w:name="_Toc106112019"/>
      <w:bookmarkStart w:id="126" w:name="_Toc102142476"/>
      <w:bookmarkStart w:id="127" w:name="_Toc106109705"/>
      <w:bookmarkStart w:id="128" w:name="_Toc106112020"/>
      <w:bookmarkStart w:id="129" w:name="_Toc102142477"/>
      <w:bookmarkStart w:id="130" w:name="_Toc106109706"/>
      <w:bookmarkStart w:id="131" w:name="_Toc106112021"/>
      <w:bookmarkStart w:id="132" w:name="_Toc102142478"/>
      <w:bookmarkStart w:id="133" w:name="_Toc106109707"/>
      <w:bookmarkStart w:id="134" w:name="_Toc106112022"/>
      <w:bookmarkStart w:id="135" w:name="_Toc102142479"/>
      <w:bookmarkStart w:id="136" w:name="_Toc106109708"/>
      <w:bookmarkStart w:id="137" w:name="_Toc106112023"/>
      <w:bookmarkStart w:id="138" w:name="_Toc102142480"/>
      <w:bookmarkStart w:id="139" w:name="_Toc106109709"/>
      <w:bookmarkStart w:id="140" w:name="_Toc106112024"/>
      <w:bookmarkStart w:id="141" w:name="_Toc102142481"/>
      <w:bookmarkStart w:id="142" w:name="_Toc106109710"/>
      <w:bookmarkStart w:id="143" w:name="_Toc106112025"/>
      <w:bookmarkStart w:id="144" w:name="_Toc102142482"/>
      <w:bookmarkStart w:id="145" w:name="_Toc106109711"/>
      <w:bookmarkStart w:id="146" w:name="_Toc106112026"/>
      <w:bookmarkStart w:id="147" w:name="_Toc102142483"/>
      <w:bookmarkStart w:id="148" w:name="_Toc106109712"/>
      <w:bookmarkStart w:id="149" w:name="_Toc106112027"/>
      <w:bookmarkStart w:id="150" w:name="_Toc100240579"/>
      <w:bookmarkStart w:id="151" w:name="_Toc100240648"/>
      <w:bookmarkStart w:id="152" w:name="_Toc100323718"/>
      <w:bookmarkStart w:id="153" w:name="_Toc100240581"/>
      <w:bookmarkStart w:id="154" w:name="_Toc100240650"/>
      <w:bookmarkStart w:id="155" w:name="_Toc100323720"/>
      <w:bookmarkStart w:id="156" w:name="_Toc100240582"/>
      <w:bookmarkStart w:id="157" w:name="_Toc100240651"/>
      <w:bookmarkStart w:id="158" w:name="_Toc100323721"/>
      <w:bookmarkStart w:id="159" w:name="_Toc100240583"/>
      <w:bookmarkStart w:id="160" w:name="_Toc100240652"/>
      <w:bookmarkStart w:id="161" w:name="_Toc100323722"/>
      <w:bookmarkStart w:id="162" w:name="_Toc100240584"/>
      <w:bookmarkStart w:id="163" w:name="_Toc100240653"/>
      <w:bookmarkStart w:id="164" w:name="_Toc100323723"/>
      <w:bookmarkStart w:id="165" w:name="_Toc100240585"/>
      <w:bookmarkStart w:id="166" w:name="_Toc100240654"/>
      <w:bookmarkStart w:id="167" w:name="_Toc100323724"/>
      <w:bookmarkStart w:id="168" w:name="_Toc100240586"/>
      <w:bookmarkStart w:id="169" w:name="_Toc100240655"/>
      <w:bookmarkStart w:id="170" w:name="_Toc100323725"/>
      <w:bookmarkStart w:id="171" w:name="_Toc100240587"/>
      <w:bookmarkStart w:id="172" w:name="_Toc100240656"/>
      <w:bookmarkStart w:id="173" w:name="_Toc100323726"/>
      <w:bookmarkStart w:id="174" w:name="_Toc100240588"/>
      <w:bookmarkStart w:id="175" w:name="_Toc100240657"/>
      <w:bookmarkStart w:id="176" w:name="_Toc100323727"/>
      <w:bookmarkStart w:id="177" w:name="_Toc100240589"/>
      <w:bookmarkStart w:id="178" w:name="_Toc100240658"/>
      <w:bookmarkStart w:id="179" w:name="_Toc100323728"/>
      <w:bookmarkStart w:id="180" w:name="_Toc100240590"/>
      <w:bookmarkStart w:id="181" w:name="_Toc100240659"/>
      <w:bookmarkStart w:id="182" w:name="_Toc100323729"/>
      <w:bookmarkStart w:id="183" w:name="_Toc100240591"/>
      <w:bookmarkStart w:id="184" w:name="_Toc100240660"/>
      <w:bookmarkStart w:id="185" w:name="_Toc100323730"/>
      <w:bookmarkStart w:id="186" w:name="_Toc100240592"/>
      <w:bookmarkStart w:id="187" w:name="_Toc100240661"/>
      <w:bookmarkStart w:id="188" w:name="_Toc100323731"/>
      <w:bookmarkStart w:id="189" w:name="_Toc100240593"/>
      <w:bookmarkStart w:id="190" w:name="_Toc100240662"/>
      <w:bookmarkStart w:id="191" w:name="_Toc100323732"/>
      <w:bookmarkStart w:id="192" w:name="_Toc100240594"/>
      <w:bookmarkStart w:id="193" w:name="_Toc100240663"/>
      <w:bookmarkStart w:id="194" w:name="_Toc100323733"/>
      <w:bookmarkStart w:id="195" w:name="_Toc100240595"/>
      <w:bookmarkStart w:id="196" w:name="_Toc100240664"/>
      <w:bookmarkStart w:id="197" w:name="_Toc100323734"/>
      <w:bookmarkStart w:id="198" w:name="_Toc100240596"/>
      <w:bookmarkStart w:id="199" w:name="_Toc100240665"/>
      <w:bookmarkStart w:id="200" w:name="_Toc100323735"/>
      <w:bookmarkStart w:id="201" w:name="_Toc100240597"/>
      <w:bookmarkStart w:id="202" w:name="_Toc100240666"/>
      <w:bookmarkStart w:id="203" w:name="_Toc100323736"/>
      <w:bookmarkStart w:id="204" w:name="_Toc100240598"/>
      <w:bookmarkStart w:id="205" w:name="_Toc100240667"/>
      <w:bookmarkStart w:id="206" w:name="_Toc100323737"/>
      <w:bookmarkStart w:id="207" w:name="_Toc100240599"/>
      <w:bookmarkStart w:id="208" w:name="_Toc100240668"/>
      <w:bookmarkStart w:id="209" w:name="_Toc100323738"/>
      <w:bookmarkStart w:id="210" w:name="_Toc100240600"/>
      <w:bookmarkStart w:id="211" w:name="_Toc100240669"/>
      <w:bookmarkStart w:id="212" w:name="_Toc100323739"/>
      <w:bookmarkStart w:id="213" w:name="_Toc100240601"/>
      <w:bookmarkStart w:id="214" w:name="_Toc100240670"/>
      <w:bookmarkStart w:id="215" w:name="_Toc100323740"/>
      <w:bookmarkStart w:id="216" w:name="_Toc100240602"/>
      <w:bookmarkStart w:id="217" w:name="_Toc100240671"/>
      <w:bookmarkStart w:id="218" w:name="_Toc100323741"/>
      <w:bookmarkStart w:id="219" w:name="_Toc100240603"/>
      <w:bookmarkStart w:id="220" w:name="_Toc100240672"/>
      <w:bookmarkStart w:id="221" w:name="_Toc100323742"/>
      <w:bookmarkStart w:id="222" w:name="_Toc102142484"/>
      <w:bookmarkStart w:id="223" w:name="_Toc106109713"/>
      <w:bookmarkStart w:id="224" w:name="_Toc106112028"/>
      <w:bookmarkStart w:id="225" w:name="_Toc102142485"/>
      <w:bookmarkStart w:id="226" w:name="_Toc106109714"/>
      <w:bookmarkStart w:id="227" w:name="_Toc106112029"/>
      <w:bookmarkStart w:id="228" w:name="_Toc102142486"/>
      <w:bookmarkStart w:id="229" w:name="_Toc106109715"/>
      <w:bookmarkStart w:id="230" w:name="_Toc106112030"/>
      <w:bookmarkStart w:id="231" w:name="_Toc102142487"/>
      <w:bookmarkStart w:id="232" w:name="_Toc106109716"/>
      <w:bookmarkStart w:id="233" w:name="_Toc106112031"/>
      <w:bookmarkStart w:id="234" w:name="_Toc102142488"/>
      <w:bookmarkStart w:id="235" w:name="_Toc106109717"/>
      <w:bookmarkStart w:id="236" w:name="_Toc106112032"/>
      <w:bookmarkStart w:id="237" w:name="_Toc102142489"/>
      <w:bookmarkStart w:id="238" w:name="_Toc106109718"/>
      <w:bookmarkStart w:id="239" w:name="_Toc106112033"/>
      <w:bookmarkStart w:id="240" w:name="_Toc102142490"/>
      <w:bookmarkStart w:id="241" w:name="_Toc106109719"/>
      <w:bookmarkStart w:id="242" w:name="_Toc106112034"/>
      <w:bookmarkStart w:id="243" w:name="_Toc102142491"/>
      <w:bookmarkStart w:id="244" w:name="_Toc106109720"/>
      <w:bookmarkStart w:id="245" w:name="_Toc106112035"/>
      <w:bookmarkStart w:id="246" w:name="_Toc102142492"/>
      <w:bookmarkStart w:id="247" w:name="_Toc106109721"/>
      <w:bookmarkStart w:id="248" w:name="_Toc106112036"/>
      <w:bookmarkStart w:id="249" w:name="_Toc102142493"/>
      <w:bookmarkStart w:id="250" w:name="_Toc106109722"/>
      <w:bookmarkStart w:id="251" w:name="_Toc106112037"/>
      <w:bookmarkStart w:id="252" w:name="_Toc102142494"/>
      <w:bookmarkStart w:id="253" w:name="_Toc106109723"/>
      <w:bookmarkStart w:id="254" w:name="_Toc106112038"/>
      <w:bookmarkStart w:id="255" w:name="_Toc102142495"/>
      <w:bookmarkStart w:id="256" w:name="_Toc106109724"/>
      <w:bookmarkStart w:id="257" w:name="_Toc106112039"/>
      <w:bookmarkStart w:id="258" w:name="_Toc102142496"/>
      <w:bookmarkStart w:id="259" w:name="_Toc106109725"/>
      <w:bookmarkStart w:id="260" w:name="_Toc106112040"/>
      <w:bookmarkStart w:id="261" w:name="_Toc102142497"/>
      <w:bookmarkStart w:id="262" w:name="_Toc106109726"/>
      <w:bookmarkStart w:id="263" w:name="_Toc106112041"/>
      <w:bookmarkStart w:id="264" w:name="_Toc102142498"/>
      <w:bookmarkStart w:id="265" w:name="_Toc106109727"/>
      <w:bookmarkStart w:id="266" w:name="_Toc106112042"/>
      <w:bookmarkStart w:id="267" w:name="_Toc102142499"/>
      <w:bookmarkStart w:id="268" w:name="_Toc106109728"/>
      <w:bookmarkStart w:id="269" w:name="_Toc106112043"/>
      <w:bookmarkStart w:id="270" w:name="_Toc102142500"/>
      <w:bookmarkStart w:id="271" w:name="_Toc106109729"/>
      <w:bookmarkStart w:id="272" w:name="_Toc106112044"/>
      <w:bookmarkStart w:id="273" w:name="_Toc102142501"/>
      <w:bookmarkStart w:id="274" w:name="_Toc106109730"/>
      <w:bookmarkStart w:id="275" w:name="_Toc106112045"/>
      <w:bookmarkStart w:id="276" w:name="_Toc102142502"/>
      <w:bookmarkStart w:id="277" w:name="_Toc106109731"/>
      <w:bookmarkStart w:id="278" w:name="_Toc106112046"/>
      <w:bookmarkStart w:id="279" w:name="_Toc102142503"/>
      <w:bookmarkStart w:id="280" w:name="_Toc106109732"/>
      <w:bookmarkStart w:id="281" w:name="_Toc106112047"/>
      <w:bookmarkStart w:id="282" w:name="_Toc102142504"/>
      <w:bookmarkStart w:id="283" w:name="_Toc106109733"/>
      <w:bookmarkStart w:id="284" w:name="_Toc106112048"/>
      <w:bookmarkStart w:id="285" w:name="_Toc102142505"/>
      <w:bookmarkStart w:id="286" w:name="_Toc106109734"/>
      <w:bookmarkStart w:id="287" w:name="_Toc106112049"/>
      <w:bookmarkStart w:id="288" w:name="_Toc102142506"/>
      <w:bookmarkStart w:id="289" w:name="_Toc106109735"/>
      <w:bookmarkStart w:id="290" w:name="_Toc106112050"/>
      <w:bookmarkStart w:id="291" w:name="_Toc102142507"/>
      <w:bookmarkStart w:id="292" w:name="_Toc106109736"/>
      <w:bookmarkStart w:id="293" w:name="_Toc106112051"/>
      <w:bookmarkStart w:id="294" w:name="_Toc102142508"/>
      <w:bookmarkStart w:id="295" w:name="_Toc106109737"/>
      <w:bookmarkStart w:id="296" w:name="_Toc106112052"/>
      <w:bookmarkStart w:id="297" w:name="_Toc102142509"/>
      <w:bookmarkStart w:id="298" w:name="_Toc106109738"/>
      <w:bookmarkStart w:id="299" w:name="_Toc106112053"/>
      <w:bookmarkStart w:id="300" w:name="_Toc102142510"/>
      <w:bookmarkStart w:id="301" w:name="_Toc106109739"/>
      <w:bookmarkStart w:id="302" w:name="_Toc106112054"/>
      <w:bookmarkStart w:id="303" w:name="_Toc102142511"/>
      <w:bookmarkStart w:id="304" w:name="_Toc106109740"/>
      <w:bookmarkStart w:id="305" w:name="_Toc106112055"/>
      <w:bookmarkStart w:id="306" w:name="_Toc102142512"/>
      <w:bookmarkStart w:id="307" w:name="_Toc106109741"/>
      <w:bookmarkStart w:id="308" w:name="_Toc106112056"/>
      <w:bookmarkStart w:id="309" w:name="_Toc102142513"/>
      <w:bookmarkStart w:id="310" w:name="_Toc106109742"/>
      <w:bookmarkStart w:id="311" w:name="_Toc106112057"/>
      <w:bookmarkStart w:id="312" w:name="_Toc102142514"/>
      <w:bookmarkStart w:id="313" w:name="_Toc106109743"/>
      <w:bookmarkStart w:id="314" w:name="_Toc106112058"/>
      <w:bookmarkStart w:id="315" w:name="_Toc102142515"/>
      <w:bookmarkStart w:id="316" w:name="_Toc106109744"/>
      <w:bookmarkStart w:id="317" w:name="_Toc106112059"/>
      <w:bookmarkStart w:id="318" w:name="_Toc102142516"/>
      <w:bookmarkStart w:id="319" w:name="_Toc106109745"/>
      <w:bookmarkStart w:id="320" w:name="_Toc106112060"/>
      <w:bookmarkStart w:id="321" w:name="_Toc102142517"/>
      <w:bookmarkStart w:id="322" w:name="_Toc106109746"/>
      <w:bookmarkStart w:id="323" w:name="_Toc106112061"/>
      <w:bookmarkStart w:id="324" w:name="_Toc102142518"/>
      <w:bookmarkStart w:id="325" w:name="_Toc106109747"/>
      <w:bookmarkStart w:id="326" w:name="_Toc106112062"/>
      <w:bookmarkStart w:id="327" w:name="_Toc102142519"/>
      <w:bookmarkStart w:id="328" w:name="_Toc106109748"/>
      <w:bookmarkStart w:id="329" w:name="_Toc106112063"/>
      <w:bookmarkStart w:id="330" w:name="_Toc102142520"/>
      <w:bookmarkStart w:id="331" w:name="_Toc106109749"/>
      <w:bookmarkStart w:id="332" w:name="_Toc106112064"/>
      <w:bookmarkStart w:id="333" w:name="_Toc102142521"/>
      <w:bookmarkStart w:id="334" w:name="_Toc106109750"/>
      <w:bookmarkStart w:id="335" w:name="_Toc106112065"/>
      <w:bookmarkStart w:id="336" w:name="_Toc102142522"/>
      <w:bookmarkStart w:id="337" w:name="_Toc106109751"/>
      <w:bookmarkStart w:id="338" w:name="_Toc106112066"/>
      <w:bookmarkStart w:id="339" w:name="_Toc102142523"/>
      <w:bookmarkStart w:id="340" w:name="_Toc106109752"/>
      <w:bookmarkStart w:id="341" w:name="_Toc106112067"/>
      <w:bookmarkStart w:id="342" w:name="_Toc102142524"/>
      <w:bookmarkStart w:id="343" w:name="_Toc106109753"/>
      <w:bookmarkStart w:id="344" w:name="_Toc106112068"/>
      <w:bookmarkStart w:id="345" w:name="_Toc102142525"/>
      <w:bookmarkStart w:id="346" w:name="_Toc106109754"/>
      <w:bookmarkStart w:id="347" w:name="_Toc106112069"/>
      <w:bookmarkStart w:id="348" w:name="_Toc102142526"/>
      <w:bookmarkStart w:id="349" w:name="_Toc106109755"/>
      <w:bookmarkStart w:id="350" w:name="_Toc106112070"/>
      <w:bookmarkStart w:id="351" w:name="_Toc102142527"/>
      <w:bookmarkStart w:id="352" w:name="_Toc106109756"/>
      <w:bookmarkStart w:id="353" w:name="_Toc106112071"/>
      <w:bookmarkStart w:id="354" w:name="_Toc102142528"/>
      <w:bookmarkStart w:id="355" w:name="_Toc106109757"/>
      <w:bookmarkStart w:id="356" w:name="_Toc106112072"/>
      <w:bookmarkStart w:id="357" w:name="_Toc102142529"/>
      <w:bookmarkStart w:id="358" w:name="_Toc106109758"/>
      <w:bookmarkStart w:id="359" w:name="_Toc106112073"/>
      <w:bookmarkStart w:id="360" w:name="_Toc102142530"/>
      <w:bookmarkStart w:id="361" w:name="_Toc106109759"/>
      <w:bookmarkStart w:id="362" w:name="_Toc106112074"/>
      <w:bookmarkStart w:id="363" w:name="_Toc102142531"/>
      <w:bookmarkStart w:id="364" w:name="_Toc106109760"/>
      <w:bookmarkStart w:id="365" w:name="_Toc106112075"/>
      <w:bookmarkStart w:id="366" w:name="_Toc102142532"/>
      <w:bookmarkStart w:id="367" w:name="_Toc106109761"/>
      <w:bookmarkStart w:id="368" w:name="_Toc106112076"/>
      <w:bookmarkStart w:id="369" w:name="_Toc102142533"/>
      <w:bookmarkStart w:id="370" w:name="_Toc106109762"/>
      <w:bookmarkStart w:id="371" w:name="_Toc106112077"/>
      <w:bookmarkStart w:id="372" w:name="_Toc102142534"/>
      <w:bookmarkStart w:id="373" w:name="_Toc106109763"/>
      <w:bookmarkStart w:id="374" w:name="_Toc106112078"/>
      <w:bookmarkStart w:id="375" w:name="_Toc102142535"/>
      <w:bookmarkStart w:id="376" w:name="_Toc106109764"/>
      <w:bookmarkStart w:id="377" w:name="_Toc106112079"/>
      <w:bookmarkStart w:id="378" w:name="_Toc102142536"/>
      <w:bookmarkStart w:id="379" w:name="_Toc106109765"/>
      <w:bookmarkStart w:id="380" w:name="_Toc106112080"/>
      <w:bookmarkStart w:id="381" w:name="_Toc102142537"/>
      <w:bookmarkStart w:id="382" w:name="_Toc106109766"/>
      <w:bookmarkStart w:id="383" w:name="_Toc106112081"/>
      <w:bookmarkStart w:id="384" w:name="_Toc102142538"/>
      <w:bookmarkStart w:id="385" w:name="_Toc106109767"/>
      <w:bookmarkStart w:id="386" w:name="_Toc106112082"/>
      <w:bookmarkStart w:id="387" w:name="_Toc102142539"/>
      <w:bookmarkStart w:id="388" w:name="_Toc106109768"/>
      <w:bookmarkStart w:id="389" w:name="_Toc106112083"/>
      <w:bookmarkStart w:id="390" w:name="_Toc102142540"/>
      <w:bookmarkStart w:id="391" w:name="_Toc106109769"/>
      <w:bookmarkStart w:id="392" w:name="_Toc106112084"/>
      <w:bookmarkStart w:id="393" w:name="_Toc102142541"/>
      <w:bookmarkStart w:id="394" w:name="_Toc106109770"/>
      <w:bookmarkStart w:id="395" w:name="_Toc106112085"/>
      <w:bookmarkStart w:id="396" w:name="_Toc102142542"/>
      <w:bookmarkStart w:id="397" w:name="_Toc106109771"/>
      <w:bookmarkStart w:id="398" w:name="_Toc106112086"/>
      <w:bookmarkStart w:id="399" w:name="_Toc102142543"/>
      <w:bookmarkStart w:id="400" w:name="_Toc106109772"/>
      <w:bookmarkStart w:id="401" w:name="_Toc106112087"/>
      <w:bookmarkStart w:id="402" w:name="_Toc102142544"/>
      <w:bookmarkStart w:id="403" w:name="_Toc106109773"/>
      <w:bookmarkStart w:id="404" w:name="_Toc106112088"/>
      <w:bookmarkStart w:id="405" w:name="_Toc102142545"/>
      <w:bookmarkStart w:id="406" w:name="_Toc106109774"/>
      <w:bookmarkStart w:id="407" w:name="_Toc106112089"/>
      <w:bookmarkStart w:id="408" w:name="_Toc102142546"/>
      <w:bookmarkStart w:id="409" w:name="_Toc106109775"/>
      <w:bookmarkStart w:id="410" w:name="_Toc106112090"/>
      <w:bookmarkStart w:id="411" w:name="_Toc102142547"/>
      <w:bookmarkStart w:id="412" w:name="_Toc106109776"/>
      <w:bookmarkStart w:id="413" w:name="_Toc106112091"/>
      <w:bookmarkStart w:id="414" w:name="_Toc102142548"/>
      <w:bookmarkStart w:id="415" w:name="_Toc106109777"/>
      <w:bookmarkStart w:id="416" w:name="_Toc106112092"/>
      <w:bookmarkStart w:id="417" w:name="_Toc102142549"/>
      <w:bookmarkStart w:id="418" w:name="_Toc106109778"/>
      <w:bookmarkStart w:id="419" w:name="_Toc106112093"/>
      <w:bookmarkStart w:id="420" w:name="_Toc102142550"/>
      <w:bookmarkStart w:id="421" w:name="_Toc106109779"/>
      <w:bookmarkStart w:id="422" w:name="_Toc106112094"/>
      <w:bookmarkStart w:id="423" w:name="_Toc102142551"/>
      <w:bookmarkStart w:id="424" w:name="_Toc106109780"/>
      <w:bookmarkStart w:id="425" w:name="_Toc106112095"/>
      <w:bookmarkStart w:id="426" w:name="_Toc102142552"/>
      <w:bookmarkStart w:id="427" w:name="_Toc106109781"/>
      <w:bookmarkStart w:id="428" w:name="_Toc106112096"/>
      <w:bookmarkStart w:id="429" w:name="_Toc102142553"/>
      <w:bookmarkStart w:id="430" w:name="_Toc106109782"/>
      <w:bookmarkStart w:id="431" w:name="_Toc106112097"/>
      <w:bookmarkStart w:id="432" w:name="_Toc102142554"/>
      <w:bookmarkStart w:id="433" w:name="_Toc106109783"/>
      <w:bookmarkStart w:id="434" w:name="_Toc106112098"/>
      <w:bookmarkStart w:id="435" w:name="_Toc102142555"/>
      <w:bookmarkStart w:id="436" w:name="_Toc106109784"/>
      <w:bookmarkStart w:id="437" w:name="_Toc106112099"/>
      <w:bookmarkStart w:id="438" w:name="_Toc102142556"/>
      <w:bookmarkStart w:id="439" w:name="_Toc106109785"/>
      <w:bookmarkStart w:id="440" w:name="_Toc106112100"/>
      <w:bookmarkStart w:id="441" w:name="_Toc102142557"/>
      <w:bookmarkStart w:id="442" w:name="_Toc106109786"/>
      <w:bookmarkStart w:id="443" w:name="_Toc106112101"/>
      <w:bookmarkStart w:id="444" w:name="_Toc102142558"/>
      <w:bookmarkStart w:id="445" w:name="_Toc106109787"/>
      <w:bookmarkStart w:id="446" w:name="_Toc106112102"/>
      <w:bookmarkStart w:id="447" w:name="_Toc102142559"/>
      <w:bookmarkStart w:id="448" w:name="_Toc106109788"/>
      <w:bookmarkStart w:id="449" w:name="_Toc106112103"/>
      <w:bookmarkStart w:id="450" w:name="_Toc102142560"/>
      <w:bookmarkStart w:id="451" w:name="_Toc106109789"/>
      <w:bookmarkStart w:id="452" w:name="_Toc106112104"/>
      <w:bookmarkStart w:id="453" w:name="_Toc102142561"/>
      <w:bookmarkStart w:id="454" w:name="_Toc106109790"/>
      <w:bookmarkStart w:id="455" w:name="_Toc106112105"/>
      <w:bookmarkStart w:id="456" w:name="_Toc102142562"/>
      <w:bookmarkStart w:id="457" w:name="_Toc106109791"/>
      <w:bookmarkStart w:id="458" w:name="_Toc106112106"/>
      <w:bookmarkStart w:id="459" w:name="_Toc102142563"/>
      <w:bookmarkStart w:id="460" w:name="_Toc106109792"/>
      <w:bookmarkStart w:id="461" w:name="_Toc106112107"/>
      <w:bookmarkStart w:id="462" w:name="_Toc102142564"/>
      <w:bookmarkStart w:id="463" w:name="_Toc106109793"/>
      <w:bookmarkStart w:id="464" w:name="_Toc106112108"/>
      <w:bookmarkStart w:id="465" w:name="_Toc102142565"/>
      <w:bookmarkStart w:id="466" w:name="_Toc106109794"/>
      <w:bookmarkStart w:id="467" w:name="_Toc106112109"/>
      <w:bookmarkStart w:id="468" w:name="_Toc102142575"/>
      <w:bookmarkStart w:id="469" w:name="_Toc106109804"/>
      <w:bookmarkStart w:id="470" w:name="_Toc106112119"/>
      <w:bookmarkStart w:id="471" w:name="_Toc102142576"/>
      <w:bookmarkStart w:id="472" w:name="_Toc106109805"/>
      <w:bookmarkStart w:id="473" w:name="_Toc106112120"/>
      <w:bookmarkStart w:id="474" w:name="_Toc102142577"/>
      <w:bookmarkStart w:id="475" w:name="_Toc106109806"/>
      <w:bookmarkStart w:id="476" w:name="_Toc106112121"/>
      <w:bookmarkStart w:id="477" w:name="_Toc102142578"/>
      <w:bookmarkStart w:id="478" w:name="_Toc106109807"/>
      <w:bookmarkStart w:id="479" w:name="_Toc106112122"/>
      <w:bookmarkStart w:id="480" w:name="_Toc102142579"/>
      <w:bookmarkStart w:id="481" w:name="_Toc106109808"/>
      <w:bookmarkStart w:id="482" w:name="_Toc106112123"/>
      <w:bookmarkStart w:id="483" w:name="_Toc102142580"/>
      <w:bookmarkStart w:id="484" w:name="_Toc106109809"/>
      <w:bookmarkStart w:id="485" w:name="_Toc106112124"/>
      <w:bookmarkStart w:id="486" w:name="_Toc102142624"/>
      <w:bookmarkStart w:id="487" w:name="_Toc106109853"/>
      <w:bookmarkStart w:id="488" w:name="_Toc106112168"/>
      <w:bookmarkStart w:id="489" w:name="_Toc100240605"/>
      <w:bookmarkStart w:id="490" w:name="_Toc100240674"/>
      <w:bookmarkStart w:id="491" w:name="_Toc100323744"/>
      <w:bookmarkStart w:id="492" w:name="_Toc100240606"/>
      <w:bookmarkStart w:id="493" w:name="_Toc100240675"/>
      <w:bookmarkStart w:id="494" w:name="_Toc100323745"/>
      <w:bookmarkStart w:id="495" w:name="_Toc100240607"/>
      <w:bookmarkStart w:id="496" w:name="_Toc100240676"/>
      <w:bookmarkStart w:id="497" w:name="_Toc100323746"/>
      <w:bookmarkStart w:id="498" w:name="_Toc100240608"/>
      <w:bookmarkStart w:id="499" w:name="_Toc100240677"/>
      <w:bookmarkStart w:id="500" w:name="_Toc100323747"/>
      <w:bookmarkStart w:id="501" w:name="_Toc100240609"/>
      <w:bookmarkStart w:id="502" w:name="_Toc100240678"/>
      <w:bookmarkStart w:id="503" w:name="_Toc100323748"/>
      <w:bookmarkStart w:id="504" w:name="_Toc100240610"/>
      <w:bookmarkStart w:id="505" w:name="_Toc100240679"/>
      <w:bookmarkStart w:id="506" w:name="_Toc100323749"/>
      <w:bookmarkStart w:id="507" w:name="_Toc100240611"/>
      <w:bookmarkStart w:id="508" w:name="_Toc100240680"/>
      <w:bookmarkStart w:id="509" w:name="_Toc100323750"/>
      <w:bookmarkStart w:id="510" w:name="_Toc100240612"/>
      <w:bookmarkStart w:id="511" w:name="_Toc100240681"/>
      <w:bookmarkStart w:id="512" w:name="_Toc100323751"/>
      <w:bookmarkStart w:id="513" w:name="_Toc100240613"/>
      <w:bookmarkStart w:id="514" w:name="_Toc100240682"/>
      <w:bookmarkStart w:id="515" w:name="_Toc100323752"/>
      <w:bookmarkStart w:id="516" w:name="_Toc100240614"/>
      <w:bookmarkStart w:id="517" w:name="_Toc100240683"/>
      <w:bookmarkStart w:id="518" w:name="_Toc100323753"/>
      <w:bookmarkEnd w:id="3"/>
      <w:bookmarkEnd w:id="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9D0A4A">
        <w:br w:type="page"/>
      </w:r>
    </w:p>
    <w:p w14:paraId="348B5108" w14:textId="43338045" w:rsidR="00716A5F" w:rsidRPr="009D0A4A" w:rsidRDefault="0020370A" w:rsidP="00041D73">
      <w:pPr>
        <w:pStyle w:val="Heading1"/>
      </w:pPr>
      <w:bookmarkStart w:id="519" w:name="_Toc107395306"/>
      <w:r w:rsidRPr="009D0A4A">
        <w:lastRenderedPageBreak/>
        <w:t>Statement of the problem</w:t>
      </w:r>
      <w:bookmarkEnd w:id="519"/>
    </w:p>
    <w:p w14:paraId="3C9AB62C" w14:textId="51DC5B6A" w:rsidR="00042180" w:rsidRPr="009D0A4A" w:rsidRDefault="006D3F54" w:rsidP="003801F8">
      <w:pPr>
        <w:pStyle w:val="Heading2"/>
      </w:pPr>
      <w:bookmarkStart w:id="520" w:name="_Toc100240616"/>
      <w:bookmarkStart w:id="521" w:name="_Toc100240685"/>
      <w:bookmarkStart w:id="522" w:name="_Toc100240617"/>
      <w:bookmarkStart w:id="523" w:name="_Toc100240686"/>
      <w:bookmarkStart w:id="524" w:name="_Toc107395307"/>
      <w:bookmarkEnd w:id="520"/>
      <w:bookmarkEnd w:id="521"/>
      <w:bookmarkEnd w:id="522"/>
      <w:bookmarkEnd w:id="523"/>
      <w:r w:rsidRPr="009D0A4A">
        <w:t>Problem definition</w:t>
      </w:r>
      <w:bookmarkEnd w:id="524"/>
    </w:p>
    <w:p w14:paraId="731A49F5" w14:textId="6279EAC5" w:rsidR="00EE1E61" w:rsidRPr="009D0A4A" w:rsidRDefault="007208B2" w:rsidP="00860D7A">
      <w:pPr>
        <w:pStyle w:val="BodyText"/>
        <w:jc w:val="both"/>
      </w:pPr>
      <w:r w:rsidRPr="009D0A4A">
        <w:t>The following problem statement has been developed following preliminary consultation with stakeholders</w:t>
      </w:r>
      <w:r w:rsidR="005B714A" w:rsidRPr="009D0A4A">
        <w:t>:</w:t>
      </w:r>
    </w:p>
    <w:p w14:paraId="5C9D3065" w14:textId="4EB1F3D0" w:rsidR="00587778" w:rsidRPr="009D0A4A" w:rsidRDefault="00D26D77" w:rsidP="00587778">
      <w:pPr>
        <w:pStyle w:val="EmphasisPanelBody"/>
        <w:jc w:val="both"/>
      </w:pPr>
      <w:r w:rsidRPr="009D0A4A">
        <w:t>W</w:t>
      </w:r>
      <w:r w:rsidR="00587778" w:rsidRPr="009D0A4A">
        <w:t xml:space="preserve">orkplace exposures to RCS have led to a substantial increase in the </w:t>
      </w:r>
      <w:r w:rsidRPr="009D0A4A">
        <w:t xml:space="preserve">number of cases </w:t>
      </w:r>
      <w:r w:rsidR="00587778" w:rsidRPr="009D0A4A">
        <w:t>of silicosis in Australian workers.  Health screening programs of stonemasons and engineered stone workers in several Australian states have identified that approximately 1 in 4 workers screened have evidence of silicosis</w:t>
      </w:r>
      <w:r w:rsidR="0039083F" w:rsidRPr="009D0A4A">
        <w:t xml:space="preserve"> </w:t>
      </w:r>
      <w:r w:rsidR="0039083F" w:rsidRPr="009D0A4A">
        <w:fldChar w:fldCharType="begin"/>
      </w:r>
      <w:r w:rsidR="004067E3">
        <w:instrText xml:space="preserve"> ADDIN ZOTERO_ITEM CSL_CITATION {"citationID":"i4sVSlaq","properties":{"formattedCitation":"(Department of Health 2021)","plainCitation":"(Department of Health 2021)","noteIndex":0},"citationItems":[{"id":806,"uris":["http://zotero.org/users/6230888/items/NWNXT6NL"],"itemData":{"id":806,"type":"article-journal","language":"en","page":"80","source":"Zotero","title":"National Dust Disease Taskforce Final Report to Minister for Health and Aged Care","author":[{"literal":"Department of Health"}],"issued":{"date-parts":[["2021"]]}}}],"schema":"https://github.com/citation-style-language/schema/raw/master/csl-citation.json"} </w:instrText>
      </w:r>
      <w:r w:rsidR="0039083F" w:rsidRPr="009D0A4A">
        <w:fldChar w:fldCharType="separate"/>
      </w:r>
      <w:r w:rsidR="006B4A7D" w:rsidRPr="009D0A4A">
        <w:rPr>
          <w:rFonts w:ascii="Calibri" w:hAnsi="Calibri" w:cs="Calibri"/>
        </w:rPr>
        <w:t>(Department of Health 2021)</w:t>
      </w:r>
      <w:r w:rsidR="0039083F" w:rsidRPr="009D0A4A">
        <w:fldChar w:fldCharType="end"/>
      </w:r>
      <w:r w:rsidR="00587778" w:rsidRPr="009D0A4A">
        <w:t xml:space="preserve">. </w:t>
      </w:r>
    </w:p>
    <w:p w14:paraId="70E7EC8E" w14:textId="3EB9CCEE" w:rsidR="00614EC0" w:rsidRPr="009D0A4A" w:rsidRDefault="00587778" w:rsidP="00587778">
      <w:pPr>
        <w:pStyle w:val="EmphasisPanelBody"/>
        <w:jc w:val="both"/>
      </w:pPr>
      <w:r w:rsidRPr="009D0A4A">
        <w:t>Silicosis is an irreversible and debilitating disease, largely caused by workplace exposure to RCS. The National Dust Disease Taskforce noted that silicosis is “entirely preventable”, largely driven by the increase in use of engineered stone in Australia. They also noted that “… every case of silicosis affecting a stone benchtop worker is evidence that businesses, industry and governments need to do more to recognise and control the risks of working with engineered stone"</w:t>
      </w:r>
      <w:r w:rsidR="0039083F" w:rsidRPr="009D0A4A">
        <w:t xml:space="preserve"> </w:t>
      </w:r>
      <w:r w:rsidR="0039083F" w:rsidRPr="009D0A4A">
        <w:fldChar w:fldCharType="begin"/>
      </w:r>
      <w:r w:rsidR="004067E3">
        <w:instrText xml:space="preserve"> ADDIN ZOTERO_ITEM CSL_CITATION {"citationID":"d4mw7mNC","properties":{"formattedCitation":"(Department of Health 2021)","plainCitation":"(Department of Health 2021)","noteIndex":0},"citationItems":[{"id":806,"uris":["http://zotero.org/users/6230888/items/NWNXT6NL"],"itemData":{"id":806,"type":"article-journal","language":"en","page":"80","source":"Zotero","title":"National Dust Disease Taskforce Final Report to Minister for Health and Aged Care","author":[{"literal":"Department of Health"}],"issued":{"date-parts":[["2021"]]}}}],"schema":"https://github.com/citation-style-language/schema/raw/master/csl-citation.json"} </w:instrText>
      </w:r>
      <w:r w:rsidR="0039083F" w:rsidRPr="009D0A4A">
        <w:fldChar w:fldCharType="separate"/>
      </w:r>
      <w:r w:rsidR="006B4A7D" w:rsidRPr="009D0A4A">
        <w:rPr>
          <w:rFonts w:ascii="Calibri" w:hAnsi="Calibri" w:cs="Calibri"/>
        </w:rPr>
        <w:t>(Department of Health 2021)</w:t>
      </w:r>
      <w:r w:rsidR="0039083F" w:rsidRPr="009D0A4A">
        <w:fldChar w:fldCharType="end"/>
      </w:r>
      <w:r w:rsidRPr="009D0A4A">
        <w:t xml:space="preserve">. Silicosis, and other </w:t>
      </w:r>
      <w:r w:rsidR="00880680" w:rsidRPr="009D0A4A">
        <w:t>silica related</w:t>
      </w:r>
      <w:r w:rsidRPr="009D0A4A">
        <w:t xml:space="preserve"> diseases, can be prevented by implementing effective controls to eliminate or minimise the generation of and exposure to RCS at work. </w:t>
      </w:r>
    </w:p>
    <w:p w14:paraId="6E920166" w14:textId="5C29836B" w:rsidR="008C1669" w:rsidRPr="009D0A4A" w:rsidRDefault="009B1D97" w:rsidP="00FA48E5">
      <w:pPr>
        <w:jc w:val="both"/>
      </w:pPr>
      <w:r w:rsidRPr="009D0A4A">
        <w:t xml:space="preserve">Evidence to support the problem statement </w:t>
      </w:r>
      <w:r w:rsidR="008072F8" w:rsidRPr="009D0A4A">
        <w:t>are presented in</w:t>
      </w:r>
      <w:r w:rsidR="0047326B" w:rsidRPr="009D0A4A">
        <w:t xml:space="preserve"> Table </w:t>
      </w:r>
      <w:r w:rsidR="003F5102" w:rsidRPr="009D0A4A">
        <w:t xml:space="preserve">3 </w:t>
      </w:r>
      <w:r w:rsidR="008072F8" w:rsidRPr="009D0A4A">
        <w:t xml:space="preserve">below and </w:t>
      </w:r>
      <w:r w:rsidR="008C1669" w:rsidRPr="009D0A4A">
        <w:t>discussed further in the following sections</w:t>
      </w:r>
      <w:r w:rsidR="00CE7822" w:rsidRPr="009D0A4A">
        <w:t xml:space="preserve">. </w:t>
      </w:r>
      <w:r w:rsidR="008C1669" w:rsidRPr="009D0A4A">
        <w:t xml:space="preserve"> </w:t>
      </w:r>
    </w:p>
    <w:p w14:paraId="403FED92" w14:textId="3FA3883F" w:rsidR="009F5D68" w:rsidRPr="009D0A4A" w:rsidRDefault="0047326B" w:rsidP="00860D7A">
      <w:pPr>
        <w:pStyle w:val="Caption"/>
        <w:jc w:val="both"/>
      </w:pPr>
      <w:r w:rsidRPr="009D0A4A">
        <w:t xml:space="preserve">Table </w:t>
      </w:r>
      <w:r w:rsidR="003F5102" w:rsidRPr="009D0A4A">
        <w:t>3</w:t>
      </w:r>
      <w:r w:rsidRPr="009D0A4A">
        <w:t>:</w:t>
      </w:r>
      <w:r w:rsidR="009F5D68" w:rsidRPr="009D0A4A">
        <w:t xml:space="preserve"> </w:t>
      </w:r>
      <w:r w:rsidR="003F7607" w:rsidRPr="009D0A4A">
        <w:t>Summary of problem statement</w:t>
      </w:r>
      <w:r w:rsidR="009F5D68" w:rsidRPr="009D0A4A">
        <w:t xml:space="preserve"> </w:t>
      </w:r>
    </w:p>
    <w:tbl>
      <w:tblPr>
        <w:tblStyle w:val="PMCDefaultTableStyle"/>
        <w:tblW w:w="5000" w:type="pct"/>
        <w:tblLook w:val="04A0" w:firstRow="1" w:lastRow="0" w:firstColumn="1" w:lastColumn="0" w:noHBand="0" w:noVBand="1"/>
      </w:tblPr>
      <w:tblGrid>
        <w:gridCol w:w="4110"/>
        <w:gridCol w:w="6094"/>
      </w:tblGrid>
      <w:tr w:rsidR="008C1669" w:rsidRPr="009D0A4A" w14:paraId="0E688F7E" w14:textId="77777777" w:rsidTr="41ED4117">
        <w:trPr>
          <w:cnfStyle w:val="100000000000" w:firstRow="1" w:lastRow="0" w:firstColumn="0" w:lastColumn="0" w:oddVBand="0" w:evenVBand="0" w:oddHBand="0" w:evenHBand="0" w:firstRowFirstColumn="0" w:firstRowLastColumn="0" w:lastRowFirstColumn="0" w:lastRowLastColumn="0"/>
        </w:trPr>
        <w:tc>
          <w:tcPr>
            <w:tcW w:w="2014" w:type="pct"/>
          </w:tcPr>
          <w:p w14:paraId="71CF6E06" w14:textId="4FE5AF5C" w:rsidR="008C1669" w:rsidRPr="009D0A4A" w:rsidRDefault="00784DAC" w:rsidP="00FA48E5">
            <w:pPr>
              <w:pStyle w:val="BodyText"/>
              <w:jc w:val="both"/>
            </w:pPr>
            <w:r w:rsidRPr="009D0A4A">
              <w:t xml:space="preserve">Problem </w:t>
            </w:r>
            <w:r w:rsidR="00470B0F" w:rsidRPr="009D0A4A">
              <w:t>definition</w:t>
            </w:r>
          </w:p>
        </w:tc>
        <w:tc>
          <w:tcPr>
            <w:tcW w:w="2986" w:type="pct"/>
          </w:tcPr>
          <w:p w14:paraId="3DBCC89A" w14:textId="7DD81DF7" w:rsidR="008C1669" w:rsidRPr="009D0A4A" w:rsidRDefault="00BD6251" w:rsidP="00FA48E5">
            <w:pPr>
              <w:jc w:val="both"/>
            </w:pPr>
            <w:r w:rsidRPr="009D0A4A">
              <w:t>Evidence</w:t>
            </w:r>
            <w:r w:rsidR="00470B0F" w:rsidRPr="009D0A4A">
              <w:t xml:space="preserve"> to support problem definition</w:t>
            </w:r>
          </w:p>
        </w:tc>
      </w:tr>
      <w:tr w:rsidR="008C1669" w:rsidRPr="009D0A4A" w14:paraId="1EDDDF7F" w14:textId="77777777" w:rsidTr="41ED4117">
        <w:trPr>
          <w:cnfStyle w:val="000000100000" w:firstRow="0" w:lastRow="0" w:firstColumn="0" w:lastColumn="0" w:oddVBand="0" w:evenVBand="0" w:oddHBand="1" w:evenHBand="0" w:firstRowFirstColumn="0" w:firstRowLastColumn="0" w:lastRowFirstColumn="0" w:lastRowLastColumn="0"/>
        </w:trPr>
        <w:tc>
          <w:tcPr>
            <w:tcW w:w="2014" w:type="pct"/>
          </w:tcPr>
          <w:p w14:paraId="5C559C8E" w14:textId="7B452C8A" w:rsidR="008C1669" w:rsidRPr="009D0A4A" w:rsidRDefault="00860D7A" w:rsidP="00EB19EE">
            <w:r w:rsidRPr="009D0A4A">
              <w:t xml:space="preserve">Workers in a broad range of industries are </w:t>
            </w:r>
            <w:r w:rsidR="007C4346" w:rsidRPr="009D0A4A">
              <w:t>at</w:t>
            </w:r>
            <w:r w:rsidR="00587778" w:rsidRPr="009D0A4A">
              <w:t xml:space="preserve"> </w:t>
            </w:r>
            <w:r w:rsidR="007C4346" w:rsidRPr="009D0A4A">
              <w:t xml:space="preserve">risk of silicosis and </w:t>
            </w:r>
            <w:r w:rsidR="00880680" w:rsidRPr="009D0A4A">
              <w:t>silica related</w:t>
            </w:r>
            <w:r w:rsidR="007C4346" w:rsidRPr="009D0A4A">
              <w:t xml:space="preserve"> diseases</w:t>
            </w:r>
          </w:p>
        </w:tc>
        <w:tc>
          <w:tcPr>
            <w:tcW w:w="2986" w:type="pct"/>
          </w:tcPr>
          <w:p w14:paraId="172D043D" w14:textId="6EA139AF" w:rsidR="001622CB" w:rsidRPr="009D0A4A" w:rsidRDefault="00860D7A" w:rsidP="00C709B5">
            <w:pPr>
              <w:pStyle w:val="ListParagraph"/>
              <w:numPr>
                <w:ilvl w:val="0"/>
                <w:numId w:val="11"/>
              </w:numPr>
            </w:pPr>
            <w:r w:rsidRPr="009D0A4A">
              <w:t>Evidence that workers in a</w:t>
            </w:r>
            <w:r w:rsidR="007C4346" w:rsidRPr="009D0A4A">
              <w:t xml:space="preserve"> broad</w:t>
            </w:r>
            <w:r w:rsidRPr="009D0A4A">
              <w:t xml:space="preserve"> range of industries are exposed to </w:t>
            </w:r>
            <w:r w:rsidR="007C4346" w:rsidRPr="009D0A4A">
              <w:t>RCS</w:t>
            </w:r>
          </w:p>
          <w:p w14:paraId="4FF1F800" w14:textId="644F0361" w:rsidR="00860D7A" w:rsidRPr="009D0A4A" w:rsidRDefault="007C4346" w:rsidP="00C709B5">
            <w:pPr>
              <w:pStyle w:val="ListParagraph"/>
              <w:numPr>
                <w:ilvl w:val="0"/>
                <w:numId w:val="11"/>
              </w:numPr>
            </w:pPr>
            <w:r w:rsidRPr="009D0A4A">
              <w:t>The</w:t>
            </w:r>
            <w:r w:rsidR="00587778" w:rsidRPr="009D0A4A">
              <w:t xml:space="preserve"> </w:t>
            </w:r>
            <w:r w:rsidR="008C5384" w:rsidRPr="009D0A4A">
              <w:t>number of cases</w:t>
            </w:r>
            <w:r w:rsidR="00860D7A" w:rsidRPr="009D0A4A">
              <w:t xml:space="preserve"> of silicosis</w:t>
            </w:r>
            <w:r w:rsidR="00587778" w:rsidRPr="009D0A4A">
              <w:t xml:space="preserve"> </w:t>
            </w:r>
          </w:p>
          <w:p w14:paraId="037178E5" w14:textId="56886383" w:rsidR="007C4346" w:rsidRPr="009D0A4A" w:rsidRDefault="007C4346" w:rsidP="00C709B5">
            <w:pPr>
              <w:pStyle w:val="ListParagraph"/>
              <w:numPr>
                <w:ilvl w:val="0"/>
                <w:numId w:val="11"/>
              </w:numPr>
            </w:pPr>
            <w:r w:rsidRPr="009D0A4A">
              <w:t>The</w:t>
            </w:r>
            <w:r w:rsidR="00587778" w:rsidRPr="009D0A4A">
              <w:t xml:space="preserve"> </w:t>
            </w:r>
            <w:r w:rsidR="008C5384" w:rsidRPr="009D0A4A">
              <w:t>number of cases of</w:t>
            </w:r>
            <w:r w:rsidRPr="009D0A4A">
              <w:t xml:space="preserve"> other </w:t>
            </w:r>
            <w:r w:rsidR="00880680" w:rsidRPr="009D0A4A">
              <w:t>silica related</w:t>
            </w:r>
            <w:r w:rsidRPr="009D0A4A">
              <w:t xml:space="preserve"> diseases</w:t>
            </w:r>
          </w:p>
          <w:p w14:paraId="5B63CDE0" w14:textId="2D14EF4C" w:rsidR="008C1669" w:rsidRPr="009D0A4A" w:rsidRDefault="008C1669" w:rsidP="00EB19EE">
            <w:pPr>
              <w:pStyle w:val="ListParagraph"/>
              <w:spacing w:after="0" w:line="240" w:lineRule="auto"/>
            </w:pPr>
          </w:p>
        </w:tc>
      </w:tr>
      <w:tr w:rsidR="008C1669" w:rsidRPr="009D0A4A" w14:paraId="285AEBE7" w14:textId="77777777" w:rsidTr="41ED4117">
        <w:trPr>
          <w:cnfStyle w:val="000000010000" w:firstRow="0" w:lastRow="0" w:firstColumn="0" w:lastColumn="0" w:oddVBand="0" w:evenVBand="0" w:oddHBand="0" w:evenHBand="1" w:firstRowFirstColumn="0" w:firstRowLastColumn="0" w:lastRowFirstColumn="0" w:lastRowLastColumn="0"/>
        </w:trPr>
        <w:tc>
          <w:tcPr>
            <w:tcW w:w="2014" w:type="pct"/>
          </w:tcPr>
          <w:p w14:paraId="40D3CBCD" w14:textId="3A2EF286" w:rsidR="008C1669" w:rsidRPr="009D0A4A" w:rsidRDefault="00F20D37" w:rsidP="00EB19EE">
            <w:r w:rsidRPr="009D0A4A">
              <w:t xml:space="preserve">Worker exposure to </w:t>
            </w:r>
            <w:r w:rsidR="006F1E8E" w:rsidRPr="009D0A4A">
              <w:t>RCS</w:t>
            </w:r>
            <w:r w:rsidRPr="009D0A4A">
              <w:t xml:space="preserve"> is due to lack of understanding of the risks and the current regulatory requirements to ensure the health and safety of those working with silica-containing materials</w:t>
            </w:r>
          </w:p>
        </w:tc>
        <w:tc>
          <w:tcPr>
            <w:tcW w:w="2986" w:type="pct"/>
          </w:tcPr>
          <w:p w14:paraId="39DB4700" w14:textId="3C3BF587" w:rsidR="007752C5" w:rsidRPr="009D0A4A" w:rsidRDefault="007752C5" w:rsidP="00C709B5">
            <w:pPr>
              <w:pStyle w:val="ListParagraph"/>
              <w:numPr>
                <w:ilvl w:val="0"/>
                <w:numId w:val="11"/>
              </w:numPr>
              <w:spacing w:after="0" w:line="240" w:lineRule="auto"/>
            </w:pPr>
            <w:r w:rsidRPr="009D0A4A">
              <w:t xml:space="preserve">Lack of awareness of </w:t>
            </w:r>
            <w:r w:rsidR="00880680" w:rsidRPr="009D0A4A">
              <w:t>silica related</w:t>
            </w:r>
            <w:r w:rsidRPr="009D0A4A">
              <w:t xml:space="preserve"> risks</w:t>
            </w:r>
          </w:p>
          <w:p w14:paraId="1BB77DD7" w14:textId="495E72BA" w:rsidR="003239CA" w:rsidRPr="009D0A4A" w:rsidRDefault="003239CA" w:rsidP="00C709B5">
            <w:pPr>
              <w:pStyle w:val="ListParagraph"/>
              <w:numPr>
                <w:ilvl w:val="0"/>
                <w:numId w:val="11"/>
              </w:numPr>
              <w:spacing w:after="0" w:line="240" w:lineRule="auto"/>
            </w:pPr>
            <w:r w:rsidRPr="009D0A4A">
              <w:t xml:space="preserve">Lack of clarity around </w:t>
            </w:r>
            <w:r w:rsidR="00396A5D" w:rsidRPr="009D0A4A">
              <w:t>how to comply with the WHS laws</w:t>
            </w:r>
          </w:p>
          <w:p w14:paraId="183E47F3" w14:textId="07DBCF23" w:rsidR="008C1669" w:rsidRPr="009D0A4A" w:rsidRDefault="008C1669" w:rsidP="00EB19EE">
            <w:pPr>
              <w:spacing w:after="0" w:line="240" w:lineRule="auto"/>
            </w:pPr>
          </w:p>
        </w:tc>
      </w:tr>
      <w:tr w:rsidR="008C1669" w:rsidRPr="009D0A4A" w14:paraId="1362B7E4" w14:textId="77777777" w:rsidTr="41ED4117">
        <w:trPr>
          <w:cnfStyle w:val="000000100000" w:firstRow="0" w:lastRow="0" w:firstColumn="0" w:lastColumn="0" w:oddVBand="0" w:evenVBand="0" w:oddHBand="1" w:evenHBand="0" w:firstRowFirstColumn="0" w:firstRowLastColumn="0" w:lastRowFirstColumn="0" w:lastRowLastColumn="0"/>
        </w:trPr>
        <w:tc>
          <w:tcPr>
            <w:tcW w:w="2014" w:type="pct"/>
          </w:tcPr>
          <w:p w14:paraId="4318C05B" w14:textId="666737C9" w:rsidR="008C1669" w:rsidRPr="009D0A4A" w:rsidRDefault="00860D7A" w:rsidP="00EB19EE">
            <w:r w:rsidRPr="009D0A4A">
              <w:t>There are i</w:t>
            </w:r>
            <w:r w:rsidR="005C00D6" w:rsidRPr="009D0A4A">
              <w:t xml:space="preserve">nadequate levels of compliance and enforcement </w:t>
            </w:r>
            <w:r w:rsidRPr="009D0A4A">
              <w:t xml:space="preserve">with the </w:t>
            </w:r>
            <w:r w:rsidR="005C00D6" w:rsidRPr="009D0A4A">
              <w:t xml:space="preserve">current </w:t>
            </w:r>
            <w:r w:rsidRPr="009D0A4A">
              <w:t>model WHS laws</w:t>
            </w:r>
            <w:r w:rsidR="005C00D6" w:rsidRPr="009D0A4A">
              <w:t xml:space="preserve">. </w:t>
            </w:r>
          </w:p>
        </w:tc>
        <w:tc>
          <w:tcPr>
            <w:tcW w:w="2986" w:type="pct"/>
          </w:tcPr>
          <w:p w14:paraId="226F5787" w14:textId="77777777" w:rsidR="001832DE" w:rsidRPr="009D0A4A" w:rsidRDefault="00FD2A1D" w:rsidP="00C709B5">
            <w:pPr>
              <w:pStyle w:val="ListParagraph"/>
              <w:numPr>
                <w:ilvl w:val="0"/>
                <w:numId w:val="11"/>
              </w:numPr>
              <w:spacing w:after="0" w:line="240" w:lineRule="auto"/>
            </w:pPr>
            <w:r w:rsidRPr="009D0A4A">
              <w:t>Lack of compliance with current regulatory requirements</w:t>
            </w:r>
          </w:p>
          <w:p w14:paraId="32CC297C" w14:textId="0377C2D9" w:rsidR="006F1E8E" w:rsidRPr="009D0A4A" w:rsidRDefault="00FD2A1D" w:rsidP="00C709B5">
            <w:pPr>
              <w:pStyle w:val="ListParagraph"/>
              <w:numPr>
                <w:ilvl w:val="0"/>
                <w:numId w:val="11"/>
              </w:numPr>
              <w:spacing w:after="0" w:line="240" w:lineRule="auto"/>
            </w:pPr>
            <w:r w:rsidRPr="009D0A4A">
              <w:t xml:space="preserve">Current regulations are insufficient to ensure workers are not exposed to </w:t>
            </w:r>
            <w:r w:rsidR="006F1E8E" w:rsidRPr="009D0A4A">
              <w:t xml:space="preserve">RCS </w:t>
            </w:r>
          </w:p>
          <w:p w14:paraId="279828D2" w14:textId="6AA342CD" w:rsidR="00FD2A1D" w:rsidRPr="009D0A4A" w:rsidRDefault="00D26D77" w:rsidP="00C709B5">
            <w:pPr>
              <w:pStyle w:val="ListParagraph"/>
              <w:numPr>
                <w:ilvl w:val="0"/>
                <w:numId w:val="11"/>
              </w:numPr>
              <w:spacing w:after="0" w:line="240" w:lineRule="auto"/>
            </w:pPr>
            <w:r w:rsidRPr="009D0A4A">
              <w:t>WHS r</w:t>
            </w:r>
            <w:r w:rsidR="00FD2A1D" w:rsidRPr="009D0A4A">
              <w:t xml:space="preserve">egulators </w:t>
            </w:r>
            <w:r w:rsidR="00C13621" w:rsidRPr="009D0A4A">
              <w:t>may be</w:t>
            </w:r>
            <w:r w:rsidR="00FD2A1D" w:rsidRPr="009D0A4A">
              <w:t xml:space="preserve"> unable to adequately </w:t>
            </w:r>
            <w:r w:rsidR="00335972" w:rsidRPr="009D0A4A">
              <w:t xml:space="preserve">ensure compliance with </w:t>
            </w:r>
            <w:r w:rsidR="002005B0" w:rsidRPr="009D0A4A">
              <w:t>the model WHS laws</w:t>
            </w:r>
          </w:p>
        </w:tc>
      </w:tr>
    </w:tbl>
    <w:p w14:paraId="6758FC2F" w14:textId="13E21354" w:rsidR="00E34E9A" w:rsidRPr="009D0A4A" w:rsidRDefault="007C4346" w:rsidP="003801F8">
      <w:pPr>
        <w:pStyle w:val="Heading2"/>
      </w:pPr>
      <w:bookmarkStart w:id="525" w:name="_Toc102142627"/>
      <w:bookmarkStart w:id="526" w:name="_Toc106109856"/>
      <w:bookmarkStart w:id="527" w:name="_Toc106112171"/>
      <w:bookmarkStart w:id="528" w:name="_Toc102142628"/>
      <w:bookmarkStart w:id="529" w:name="_Toc106109857"/>
      <w:bookmarkStart w:id="530" w:name="_Toc106112172"/>
      <w:bookmarkStart w:id="531" w:name="_Toc102142629"/>
      <w:bookmarkStart w:id="532" w:name="_Toc106109858"/>
      <w:bookmarkStart w:id="533" w:name="_Toc106112173"/>
      <w:bookmarkStart w:id="534" w:name="_Toc102142630"/>
      <w:bookmarkStart w:id="535" w:name="_Toc106109859"/>
      <w:bookmarkStart w:id="536" w:name="_Toc106112174"/>
      <w:bookmarkStart w:id="537" w:name="_Toc102142631"/>
      <w:bookmarkStart w:id="538" w:name="_Toc106109860"/>
      <w:bookmarkStart w:id="539" w:name="_Toc106112175"/>
      <w:bookmarkStart w:id="540" w:name="_Toc102142632"/>
      <w:bookmarkStart w:id="541" w:name="_Toc106109861"/>
      <w:bookmarkStart w:id="542" w:name="_Toc106112176"/>
      <w:bookmarkStart w:id="543" w:name="_Toc102142633"/>
      <w:bookmarkStart w:id="544" w:name="_Toc106109862"/>
      <w:bookmarkStart w:id="545" w:name="_Toc106112177"/>
      <w:bookmarkStart w:id="546" w:name="_Toc102142634"/>
      <w:bookmarkStart w:id="547" w:name="_Toc106109863"/>
      <w:bookmarkStart w:id="548" w:name="_Toc106112178"/>
      <w:bookmarkStart w:id="549" w:name="_Toc102142635"/>
      <w:bookmarkStart w:id="550" w:name="_Toc106109864"/>
      <w:bookmarkStart w:id="551" w:name="_Toc106112179"/>
      <w:bookmarkStart w:id="552" w:name="_Toc107395308"/>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sidRPr="009D0A4A">
        <w:t xml:space="preserve">Workers in a broad range of industries are at risk of silicosis and </w:t>
      </w:r>
      <w:r w:rsidR="00880680" w:rsidRPr="009D0A4A">
        <w:t>silica related</w:t>
      </w:r>
      <w:r w:rsidRPr="009D0A4A">
        <w:t xml:space="preserve"> diseases</w:t>
      </w:r>
      <w:bookmarkStart w:id="553" w:name="_Toc92873042"/>
      <w:bookmarkEnd w:id="552"/>
    </w:p>
    <w:p w14:paraId="7304357B" w14:textId="4B5FEC83" w:rsidR="00A51E56" w:rsidRPr="009D0A4A" w:rsidRDefault="00BC0604" w:rsidP="00B35053">
      <w:pPr>
        <w:pStyle w:val="Heading3"/>
        <w:jc w:val="both"/>
      </w:pPr>
      <w:r w:rsidRPr="009D0A4A">
        <w:t>The problem of RCS</w:t>
      </w:r>
    </w:p>
    <w:p w14:paraId="5396A93B" w14:textId="1693E17D" w:rsidR="00A51E56" w:rsidRPr="009D0A4A" w:rsidRDefault="00632BA5" w:rsidP="00CC390B">
      <w:pPr>
        <w:pStyle w:val="BodyText"/>
      </w:pPr>
      <w:r w:rsidRPr="009D0A4A">
        <w:t>Crystalline silica (silicon dioxide)</w:t>
      </w:r>
      <w:r w:rsidR="00A51E56" w:rsidRPr="009D0A4A">
        <w:t xml:space="preserve"> is a common </w:t>
      </w:r>
      <w:r w:rsidRPr="009D0A4A">
        <w:t>chemical</w:t>
      </w:r>
      <w:r w:rsidR="00A51E56" w:rsidRPr="009D0A4A">
        <w:t xml:space="preserve"> in earth’s crust and </w:t>
      </w:r>
      <w:r w:rsidR="00A51E56" w:rsidRPr="009D0A4A">
        <w:rPr>
          <w:lang w:val="en-US"/>
        </w:rPr>
        <w:t>is found in many rocks and natural stones like granite, slate and sandstone, and is also present, often at high concentrations, in some manufactured products such as engineered stone, concrete, bricks and tiles.</w:t>
      </w:r>
      <w:r w:rsidR="001D7733" w:rsidRPr="009D0A4A">
        <w:rPr>
          <w:lang w:val="en-US"/>
        </w:rPr>
        <w:t xml:space="preserve"> </w:t>
      </w:r>
      <w:r w:rsidR="00A04189" w:rsidRPr="009D0A4A">
        <w:t xml:space="preserve">Silica containing materials </w:t>
      </w:r>
      <w:r w:rsidR="00A04189" w:rsidRPr="009D0A4A">
        <w:rPr>
          <w:i/>
          <w:iCs/>
        </w:rPr>
        <w:t>in situ</w:t>
      </w:r>
      <w:r w:rsidR="00A04189" w:rsidRPr="009D0A4A">
        <w:t xml:space="preserve"> do not cause silicosis and silica related </w:t>
      </w:r>
      <w:r w:rsidR="00A04189" w:rsidRPr="009D0A4A">
        <w:lastRenderedPageBreak/>
        <w:t xml:space="preserve">diseases; it is the dust that is generated from processing these materials that has the potential to cause harm when it is </w:t>
      </w:r>
      <w:r w:rsidR="008C59EF" w:rsidRPr="009D0A4A">
        <w:t xml:space="preserve">airborne </w:t>
      </w:r>
      <w:r w:rsidR="00A04189" w:rsidRPr="009D0A4A">
        <w:t>and breathed in.</w:t>
      </w:r>
    </w:p>
    <w:p w14:paraId="55E71C0B" w14:textId="0D489AE5" w:rsidR="00A51E56" w:rsidRPr="009D0A4A" w:rsidRDefault="00A51E56" w:rsidP="00A51E56">
      <w:pPr>
        <w:jc w:val="both"/>
      </w:pPr>
      <w:r w:rsidRPr="009D0A4A">
        <w:t xml:space="preserve">The crystalline silica content of common materials used across industries can vary significantly, ranging up to 97 per cent, as outlined in </w:t>
      </w:r>
      <w:r w:rsidR="00C307B4" w:rsidRPr="009D0A4A">
        <w:t xml:space="preserve">Table </w:t>
      </w:r>
      <w:r w:rsidR="003F5102" w:rsidRPr="009D0A4A">
        <w:t>4</w:t>
      </w:r>
      <w:r w:rsidRPr="009D0A4A">
        <w:t xml:space="preserve"> below.</w:t>
      </w:r>
    </w:p>
    <w:p w14:paraId="1E2BA325" w14:textId="5A5E6E58" w:rsidR="00A51E56" w:rsidRPr="009D0A4A" w:rsidRDefault="007849AA" w:rsidP="007849AA">
      <w:pPr>
        <w:pStyle w:val="Caption"/>
        <w:jc w:val="both"/>
        <w:rPr>
          <w:b w:val="0"/>
          <w:iCs w:val="0"/>
        </w:rPr>
      </w:pPr>
      <w:r w:rsidRPr="009D0A4A">
        <w:t xml:space="preserve">Table </w:t>
      </w:r>
      <w:r w:rsidR="003F5102" w:rsidRPr="009D0A4A">
        <w:t>4</w:t>
      </w:r>
      <w:r w:rsidR="00A51E56" w:rsidRPr="009D0A4A">
        <w:t>: Silica composition of common materials</w:t>
      </w:r>
      <w:r w:rsidR="0039083F" w:rsidRPr="009D0A4A">
        <w:t xml:space="preserve"> </w:t>
      </w:r>
      <w:r w:rsidR="0039083F" w:rsidRPr="009D0A4A">
        <w:fldChar w:fldCharType="begin"/>
      </w:r>
      <w:r w:rsidR="004067E3">
        <w:instrText xml:space="preserve"> ADDIN ZOTERO_ITEM CSL_CITATION {"citationID":"OPx1XzVA","properties":{"formattedCitation":"(Safe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0039083F" w:rsidRPr="009D0A4A">
        <w:fldChar w:fldCharType="separate"/>
      </w:r>
      <w:r w:rsidR="006B4A7D" w:rsidRPr="009D0A4A">
        <w:rPr>
          <w:rFonts w:ascii="Century Gothic" w:hAnsi="Century Gothic"/>
        </w:rPr>
        <w:t>(Safe Work Australia 2021a)</w:t>
      </w:r>
      <w:r w:rsidR="0039083F" w:rsidRPr="009D0A4A">
        <w:fldChar w:fldCharType="end"/>
      </w:r>
    </w:p>
    <w:tbl>
      <w:tblPr>
        <w:tblStyle w:val="PMCDefaultTableStyle"/>
        <w:tblW w:w="5000" w:type="pct"/>
        <w:tblLook w:val="04A0" w:firstRow="1" w:lastRow="0" w:firstColumn="1" w:lastColumn="0" w:noHBand="0" w:noVBand="1"/>
      </w:tblPr>
      <w:tblGrid>
        <w:gridCol w:w="5102"/>
        <w:gridCol w:w="5102"/>
      </w:tblGrid>
      <w:tr w:rsidR="00A51E56" w:rsidRPr="009D0A4A" w14:paraId="36146F43" w14:textId="77777777" w:rsidTr="00A56418">
        <w:trPr>
          <w:cnfStyle w:val="100000000000" w:firstRow="1" w:lastRow="0" w:firstColumn="0" w:lastColumn="0" w:oddVBand="0" w:evenVBand="0" w:oddHBand="0" w:evenHBand="0" w:firstRowFirstColumn="0" w:firstRowLastColumn="0" w:lastRowFirstColumn="0" w:lastRowLastColumn="0"/>
        </w:trPr>
        <w:tc>
          <w:tcPr>
            <w:tcW w:w="2500" w:type="pct"/>
          </w:tcPr>
          <w:p w14:paraId="0B1E916B" w14:textId="77777777" w:rsidR="00A51E56" w:rsidRPr="009D0A4A" w:rsidRDefault="00A51E56" w:rsidP="00A56418">
            <w:pPr>
              <w:spacing w:before="0" w:after="120"/>
              <w:jc w:val="both"/>
              <w:rPr>
                <w:bCs/>
                <w:szCs w:val="18"/>
              </w:rPr>
            </w:pPr>
            <w:r w:rsidRPr="009D0A4A">
              <w:rPr>
                <w:bCs/>
                <w:szCs w:val="18"/>
              </w:rPr>
              <w:t>Type</w:t>
            </w:r>
          </w:p>
        </w:tc>
        <w:tc>
          <w:tcPr>
            <w:tcW w:w="2500" w:type="pct"/>
          </w:tcPr>
          <w:p w14:paraId="2EBD7A95" w14:textId="77777777" w:rsidR="00A51E56" w:rsidRPr="009D0A4A" w:rsidRDefault="00A51E56" w:rsidP="00A56418">
            <w:pPr>
              <w:spacing w:before="0" w:after="120"/>
              <w:jc w:val="both"/>
              <w:rPr>
                <w:bCs/>
                <w:szCs w:val="18"/>
              </w:rPr>
            </w:pPr>
            <w:r w:rsidRPr="009D0A4A">
              <w:rPr>
                <w:bCs/>
                <w:szCs w:val="18"/>
              </w:rPr>
              <w:t>Amount of silica (per cent)</w:t>
            </w:r>
          </w:p>
        </w:tc>
      </w:tr>
      <w:tr w:rsidR="00A51E56" w:rsidRPr="009D0A4A" w14:paraId="227B9E3B" w14:textId="77777777" w:rsidTr="00A56418">
        <w:trPr>
          <w:cnfStyle w:val="000000100000" w:firstRow="0" w:lastRow="0" w:firstColumn="0" w:lastColumn="0" w:oddVBand="0" w:evenVBand="0" w:oddHBand="1" w:evenHBand="0" w:firstRowFirstColumn="0" w:firstRowLastColumn="0" w:lastRowFirstColumn="0" w:lastRowLastColumn="0"/>
        </w:trPr>
        <w:tc>
          <w:tcPr>
            <w:tcW w:w="2500" w:type="pct"/>
          </w:tcPr>
          <w:p w14:paraId="48FD1B9B" w14:textId="77777777" w:rsidR="00A51E56" w:rsidRPr="009D0A4A" w:rsidRDefault="00A51E56" w:rsidP="00A56418">
            <w:pPr>
              <w:spacing w:before="0" w:after="120"/>
              <w:jc w:val="both"/>
              <w:rPr>
                <w:szCs w:val="18"/>
              </w:rPr>
            </w:pPr>
            <w:r w:rsidRPr="009D0A4A">
              <w:rPr>
                <w:szCs w:val="18"/>
              </w:rPr>
              <w:t>Marble</w:t>
            </w:r>
          </w:p>
        </w:tc>
        <w:tc>
          <w:tcPr>
            <w:tcW w:w="2500" w:type="pct"/>
          </w:tcPr>
          <w:p w14:paraId="3118E0FA" w14:textId="77777777" w:rsidR="00A51E56" w:rsidRPr="009D0A4A" w:rsidRDefault="00A51E56" w:rsidP="00A56418">
            <w:pPr>
              <w:spacing w:before="0" w:after="120"/>
              <w:jc w:val="both"/>
              <w:rPr>
                <w:szCs w:val="18"/>
              </w:rPr>
            </w:pPr>
            <w:r w:rsidRPr="009D0A4A">
              <w:rPr>
                <w:szCs w:val="18"/>
              </w:rPr>
              <w:t>2</w:t>
            </w:r>
          </w:p>
        </w:tc>
      </w:tr>
      <w:tr w:rsidR="00A51E56" w:rsidRPr="009D0A4A" w14:paraId="0091A519" w14:textId="77777777" w:rsidTr="00A56418">
        <w:trPr>
          <w:cnfStyle w:val="000000010000" w:firstRow="0" w:lastRow="0" w:firstColumn="0" w:lastColumn="0" w:oddVBand="0" w:evenVBand="0" w:oddHBand="0" w:evenHBand="1" w:firstRowFirstColumn="0" w:firstRowLastColumn="0" w:lastRowFirstColumn="0" w:lastRowLastColumn="0"/>
        </w:trPr>
        <w:tc>
          <w:tcPr>
            <w:tcW w:w="2500" w:type="pct"/>
          </w:tcPr>
          <w:p w14:paraId="7B71F4E1" w14:textId="77777777" w:rsidR="00A51E56" w:rsidRPr="009D0A4A" w:rsidRDefault="00A51E56" w:rsidP="00A56418">
            <w:pPr>
              <w:spacing w:before="0" w:after="120"/>
              <w:jc w:val="both"/>
              <w:rPr>
                <w:szCs w:val="18"/>
              </w:rPr>
            </w:pPr>
            <w:r w:rsidRPr="009D0A4A">
              <w:rPr>
                <w:szCs w:val="18"/>
              </w:rPr>
              <w:t>Limestone</w:t>
            </w:r>
          </w:p>
        </w:tc>
        <w:tc>
          <w:tcPr>
            <w:tcW w:w="2500" w:type="pct"/>
          </w:tcPr>
          <w:p w14:paraId="5DCC4576" w14:textId="77777777" w:rsidR="00A51E56" w:rsidRPr="009D0A4A" w:rsidRDefault="00A51E56" w:rsidP="00A56418">
            <w:pPr>
              <w:spacing w:before="0" w:after="120"/>
              <w:jc w:val="both"/>
              <w:rPr>
                <w:szCs w:val="18"/>
              </w:rPr>
            </w:pPr>
            <w:r w:rsidRPr="009D0A4A">
              <w:rPr>
                <w:szCs w:val="18"/>
              </w:rPr>
              <w:t>2</w:t>
            </w:r>
          </w:p>
        </w:tc>
      </w:tr>
      <w:tr w:rsidR="00A51E56" w:rsidRPr="009D0A4A" w14:paraId="3A994E92" w14:textId="77777777" w:rsidTr="00A56418">
        <w:trPr>
          <w:cnfStyle w:val="000000100000" w:firstRow="0" w:lastRow="0" w:firstColumn="0" w:lastColumn="0" w:oddVBand="0" w:evenVBand="0" w:oddHBand="1" w:evenHBand="0" w:firstRowFirstColumn="0" w:firstRowLastColumn="0" w:lastRowFirstColumn="0" w:lastRowLastColumn="0"/>
        </w:trPr>
        <w:tc>
          <w:tcPr>
            <w:tcW w:w="2500" w:type="pct"/>
          </w:tcPr>
          <w:p w14:paraId="6E7772C4" w14:textId="77777777" w:rsidR="00A51E56" w:rsidRPr="009D0A4A" w:rsidRDefault="00A51E56" w:rsidP="00A56418">
            <w:pPr>
              <w:spacing w:before="0" w:after="120"/>
              <w:jc w:val="both"/>
              <w:rPr>
                <w:szCs w:val="18"/>
              </w:rPr>
            </w:pPr>
            <w:r w:rsidRPr="009D0A4A">
              <w:rPr>
                <w:szCs w:val="18"/>
              </w:rPr>
              <w:t>Slate</w:t>
            </w:r>
          </w:p>
        </w:tc>
        <w:tc>
          <w:tcPr>
            <w:tcW w:w="2500" w:type="pct"/>
          </w:tcPr>
          <w:p w14:paraId="777ABC5E" w14:textId="017D03EC" w:rsidR="00A51E56" w:rsidRPr="009D0A4A" w:rsidRDefault="00A51E56" w:rsidP="00A56418">
            <w:pPr>
              <w:spacing w:before="0" w:after="120"/>
              <w:jc w:val="both"/>
              <w:rPr>
                <w:szCs w:val="18"/>
              </w:rPr>
            </w:pPr>
            <w:r w:rsidRPr="009D0A4A">
              <w:rPr>
                <w:szCs w:val="18"/>
              </w:rPr>
              <w:t>2</w:t>
            </w:r>
            <w:r w:rsidR="00FC4908" w:rsidRPr="009D0A4A">
              <w:rPr>
                <w:szCs w:val="18"/>
              </w:rPr>
              <w:t>5</w:t>
            </w:r>
            <w:r w:rsidRPr="009D0A4A">
              <w:rPr>
                <w:szCs w:val="18"/>
              </w:rPr>
              <w:t xml:space="preserve"> to 40</w:t>
            </w:r>
          </w:p>
        </w:tc>
      </w:tr>
      <w:tr w:rsidR="00A51E56" w:rsidRPr="009D0A4A" w14:paraId="1FC42BB8" w14:textId="77777777" w:rsidTr="00A56418">
        <w:trPr>
          <w:cnfStyle w:val="000000010000" w:firstRow="0" w:lastRow="0" w:firstColumn="0" w:lastColumn="0" w:oddVBand="0" w:evenVBand="0" w:oddHBand="0" w:evenHBand="1" w:firstRowFirstColumn="0" w:firstRowLastColumn="0" w:lastRowFirstColumn="0" w:lastRowLastColumn="0"/>
        </w:trPr>
        <w:tc>
          <w:tcPr>
            <w:tcW w:w="2500" w:type="pct"/>
          </w:tcPr>
          <w:p w14:paraId="26680A96" w14:textId="77777777" w:rsidR="00A51E56" w:rsidRPr="009D0A4A" w:rsidRDefault="00A51E56" w:rsidP="00A56418">
            <w:pPr>
              <w:spacing w:before="0" w:after="120"/>
              <w:jc w:val="both"/>
              <w:rPr>
                <w:szCs w:val="18"/>
              </w:rPr>
            </w:pPr>
            <w:r w:rsidRPr="009D0A4A">
              <w:rPr>
                <w:szCs w:val="18"/>
              </w:rPr>
              <w:t>Shale</w:t>
            </w:r>
          </w:p>
        </w:tc>
        <w:tc>
          <w:tcPr>
            <w:tcW w:w="2500" w:type="pct"/>
          </w:tcPr>
          <w:p w14:paraId="006AE447" w14:textId="77777777" w:rsidR="00A51E56" w:rsidRPr="009D0A4A" w:rsidRDefault="00A51E56" w:rsidP="00A56418">
            <w:pPr>
              <w:spacing w:before="0" w:after="120"/>
              <w:jc w:val="both"/>
              <w:rPr>
                <w:szCs w:val="18"/>
              </w:rPr>
            </w:pPr>
            <w:r w:rsidRPr="009D0A4A">
              <w:rPr>
                <w:szCs w:val="18"/>
              </w:rPr>
              <w:t>22</w:t>
            </w:r>
          </w:p>
        </w:tc>
      </w:tr>
      <w:tr w:rsidR="00A51E56" w:rsidRPr="009D0A4A" w14:paraId="3232195A" w14:textId="77777777" w:rsidTr="00A56418">
        <w:trPr>
          <w:cnfStyle w:val="000000100000" w:firstRow="0" w:lastRow="0" w:firstColumn="0" w:lastColumn="0" w:oddVBand="0" w:evenVBand="0" w:oddHBand="1" w:evenHBand="0" w:firstRowFirstColumn="0" w:firstRowLastColumn="0" w:lastRowFirstColumn="0" w:lastRowLastColumn="0"/>
        </w:trPr>
        <w:tc>
          <w:tcPr>
            <w:tcW w:w="2500" w:type="pct"/>
          </w:tcPr>
          <w:p w14:paraId="43CE06F7" w14:textId="77777777" w:rsidR="00A51E56" w:rsidRPr="009D0A4A" w:rsidRDefault="00A51E56" w:rsidP="00A56418">
            <w:pPr>
              <w:spacing w:before="0" w:after="120"/>
              <w:jc w:val="both"/>
              <w:rPr>
                <w:szCs w:val="18"/>
              </w:rPr>
            </w:pPr>
            <w:r w:rsidRPr="009D0A4A">
              <w:rPr>
                <w:szCs w:val="18"/>
              </w:rPr>
              <w:t>Granite</w:t>
            </w:r>
          </w:p>
        </w:tc>
        <w:tc>
          <w:tcPr>
            <w:tcW w:w="2500" w:type="pct"/>
          </w:tcPr>
          <w:p w14:paraId="51EDFDE5" w14:textId="77777777" w:rsidR="00A51E56" w:rsidRPr="009D0A4A" w:rsidRDefault="00A51E56" w:rsidP="00A56418">
            <w:pPr>
              <w:spacing w:before="0" w:after="120"/>
              <w:jc w:val="both"/>
              <w:rPr>
                <w:szCs w:val="18"/>
              </w:rPr>
            </w:pPr>
            <w:r w:rsidRPr="009D0A4A">
              <w:rPr>
                <w:szCs w:val="18"/>
              </w:rPr>
              <w:t>20 to 45 (typically 30)</w:t>
            </w:r>
          </w:p>
        </w:tc>
      </w:tr>
      <w:tr w:rsidR="00A51E56" w:rsidRPr="009D0A4A" w14:paraId="3D901E27" w14:textId="77777777" w:rsidTr="00A56418">
        <w:trPr>
          <w:cnfStyle w:val="000000010000" w:firstRow="0" w:lastRow="0" w:firstColumn="0" w:lastColumn="0" w:oddVBand="0" w:evenVBand="0" w:oddHBand="0" w:evenHBand="1" w:firstRowFirstColumn="0" w:firstRowLastColumn="0" w:lastRowFirstColumn="0" w:lastRowLastColumn="0"/>
        </w:trPr>
        <w:tc>
          <w:tcPr>
            <w:tcW w:w="2500" w:type="pct"/>
          </w:tcPr>
          <w:p w14:paraId="47035F65" w14:textId="77777777" w:rsidR="00A51E56" w:rsidRPr="009D0A4A" w:rsidRDefault="00A51E56" w:rsidP="00A56418">
            <w:pPr>
              <w:spacing w:before="0" w:after="120"/>
              <w:jc w:val="both"/>
              <w:rPr>
                <w:szCs w:val="18"/>
              </w:rPr>
            </w:pPr>
            <w:r w:rsidRPr="009D0A4A">
              <w:rPr>
                <w:szCs w:val="18"/>
              </w:rPr>
              <w:t>Natural sandstone</w:t>
            </w:r>
          </w:p>
        </w:tc>
        <w:tc>
          <w:tcPr>
            <w:tcW w:w="2500" w:type="pct"/>
          </w:tcPr>
          <w:p w14:paraId="676F8D64" w14:textId="77777777" w:rsidR="00A51E56" w:rsidRPr="009D0A4A" w:rsidRDefault="00A51E56" w:rsidP="00A56418">
            <w:pPr>
              <w:spacing w:before="0" w:after="120"/>
              <w:jc w:val="both"/>
              <w:rPr>
                <w:szCs w:val="18"/>
              </w:rPr>
            </w:pPr>
            <w:r w:rsidRPr="009D0A4A">
              <w:rPr>
                <w:szCs w:val="18"/>
              </w:rPr>
              <w:t>70 to 95</w:t>
            </w:r>
          </w:p>
        </w:tc>
      </w:tr>
      <w:tr w:rsidR="00A51E56" w:rsidRPr="009D0A4A" w14:paraId="2DE6C7FF" w14:textId="77777777" w:rsidTr="00A56418">
        <w:trPr>
          <w:cnfStyle w:val="000000100000" w:firstRow="0" w:lastRow="0" w:firstColumn="0" w:lastColumn="0" w:oddVBand="0" w:evenVBand="0" w:oddHBand="1" w:evenHBand="0" w:firstRowFirstColumn="0" w:firstRowLastColumn="0" w:lastRowFirstColumn="0" w:lastRowLastColumn="0"/>
        </w:trPr>
        <w:tc>
          <w:tcPr>
            <w:tcW w:w="2500" w:type="pct"/>
          </w:tcPr>
          <w:p w14:paraId="5CE19C6D" w14:textId="77777777" w:rsidR="00A51E56" w:rsidRPr="009D0A4A" w:rsidRDefault="00A51E56" w:rsidP="00A56418">
            <w:pPr>
              <w:spacing w:before="0" w:after="120"/>
              <w:jc w:val="both"/>
              <w:rPr>
                <w:szCs w:val="18"/>
              </w:rPr>
            </w:pPr>
            <w:r w:rsidRPr="009D0A4A">
              <w:rPr>
                <w:szCs w:val="18"/>
              </w:rPr>
              <w:t>Composite (engineered or manufactured) stone</w:t>
            </w:r>
          </w:p>
        </w:tc>
        <w:tc>
          <w:tcPr>
            <w:tcW w:w="2500" w:type="pct"/>
          </w:tcPr>
          <w:p w14:paraId="563AEEC4" w14:textId="77777777" w:rsidR="00A51E56" w:rsidRPr="009D0A4A" w:rsidRDefault="00A51E56" w:rsidP="00A56418">
            <w:pPr>
              <w:spacing w:before="0" w:after="120"/>
              <w:jc w:val="both"/>
              <w:rPr>
                <w:szCs w:val="18"/>
              </w:rPr>
            </w:pPr>
            <w:r w:rsidRPr="009D0A4A">
              <w:rPr>
                <w:szCs w:val="18"/>
              </w:rPr>
              <w:t>Up to 97</w:t>
            </w:r>
          </w:p>
        </w:tc>
      </w:tr>
      <w:tr w:rsidR="00A51E56" w:rsidRPr="009D0A4A" w14:paraId="08C49257" w14:textId="77777777" w:rsidTr="00A56418">
        <w:trPr>
          <w:cnfStyle w:val="000000010000" w:firstRow="0" w:lastRow="0" w:firstColumn="0" w:lastColumn="0" w:oddVBand="0" w:evenVBand="0" w:oddHBand="0" w:evenHBand="1" w:firstRowFirstColumn="0" w:firstRowLastColumn="0" w:lastRowFirstColumn="0" w:lastRowLastColumn="0"/>
        </w:trPr>
        <w:tc>
          <w:tcPr>
            <w:tcW w:w="2500" w:type="pct"/>
          </w:tcPr>
          <w:p w14:paraId="09933F9B" w14:textId="77777777" w:rsidR="00A51E56" w:rsidRPr="009D0A4A" w:rsidRDefault="00A51E56" w:rsidP="00A56418">
            <w:pPr>
              <w:spacing w:before="0" w:after="120"/>
              <w:jc w:val="both"/>
              <w:rPr>
                <w:szCs w:val="18"/>
              </w:rPr>
            </w:pPr>
            <w:r w:rsidRPr="009D0A4A">
              <w:rPr>
                <w:szCs w:val="18"/>
              </w:rPr>
              <w:t>Aggregates, mortar and concrete</w:t>
            </w:r>
          </w:p>
        </w:tc>
        <w:tc>
          <w:tcPr>
            <w:tcW w:w="2500" w:type="pct"/>
          </w:tcPr>
          <w:p w14:paraId="70FBD919" w14:textId="77777777" w:rsidR="00A51E56" w:rsidRPr="009D0A4A" w:rsidRDefault="00A51E56" w:rsidP="00A56418">
            <w:pPr>
              <w:spacing w:before="0" w:after="120"/>
              <w:jc w:val="both"/>
              <w:rPr>
                <w:szCs w:val="18"/>
              </w:rPr>
            </w:pPr>
            <w:r w:rsidRPr="009D0A4A">
              <w:rPr>
                <w:szCs w:val="18"/>
              </w:rPr>
              <w:t>various</w:t>
            </w:r>
          </w:p>
        </w:tc>
      </w:tr>
    </w:tbl>
    <w:p w14:paraId="782EC9A0" w14:textId="0A8646C6" w:rsidR="00A51E56" w:rsidRPr="009D0A4A" w:rsidRDefault="00A51E56" w:rsidP="00A51E56">
      <w:pPr>
        <w:jc w:val="both"/>
        <w:rPr>
          <w:sz w:val="16"/>
          <w:szCs w:val="16"/>
        </w:rPr>
      </w:pPr>
    </w:p>
    <w:p w14:paraId="37CE5047" w14:textId="1F4DB004" w:rsidR="00712E7F" w:rsidRPr="009D0A4A" w:rsidRDefault="000F356B" w:rsidP="00712E7F">
      <w:pPr>
        <w:pStyle w:val="BodyText"/>
        <w:jc w:val="both"/>
      </w:pPr>
      <w:r w:rsidRPr="009D0A4A">
        <w:t>I</w:t>
      </w:r>
      <w:r w:rsidR="00712E7F" w:rsidRPr="009D0A4A">
        <w:t>t is well established that the main source of RCS exposure is occupational and that the accumulation of RCS dust in the lungs of exposed workers can lead to silicosis and other silica related diseases</w:t>
      </w:r>
      <w:r w:rsidR="00317507" w:rsidRPr="009D0A4A">
        <w:t xml:space="preserve"> (as outlined in </w:t>
      </w:r>
      <w:r w:rsidR="00317507" w:rsidRPr="009D0A4A">
        <w:rPr>
          <w:lang w:val="en-US"/>
        </w:rPr>
        <w:t xml:space="preserve">Section </w:t>
      </w:r>
      <w:r w:rsidR="00317507" w:rsidRPr="009D0A4A">
        <w:rPr>
          <w:lang w:val="en-US"/>
        </w:rPr>
        <w:fldChar w:fldCharType="begin"/>
      </w:r>
      <w:r w:rsidR="00317507" w:rsidRPr="009D0A4A">
        <w:rPr>
          <w:lang w:val="en-US"/>
        </w:rPr>
        <w:instrText xml:space="preserve"> REF _Ref102054054 \w \h  \* MERGEFORMAT </w:instrText>
      </w:r>
      <w:r w:rsidR="00317507" w:rsidRPr="009D0A4A">
        <w:rPr>
          <w:lang w:val="en-US"/>
        </w:rPr>
      </w:r>
      <w:r w:rsidR="00317507" w:rsidRPr="009D0A4A">
        <w:rPr>
          <w:lang w:val="en-US"/>
        </w:rPr>
        <w:fldChar w:fldCharType="separate"/>
      </w:r>
      <w:r w:rsidR="007A56E1">
        <w:rPr>
          <w:lang w:val="en-US"/>
        </w:rPr>
        <w:t>1.2</w:t>
      </w:r>
      <w:r w:rsidR="00317507" w:rsidRPr="009D0A4A">
        <w:rPr>
          <w:lang w:val="en-US"/>
        </w:rPr>
        <w:fldChar w:fldCharType="end"/>
      </w:r>
      <w:r w:rsidR="00317507" w:rsidRPr="009D0A4A">
        <w:rPr>
          <w:lang w:val="en-US"/>
        </w:rPr>
        <w:t>)</w:t>
      </w:r>
      <w:r w:rsidR="00712E7F" w:rsidRPr="009D0A4A">
        <w:t>. Recent health screening programs carried out by state and territory regulators and health authorities have determined that of the 4,743 workers screened, approximately 11</w:t>
      </w:r>
      <w:r w:rsidR="007C4FA8" w:rsidRPr="009D0A4A">
        <w:t xml:space="preserve"> per cent</w:t>
      </w:r>
      <w:r w:rsidR="00712E7F" w:rsidRPr="009D0A4A">
        <w:t xml:space="preserve"> received a positive diagnosis of a </w:t>
      </w:r>
      <w:r w:rsidR="00725091" w:rsidRPr="009D0A4A">
        <w:t xml:space="preserve">silicosis or </w:t>
      </w:r>
      <w:r w:rsidR="00712E7F" w:rsidRPr="009D0A4A">
        <w:t xml:space="preserve">silica related disease </w:t>
      </w:r>
      <w:r w:rsidR="004E3629" w:rsidRPr="009D0A4A">
        <w:t>because of</w:t>
      </w:r>
      <w:r w:rsidR="00712E7F" w:rsidRPr="009D0A4A">
        <w:t xml:space="preserve"> workplace exposure to RCS (See </w:t>
      </w:r>
      <w:r w:rsidR="00C307B4" w:rsidRPr="009D0A4A">
        <w:t>S</w:t>
      </w:r>
      <w:r w:rsidR="00712E7F" w:rsidRPr="009D0A4A">
        <w:t xml:space="preserve">ection </w:t>
      </w:r>
      <w:r w:rsidR="00EB19EE" w:rsidRPr="009D0A4A">
        <w:t>2.2.</w:t>
      </w:r>
      <w:r w:rsidR="001D28DC" w:rsidRPr="009D0A4A">
        <w:t>3</w:t>
      </w:r>
      <w:r w:rsidR="00EB19EE" w:rsidRPr="009D0A4A">
        <w:t>.</w:t>
      </w:r>
      <w:r w:rsidR="001D28DC" w:rsidRPr="009D0A4A">
        <w:t>2</w:t>
      </w:r>
      <w:r w:rsidR="00EB19EE" w:rsidRPr="009D0A4A">
        <w:t>)</w:t>
      </w:r>
      <w:r w:rsidR="00EB27AC" w:rsidRPr="009D0A4A">
        <w:t>.</w:t>
      </w:r>
    </w:p>
    <w:p w14:paraId="3D112DE8" w14:textId="28E6CBFE" w:rsidR="00A51E56" w:rsidRPr="009D0A4A" w:rsidRDefault="00A51E56" w:rsidP="00A51E56">
      <w:pPr>
        <w:pStyle w:val="BodyText"/>
        <w:jc w:val="both"/>
      </w:pPr>
      <w:r w:rsidRPr="009D0A4A">
        <w:t xml:space="preserve">Given the wide range of </w:t>
      </w:r>
      <w:r w:rsidR="00D14CDB" w:rsidRPr="009D0A4A">
        <w:t xml:space="preserve">materials that contain crystalline </w:t>
      </w:r>
      <w:r w:rsidRPr="009D0A4A">
        <w:t xml:space="preserve">silica, workers in many industries may be exposed to RCS </w:t>
      </w:r>
      <w:r w:rsidR="00E752D5" w:rsidRPr="009D0A4A">
        <w:t>at work</w:t>
      </w:r>
      <w:r w:rsidRPr="009D0A4A">
        <w:t>. Examples of work activities that can generate RCS include:</w:t>
      </w:r>
    </w:p>
    <w:p w14:paraId="571AE463" w14:textId="77777777" w:rsidR="00A51E56" w:rsidRPr="009D0A4A" w:rsidRDefault="00A51E56"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fabrication, cutting and installation of engineered stone countertops </w:t>
      </w:r>
    </w:p>
    <w:p w14:paraId="3DB89244" w14:textId="77777777" w:rsidR="00A51E56" w:rsidRPr="009D0A4A" w:rsidRDefault="00A51E56"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cutting and installation of natural stone countertops</w:t>
      </w:r>
    </w:p>
    <w:p w14:paraId="6CD00E8C" w14:textId="77777777" w:rsidR="00A51E56" w:rsidRPr="009D0A4A" w:rsidRDefault="00A51E56"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excavation, earth moving and drilling plant operations </w:t>
      </w:r>
    </w:p>
    <w:p w14:paraId="04CAF485" w14:textId="77777777" w:rsidR="00A51E56" w:rsidRPr="009D0A4A" w:rsidRDefault="00A51E56"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clay and stone processing machine operations </w:t>
      </w:r>
    </w:p>
    <w:p w14:paraId="7107E9D5" w14:textId="77777777" w:rsidR="00A51E56" w:rsidRPr="009D0A4A" w:rsidRDefault="00A51E56"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concrete cutting</w:t>
      </w:r>
    </w:p>
    <w:p w14:paraId="57A28797" w14:textId="77777777" w:rsidR="00A51E56" w:rsidRPr="00C50F73" w:rsidRDefault="00A51E56" w:rsidP="000C20A5">
      <w:pPr>
        <w:pStyle w:val="BodyText1"/>
        <w:numPr>
          <w:ilvl w:val="0"/>
          <w:numId w:val="20"/>
        </w:numPr>
        <w:jc w:val="both"/>
        <w:rPr>
          <w:rFonts w:asciiTheme="minorHAnsi" w:hAnsiTheme="minorHAnsi" w:cstheme="minorHAnsi"/>
          <w:sz w:val="20"/>
          <w:szCs w:val="20"/>
          <w:vertAlign w:val="superscript"/>
        </w:rPr>
      </w:pPr>
      <w:r w:rsidRPr="009D0A4A">
        <w:rPr>
          <w:rFonts w:asciiTheme="minorHAnsi" w:hAnsiTheme="minorHAnsi" w:cstheme="minorHAnsi"/>
          <w:sz w:val="20"/>
          <w:szCs w:val="20"/>
        </w:rPr>
        <w:t>mining, quarrying and mineral ore treating processes</w:t>
      </w:r>
      <w:r w:rsidRPr="00C50F73">
        <w:rPr>
          <w:rFonts w:asciiTheme="minorHAnsi" w:hAnsiTheme="minorHAnsi" w:cstheme="minorHAnsi"/>
          <w:sz w:val="20"/>
          <w:szCs w:val="20"/>
          <w:vertAlign w:val="superscript"/>
        </w:rPr>
        <w:footnoteReference w:id="3"/>
      </w:r>
    </w:p>
    <w:p w14:paraId="11388566" w14:textId="77777777" w:rsidR="00A51E56" w:rsidRPr="009D0A4A" w:rsidRDefault="00A51E56"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tunnelling </w:t>
      </w:r>
    </w:p>
    <w:p w14:paraId="169E4812" w14:textId="2B1E7783" w:rsidR="00A51E56" w:rsidRPr="009D0A4A" w:rsidRDefault="00A51E56"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brick, concrete or stone cutting; especially using dry methods</w:t>
      </w:r>
      <w:r w:rsidR="00D26D77" w:rsidRPr="009D0A4A">
        <w:rPr>
          <w:rFonts w:asciiTheme="minorHAnsi" w:hAnsiTheme="minorHAnsi" w:cstheme="minorHAnsi"/>
          <w:sz w:val="20"/>
          <w:szCs w:val="20"/>
        </w:rPr>
        <w:t xml:space="preserve">, and </w:t>
      </w:r>
    </w:p>
    <w:p w14:paraId="4041672B" w14:textId="369C3267" w:rsidR="00A51E56" w:rsidRPr="009D0A4A" w:rsidRDefault="00A51E56"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angle grinding, jack hammering and chiselling of concrete or masonry</w:t>
      </w:r>
      <w:r w:rsidR="00D26D77" w:rsidRPr="009D0A4A">
        <w:rPr>
          <w:rFonts w:asciiTheme="minorHAnsi" w:hAnsiTheme="minorHAnsi" w:cstheme="minorHAnsi"/>
          <w:sz w:val="20"/>
          <w:szCs w:val="20"/>
        </w:rPr>
        <w:t>.</w:t>
      </w:r>
    </w:p>
    <w:p w14:paraId="29636EBC" w14:textId="1470DDCE" w:rsidR="005D7D55" w:rsidRPr="009D0A4A" w:rsidRDefault="00B87E41" w:rsidP="007012B9">
      <w:pPr>
        <w:pStyle w:val="BodyText"/>
      </w:pPr>
      <w:r w:rsidRPr="009D0A4A">
        <w:t>The first cases of silicosis in Australian engineered stone fabricators were reported in 2015</w:t>
      </w:r>
      <w:r w:rsidR="0039083F" w:rsidRPr="009D0A4A">
        <w:t xml:space="preserve"> </w:t>
      </w:r>
      <w:r w:rsidR="0039083F" w:rsidRPr="009D0A4A">
        <w:fldChar w:fldCharType="begin"/>
      </w:r>
      <w:r w:rsidR="004067E3">
        <w:instrText xml:space="preserve"> ADDIN ZOTERO_ITEM CSL_CITATION {"citationID":"1PTbPH7P","properties":{"formattedCitation":"(Frankel et al. 2015)","plainCitation":"(Frankel et al. 2015)","noteIndex":0},"citationItems":[{"id":839,"uris":["http://zotero.org/users/6230888/items/Q46HV4R5"],"itemData":{"id":839,"type":"article-journal","abstract":"Regulations to control of exposure to silica have existed in Australia since the 1930s, but hazard awareness is imperfect. To highlight the dangers of exposure to respirable silica dust, we describe a case of silicosis in a 52 year man whose exposure to silica was cutting and polishing engineered stone kitchen and bathroom countertops. The man presented with breathlessness, later complicated by bilateral spontaneous pneumothoraces requiring tube thoracostomies, and now requires lung transplantation. An Australian man worked as a stone cutter for &gt;20 years. Conditions were dusty. He used a paper mask irregularly in the later years. There was no health screening and only minimal dust extraction measures. He smoked 20 cpd for 20 years. He noticed breathless and cough in 2006 and was diagnosed with emphysema; after haemoptysis he was referred for specialist advice and tuberculosis was excluded. Lung function showed severe airflow obstruction with gas trapping and a DLCO of 40% predicted. A lung biopsy confirmed silicosis. CT is shown.\n&lt;img class=\"highwire-fragment fragment-image\" alt=\"Figure\" src=\"https://erj.ersjournals.com/content/erj/46/suppl_59/PA1144/F1.medium.gif\"/&gt;Download figureOpen in new tabDownload powerpoint\nHe subsequently presented with bilateral non-contemporaneous pneumothoraces. This is the first case of silicosis associated with engineered stone described from Australia. This shows that silicosis still occurs despite occupational health &amp; safety regulations in developed countries. Such regulations are only as good as their implementation.","container-title":"European Respiratory Journal","DOI":"10.1183/13993003.congress-2015.PA1144","ISSN":"0903-1936, 1399-3003","issue":"suppl 59","language":"en","note":"publisher: European Respiratory Society\nsection: 6.2 Occupational and Environmental Health","source":"erj.ersjournals.com","title":"LATE-BREAKING ABSTRACT: Complicated silicosis in an Australian worker from cutting engineered stone countertops: An embarrassing first for Australia","title-short":"LATE-BREAKING ABSTRACT","URL":"https://erj.ersjournals.com/content/46/suppl_59/PA1144","volume":"46","author":[{"family":"Frankel","given":"Anthony"},{"family":"Blake","given":"Lucinda"},{"family":"Yates","given":"Deborah"}],"accessed":{"date-parts":[["2022",6,24]]},"issued":{"date-parts":[["2015"]]}}}],"schema":"https://github.com/citation-style-language/schema/raw/master/csl-citation.json"} </w:instrText>
      </w:r>
      <w:r w:rsidR="0039083F" w:rsidRPr="009D0A4A">
        <w:fldChar w:fldCharType="separate"/>
      </w:r>
      <w:r w:rsidR="006B4A7D" w:rsidRPr="009D0A4A">
        <w:rPr>
          <w:rFonts w:ascii="Calibri" w:hAnsi="Calibri" w:cs="Calibri"/>
        </w:rPr>
        <w:t>(Frankel et al. 2015)</w:t>
      </w:r>
      <w:r w:rsidR="0039083F" w:rsidRPr="009D0A4A">
        <w:fldChar w:fldCharType="end"/>
      </w:r>
      <w:r w:rsidRPr="009D0A4A">
        <w:t xml:space="preserve">. Subsequent health screening of stonemasons and other engineered stone workers has revealed a high prevalence of silicosis in this cohort of workers (see Section </w:t>
      </w:r>
      <w:r w:rsidR="001D28DC" w:rsidRPr="009D0A4A">
        <w:t>2.2.3.2</w:t>
      </w:r>
      <w:r w:rsidRPr="009D0A4A">
        <w:t xml:space="preserve">). Although this sector has been a focus of </w:t>
      </w:r>
      <w:r w:rsidR="00D26D77" w:rsidRPr="009D0A4A">
        <w:t xml:space="preserve">additional </w:t>
      </w:r>
      <w:r w:rsidRPr="009D0A4A">
        <w:t xml:space="preserve">regulation, compliance and </w:t>
      </w:r>
      <w:r w:rsidRPr="009D0A4A">
        <w:lastRenderedPageBreak/>
        <w:t>enforcement, workers in a broad range of industries</w:t>
      </w:r>
      <w:r w:rsidR="00DC1418" w:rsidRPr="009D0A4A">
        <w:t xml:space="preserve"> outside of the engineered stone sector</w:t>
      </w:r>
      <w:r w:rsidRPr="009D0A4A">
        <w:t xml:space="preserve"> have </w:t>
      </w:r>
      <w:r w:rsidR="00DC1418" w:rsidRPr="009D0A4A">
        <w:t xml:space="preserve">also </w:t>
      </w:r>
      <w:r w:rsidRPr="009D0A4A">
        <w:t>developed silicosis</w:t>
      </w:r>
      <w:r w:rsidR="003464FA" w:rsidRPr="009D0A4A">
        <w:t xml:space="preserve">, </w:t>
      </w:r>
      <w:r w:rsidR="00AC7E87" w:rsidRPr="009D0A4A">
        <w:t>as described</w:t>
      </w:r>
      <w:r w:rsidR="003464FA" w:rsidRPr="009D0A4A">
        <w:t xml:space="preserve"> in </w:t>
      </w:r>
      <w:r w:rsidR="00AC7E87" w:rsidRPr="009D0A4A">
        <w:t>S</w:t>
      </w:r>
      <w:r w:rsidR="003464FA" w:rsidRPr="009D0A4A">
        <w:t xml:space="preserve">ection </w:t>
      </w:r>
      <w:r w:rsidR="00F80B42" w:rsidRPr="009D0A4A">
        <w:t>2.2.3</w:t>
      </w:r>
      <w:r w:rsidR="001D28DC" w:rsidRPr="009D0A4A">
        <w:t>.1</w:t>
      </w:r>
      <w:r w:rsidRPr="009D0A4A">
        <w:t>.</w:t>
      </w:r>
    </w:p>
    <w:p w14:paraId="1AD3722E" w14:textId="6AD6AF5C" w:rsidR="00A51E56" w:rsidRPr="009D0A4A" w:rsidRDefault="00462623" w:rsidP="00A51E56">
      <w:pPr>
        <w:pStyle w:val="EmphasisPanelHeading"/>
        <w:jc w:val="both"/>
      </w:pPr>
      <w:r w:rsidRPr="009D0A4A">
        <w:t>Risks associated with processing</w:t>
      </w:r>
      <w:r w:rsidR="00A51E56" w:rsidRPr="009D0A4A">
        <w:t xml:space="preserve"> engineered stone</w:t>
      </w:r>
    </w:p>
    <w:p w14:paraId="3CD01AB0" w14:textId="340C1BC6" w:rsidR="00A51E56" w:rsidRPr="009D0A4A" w:rsidRDefault="00A51E56" w:rsidP="00A51E56">
      <w:pPr>
        <w:pStyle w:val="EmphasisPanelBody"/>
        <w:jc w:val="both"/>
      </w:pPr>
      <w:r w:rsidRPr="009D0A4A">
        <w:t xml:space="preserve">Engineered stone is an artificial product that is created by combining and heat curing natural stone materials that contain crystalline silica with </w:t>
      </w:r>
      <w:r w:rsidR="00D26D77" w:rsidRPr="009D0A4A">
        <w:t xml:space="preserve">other </w:t>
      </w:r>
      <w:r w:rsidRPr="009D0A4A">
        <w:t xml:space="preserve">chemical constituents (such as water, </w:t>
      </w:r>
      <w:r w:rsidR="004E3629" w:rsidRPr="009D0A4A">
        <w:t>resins,</w:t>
      </w:r>
      <w:r w:rsidRPr="009D0A4A">
        <w:t xml:space="preserve"> or pigments) and can be manipulated through mechanical processes to manufacture other products (such as benchtops). The crystalline silica content in engineered stone varies widely but it can contain greater than 90 per cent silica, which is significantly more than in natural stone.</w:t>
      </w:r>
    </w:p>
    <w:p w14:paraId="169CB2D3" w14:textId="2DD637AC" w:rsidR="00A51E56" w:rsidRPr="009D0A4A" w:rsidRDefault="00A51E56" w:rsidP="00A51E56">
      <w:pPr>
        <w:pStyle w:val="EmphasisPanelBody"/>
        <w:jc w:val="both"/>
      </w:pPr>
      <w:r w:rsidRPr="009D0A4A">
        <w:t xml:space="preserve">Engineered stone has been available in Australia since the late 1990s. The uncontrolled cutting, grinding, trimming, drilling, </w:t>
      </w:r>
      <w:r w:rsidR="004E3629" w:rsidRPr="009D0A4A">
        <w:t>sanding,</w:t>
      </w:r>
      <w:r w:rsidRPr="009D0A4A">
        <w:t xml:space="preserve"> and polishing engineered stone products can produce high concentrations of RCS. </w:t>
      </w:r>
    </w:p>
    <w:p w14:paraId="1484F6D0" w14:textId="6825C5E4" w:rsidR="00A51E56" w:rsidRPr="009D0A4A" w:rsidRDefault="00A51E56" w:rsidP="00A51E56">
      <w:pPr>
        <w:pStyle w:val="EmphasisPanelBody"/>
        <w:jc w:val="both"/>
      </w:pPr>
      <w:r w:rsidRPr="009D0A4A">
        <w:t xml:space="preserve">Workers fabricating, processing, installing, </w:t>
      </w:r>
      <w:r w:rsidR="004E3629" w:rsidRPr="009D0A4A">
        <w:t>maintaining,</w:t>
      </w:r>
      <w:r w:rsidRPr="009D0A4A">
        <w:t xml:space="preserve"> or removing engineered stone products without appropriate control measures in place may be exposed to high levels of RCS (for example through dust or mist clouds). Workers can also be exposed to RCS from poor </w:t>
      </w:r>
      <w:r w:rsidR="00E752D5" w:rsidRPr="009D0A4A">
        <w:t>cleaning and maintenance</w:t>
      </w:r>
      <w:r w:rsidRPr="009D0A4A">
        <w:t xml:space="preserve"> methods that disturb accumulated dust, including dry sweeping, using compressed air or high-pressure water cleaners and general-purpose vacuum cleaners that are not designed for use with hazardous dusts. The risks are much greater where the engineered stone contains high levels of crystalline silica.</w:t>
      </w:r>
    </w:p>
    <w:p w14:paraId="4BFD38D8" w14:textId="6C2EB638" w:rsidR="00A51E56" w:rsidRPr="009D0A4A" w:rsidRDefault="00A51E56" w:rsidP="00A51E56">
      <w:pPr>
        <w:pStyle w:val="EmphasisPanelBullet"/>
        <w:numPr>
          <w:ilvl w:val="0"/>
          <w:numId w:val="0"/>
        </w:numPr>
        <w:ind w:left="198"/>
        <w:jc w:val="both"/>
      </w:pPr>
      <w:r w:rsidRPr="009D0A4A">
        <w:t xml:space="preserve">One of the most common uses for engineered stone in Australia is in benchtops. Engineered stone is the most popular material used in benchtops as it </w:t>
      </w:r>
      <w:r w:rsidR="004E3629" w:rsidRPr="009D0A4A">
        <w:t>is</w:t>
      </w:r>
      <w:r w:rsidRPr="009D0A4A">
        <w:t xml:space="preserve"> high quality, stylish and relatively cheap. Its popularity has been bolstered by recent booms in renovation and housing development, where its use has become common.</w:t>
      </w:r>
    </w:p>
    <w:p w14:paraId="12C8B1DA" w14:textId="51A14C0F" w:rsidR="00A51E56" w:rsidRPr="009D0A4A" w:rsidRDefault="00A51E56" w:rsidP="007012B9">
      <w:pPr>
        <w:pStyle w:val="EmphasisPanelBullet"/>
        <w:numPr>
          <w:ilvl w:val="0"/>
          <w:numId w:val="0"/>
        </w:numPr>
        <w:ind w:left="198"/>
        <w:jc w:val="both"/>
      </w:pPr>
      <w:r w:rsidRPr="009D0A4A">
        <w:t xml:space="preserve">The installation of engineered stone benchtops involves several steps that </w:t>
      </w:r>
      <w:r w:rsidR="00D26D77" w:rsidRPr="009D0A4A">
        <w:t>may generate RCS</w:t>
      </w:r>
      <w:r w:rsidRPr="009D0A4A">
        <w:t xml:space="preserve">. For example, workers are required to cut a kitchen benchtop to size, as well as create holes for positioning sinks, plumbing, </w:t>
      </w:r>
      <w:r w:rsidR="004E3629" w:rsidRPr="009D0A4A">
        <w:t>stovetops,</w:t>
      </w:r>
      <w:r w:rsidRPr="009D0A4A">
        <w:t xml:space="preserve"> and appliances.</w:t>
      </w:r>
      <w:r w:rsidR="00C75317" w:rsidRPr="009D0A4A">
        <w:t xml:space="preserve"> </w:t>
      </w:r>
    </w:p>
    <w:p w14:paraId="6BD9E51D" w14:textId="272BD40A" w:rsidR="00E57F01" w:rsidRPr="009D0A4A" w:rsidRDefault="00091438" w:rsidP="00E57F01">
      <w:pPr>
        <w:pStyle w:val="EmphasisPanelBullet"/>
        <w:numPr>
          <w:ilvl w:val="0"/>
          <w:numId w:val="0"/>
        </w:numPr>
        <w:ind w:left="198"/>
        <w:jc w:val="both"/>
      </w:pPr>
      <w:r w:rsidRPr="009D0A4A">
        <w:t>As mentioned in Section 2.2.3.</w:t>
      </w:r>
      <w:r w:rsidR="001D28DC" w:rsidRPr="009D0A4A">
        <w:t>2</w:t>
      </w:r>
      <w:r w:rsidRPr="009D0A4A">
        <w:t xml:space="preserve">, screening programs of stonemasons and engineered stone workers </w:t>
      </w:r>
      <w:r w:rsidR="00B05C8C" w:rsidRPr="009D0A4A">
        <w:t xml:space="preserve">have shown that this cohort of workers has a high prevalence of silicosis, indicating </w:t>
      </w:r>
      <w:r w:rsidR="00023044" w:rsidRPr="009D0A4A">
        <w:t xml:space="preserve">that there </w:t>
      </w:r>
      <w:r w:rsidR="004E3629" w:rsidRPr="009D0A4A">
        <w:t>have</w:t>
      </w:r>
      <w:r w:rsidR="00023044" w:rsidRPr="009D0A4A">
        <w:t xml:space="preserve"> been widespread past exposures to RCS across the sector. </w:t>
      </w:r>
    </w:p>
    <w:p w14:paraId="61A97A3B" w14:textId="1A448347" w:rsidR="006E267F" w:rsidRPr="009D0A4A" w:rsidRDefault="006E267F" w:rsidP="006E267F">
      <w:pPr>
        <w:pStyle w:val="BodyText"/>
        <w:jc w:val="both"/>
      </w:pPr>
      <w:r w:rsidRPr="009D0A4A">
        <w:rPr>
          <w:lang w:val="en-US"/>
        </w:rPr>
        <w:t xml:space="preserve">Silicosis and other </w:t>
      </w:r>
      <w:r w:rsidR="00880680" w:rsidRPr="009D0A4A">
        <w:rPr>
          <w:lang w:val="en-US"/>
        </w:rPr>
        <w:t>silica related</w:t>
      </w:r>
      <w:r w:rsidRPr="009D0A4A">
        <w:rPr>
          <w:lang w:val="en-US"/>
        </w:rPr>
        <w:t xml:space="preserve"> diseases, can be prevented by implementing effective controls to eliminate or minimise the generation of</w:t>
      </w:r>
      <w:r w:rsidR="0006362D" w:rsidRPr="009D0A4A">
        <w:rPr>
          <w:lang w:val="en-US"/>
        </w:rPr>
        <w:t>,</w:t>
      </w:r>
      <w:r w:rsidRPr="009D0A4A">
        <w:rPr>
          <w:lang w:val="en-US"/>
        </w:rPr>
        <w:t xml:space="preserve"> and exposure to</w:t>
      </w:r>
      <w:r w:rsidR="0006362D" w:rsidRPr="009D0A4A">
        <w:rPr>
          <w:lang w:val="en-US"/>
        </w:rPr>
        <w:t>,</w:t>
      </w:r>
      <w:r w:rsidRPr="009D0A4A">
        <w:rPr>
          <w:lang w:val="en-US"/>
        </w:rPr>
        <w:t xml:space="preserve"> RCS at work</w:t>
      </w:r>
      <w:r w:rsidRPr="009D0A4A">
        <w:t>, such as through:</w:t>
      </w:r>
    </w:p>
    <w:p w14:paraId="0F974002" w14:textId="77777777" w:rsidR="00D26D77" w:rsidRPr="009D0A4A" w:rsidRDefault="006E267F"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eliminating the need to process silica-containing materials</w:t>
      </w:r>
    </w:p>
    <w:p w14:paraId="3DC3273D" w14:textId="77641F28" w:rsidR="006E267F" w:rsidRPr="009D0A4A" w:rsidRDefault="006E267F"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substitution of silica-containing products</w:t>
      </w:r>
      <w:r w:rsidR="00D26D77" w:rsidRPr="009D0A4A">
        <w:rPr>
          <w:rFonts w:asciiTheme="minorHAnsi" w:hAnsiTheme="minorHAnsi" w:cstheme="minorHAnsi"/>
          <w:sz w:val="20"/>
          <w:szCs w:val="20"/>
        </w:rPr>
        <w:t xml:space="preserve"> with alternative products that do not contain silica, or contain less silica</w:t>
      </w:r>
    </w:p>
    <w:p w14:paraId="02C52807" w14:textId="77777777" w:rsidR="006E267F" w:rsidRPr="009D0A4A" w:rsidRDefault="006E267F"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isolating people from areas where they would be exposed to RCS</w:t>
      </w:r>
    </w:p>
    <w:p w14:paraId="609D585A" w14:textId="77777777" w:rsidR="006E267F" w:rsidRPr="009D0A4A" w:rsidRDefault="006E267F"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implementing engineering controls such as on tool dust extraction, water suppression and/or local exhaust ventilation</w:t>
      </w:r>
    </w:p>
    <w:p w14:paraId="0F535D4D" w14:textId="77777777" w:rsidR="006E267F" w:rsidRPr="009D0A4A" w:rsidRDefault="006E267F"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implementing administrative controls, such as policies for housekeeping and decontamination, and </w:t>
      </w:r>
    </w:p>
    <w:p w14:paraId="0C2F0CF8" w14:textId="65572E6F" w:rsidR="006E267F" w:rsidRPr="009D0A4A" w:rsidRDefault="006E267F"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ensuring workers use appropriate RPE</w:t>
      </w:r>
      <w:r w:rsidR="00327975" w:rsidRPr="009D0A4A">
        <w:rPr>
          <w:rFonts w:asciiTheme="minorHAnsi" w:hAnsiTheme="minorHAnsi" w:cstheme="minorHAnsi"/>
          <w:sz w:val="20"/>
          <w:szCs w:val="20"/>
        </w:rPr>
        <w:t xml:space="preserve"> </w:t>
      </w:r>
      <w:r w:rsidR="00327975" w:rsidRPr="009D0A4A">
        <w:rPr>
          <w:rFonts w:asciiTheme="minorHAnsi" w:hAnsiTheme="minorHAnsi" w:cstheme="minorHAnsi"/>
          <w:sz w:val="20"/>
          <w:szCs w:val="20"/>
        </w:rPr>
        <w:fldChar w:fldCharType="begin"/>
      </w:r>
      <w:r w:rsidR="004067E3">
        <w:rPr>
          <w:rFonts w:asciiTheme="minorHAnsi" w:hAnsiTheme="minorHAnsi" w:cstheme="minorHAnsi"/>
          <w:sz w:val="20"/>
          <w:szCs w:val="20"/>
        </w:rPr>
        <w:instrText xml:space="preserve"> ADDIN ZOTERO_ITEM CSL_CITATION {"citationID":"9sCWKwIw","properties":{"formattedCitation":"(Safe Work Australia 2022c)","plainCitation":"(Safe Work Australia 2022c)","noteIndex":0},"citationItems":[{"id":825,"uris":["http://zotero.org/users/6230888/items/CWP3HXBL"],"itemData":{"id":825,"type":"report","page":"40","title":"Working with silica and silica containing products","URL":"https://www.safeworkaustralia.gov.au/doc/working-silica-and-silica-containing-products","author":[{"literal":"Safe Work Australia"}],"accessed":{"date-parts":[["2022",6,30]]},"issued":{"date-parts":[["2022"]]}}}],"schema":"https://github.com/citation-style-language/schema/raw/master/csl-citation.json"} </w:instrText>
      </w:r>
      <w:r w:rsidR="00327975" w:rsidRPr="009D0A4A">
        <w:rPr>
          <w:rFonts w:asciiTheme="minorHAnsi" w:hAnsiTheme="minorHAnsi" w:cstheme="minorHAnsi"/>
          <w:sz w:val="20"/>
          <w:szCs w:val="20"/>
        </w:rPr>
        <w:fldChar w:fldCharType="separate"/>
      </w:r>
      <w:r w:rsidR="006B4A7D" w:rsidRPr="009D0A4A">
        <w:rPr>
          <w:rFonts w:asciiTheme="minorHAnsi" w:hAnsiTheme="minorHAnsi" w:cstheme="minorHAnsi"/>
          <w:sz w:val="20"/>
          <w:szCs w:val="20"/>
        </w:rPr>
        <w:t>(Safe Work Australia 2022c)</w:t>
      </w:r>
      <w:r w:rsidR="00327975" w:rsidRPr="009D0A4A">
        <w:rPr>
          <w:rFonts w:asciiTheme="minorHAnsi" w:hAnsiTheme="minorHAnsi" w:cstheme="minorHAnsi"/>
          <w:sz w:val="20"/>
          <w:szCs w:val="20"/>
        </w:rPr>
        <w:fldChar w:fldCharType="end"/>
      </w:r>
      <w:r w:rsidRPr="009D0A4A">
        <w:rPr>
          <w:rFonts w:asciiTheme="minorHAnsi" w:hAnsiTheme="minorHAnsi" w:cstheme="minorHAnsi"/>
          <w:sz w:val="20"/>
          <w:szCs w:val="20"/>
        </w:rPr>
        <w:t xml:space="preserve">. </w:t>
      </w:r>
    </w:p>
    <w:p w14:paraId="04115034" w14:textId="143782E7" w:rsidR="006E267F" w:rsidRPr="009D0A4A" w:rsidRDefault="006E267F" w:rsidP="006E267F">
      <w:pPr>
        <w:pStyle w:val="BodyText"/>
        <w:jc w:val="both"/>
      </w:pPr>
      <w:r w:rsidRPr="009D0A4A">
        <w:t xml:space="preserve">Safe Work Australia’s national guide on </w:t>
      </w:r>
      <w:r w:rsidRPr="009D0A4A">
        <w:rPr>
          <w:szCs w:val="18"/>
        </w:rPr>
        <w:t>Working with silica and silica containing products</w:t>
      </w:r>
      <w:r w:rsidRPr="009D0A4A">
        <w:t xml:space="preserve"> </w:t>
      </w:r>
      <w:r w:rsidR="00327975" w:rsidRPr="009D0A4A">
        <w:fldChar w:fldCharType="begin"/>
      </w:r>
      <w:r w:rsidR="004067E3">
        <w:instrText xml:space="preserve"> ADDIN ZOTERO_ITEM CSL_CITATION {"citationID":"NKFhGDmB","properties":{"formattedCitation":"(Safe Work Australia 2022c)","plainCitation":"(Safe Work Australia 2022c)","noteIndex":0},"citationItems":[{"id":825,"uris":["http://zotero.org/users/6230888/items/CWP3HXBL"],"itemData":{"id":825,"type":"report","page":"40","title":"Working with silica and silica containing products","URL":"https://www.safeworkaustralia.gov.au/doc/working-silica-and-silica-containing-products","author":[{"literal":"Safe Work Australia"}],"accessed":{"date-parts":[["2022",6,30]]},"issued":{"date-parts":[["2022"]]}}}],"schema":"https://github.com/citation-style-language/schema/raw/master/csl-citation.json"} </w:instrText>
      </w:r>
      <w:r w:rsidR="00327975" w:rsidRPr="009D0A4A">
        <w:fldChar w:fldCharType="separate"/>
      </w:r>
      <w:r w:rsidR="006B4A7D" w:rsidRPr="009D0A4A">
        <w:rPr>
          <w:rFonts w:ascii="Calibri" w:hAnsi="Calibri" w:cs="Calibri"/>
        </w:rPr>
        <w:t>(Safe Work Australia 2022c)</w:t>
      </w:r>
      <w:r w:rsidR="00327975" w:rsidRPr="009D0A4A">
        <w:fldChar w:fldCharType="end"/>
      </w:r>
      <w:r w:rsidR="00BB5F3A" w:rsidRPr="009D0A4A">
        <w:t xml:space="preserve"> </w:t>
      </w:r>
      <w:r w:rsidRPr="009D0A4A">
        <w:t xml:space="preserve">and </w:t>
      </w:r>
      <w:r w:rsidRPr="009D0A4A">
        <w:rPr>
          <w:rFonts w:cstheme="minorHAnsi"/>
        </w:rPr>
        <w:t xml:space="preserve">model Code of Practice: Managing the risks of RCS from engineered stone in the workplace </w:t>
      </w:r>
      <w:r w:rsidR="00327975" w:rsidRPr="009D0A4A">
        <w:rPr>
          <w:rFonts w:cstheme="minorHAnsi"/>
        </w:rPr>
        <w:fldChar w:fldCharType="begin"/>
      </w:r>
      <w:r w:rsidR="004067E3">
        <w:rPr>
          <w:rFonts w:cstheme="minorHAnsi"/>
        </w:rPr>
        <w:instrText xml:space="preserve"> ADDIN ZOTERO_ITEM CSL_CITATION {"citationID":"xmzfRDfa","properties":{"formattedCitation":"(Safe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00327975" w:rsidRPr="009D0A4A">
        <w:rPr>
          <w:rFonts w:cstheme="minorHAnsi"/>
        </w:rPr>
        <w:fldChar w:fldCharType="separate"/>
      </w:r>
      <w:r w:rsidR="006B4A7D" w:rsidRPr="009D0A4A">
        <w:rPr>
          <w:rFonts w:ascii="Calibri" w:hAnsi="Calibri" w:cs="Calibri"/>
        </w:rPr>
        <w:t>(Safe Work Australia 2021a)</w:t>
      </w:r>
      <w:r w:rsidR="00327975" w:rsidRPr="009D0A4A">
        <w:rPr>
          <w:rFonts w:cstheme="minorHAnsi"/>
        </w:rPr>
        <w:fldChar w:fldCharType="end"/>
      </w:r>
      <w:r w:rsidR="00327975" w:rsidRPr="009D0A4A">
        <w:rPr>
          <w:rFonts w:cstheme="minorHAnsi"/>
        </w:rPr>
        <w:t xml:space="preserve"> </w:t>
      </w:r>
      <w:r w:rsidRPr="009D0A4A">
        <w:t xml:space="preserve">contain further information on available controls. </w:t>
      </w:r>
    </w:p>
    <w:p w14:paraId="435D2B75" w14:textId="35AE190F" w:rsidR="007C4346" w:rsidRPr="009D0A4A" w:rsidRDefault="007C4346" w:rsidP="00B35053">
      <w:pPr>
        <w:pStyle w:val="Heading3"/>
        <w:jc w:val="both"/>
      </w:pPr>
      <w:r w:rsidRPr="009D0A4A">
        <w:t>Workers in a broad range of industries are exposed to RCS</w:t>
      </w:r>
      <w:bookmarkEnd w:id="553"/>
    </w:p>
    <w:p w14:paraId="113E0DE1" w14:textId="26501BF1" w:rsidR="007C4346" w:rsidRPr="009D0A4A" w:rsidRDefault="007C4346" w:rsidP="0062140D">
      <w:pPr>
        <w:pStyle w:val="BodyText"/>
        <w:jc w:val="both"/>
      </w:pPr>
      <w:r w:rsidRPr="009D0A4A">
        <w:t xml:space="preserve">Hazardous levels of RCS exposure </w:t>
      </w:r>
      <w:r w:rsidR="004E3629" w:rsidRPr="009D0A4A">
        <w:t>occur</w:t>
      </w:r>
      <w:r w:rsidRPr="009D0A4A">
        <w:t xml:space="preserve"> in a broad range of in Australian workplaces. Workers in industries such as manufacturing, stonemasonry, construction, tunnelling, demolition, mining and quarrying, are at an increased risk of exposure to RCS. </w:t>
      </w:r>
      <w:r w:rsidR="00E47E9C" w:rsidRPr="009D0A4A">
        <w:t>O</w:t>
      </w:r>
      <w:r w:rsidRPr="009D0A4A">
        <w:t>ne study estimated</w:t>
      </w:r>
      <w:r w:rsidR="00E47E9C" w:rsidRPr="009D0A4A">
        <w:t>,</w:t>
      </w:r>
      <w:r w:rsidRPr="009D0A4A">
        <w:t xml:space="preserve"> </w:t>
      </w:r>
      <w:r w:rsidR="00D26D77" w:rsidRPr="009D0A4A">
        <w:t>for 2011</w:t>
      </w:r>
      <w:r w:rsidR="00E47E9C" w:rsidRPr="009D0A4A">
        <w:t>,</w:t>
      </w:r>
      <w:r w:rsidR="00D26D77" w:rsidRPr="009D0A4A">
        <w:t xml:space="preserve"> </w:t>
      </w:r>
      <w:r w:rsidRPr="009D0A4A">
        <w:t>approximately 6.6 per cent of Australian workers were exposed</w:t>
      </w:r>
      <w:r w:rsidR="003000E2" w:rsidRPr="009D0A4A">
        <w:t>,</w:t>
      </w:r>
      <w:r w:rsidRPr="009D0A4A">
        <w:t xml:space="preserve"> and that 3.7 per cent </w:t>
      </w:r>
      <w:r w:rsidRPr="009D0A4A">
        <w:lastRenderedPageBreak/>
        <w:t>of workers were heavily exposed</w:t>
      </w:r>
      <w:r w:rsidR="003000E2" w:rsidRPr="009D0A4A">
        <w:t>,</w:t>
      </w:r>
      <w:r w:rsidRPr="009D0A4A">
        <w:t xml:space="preserve"> to RCS</w:t>
      </w:r>
      <w:r w:rsidR="00327975" w:rsidRPr="009D0A4A">
        <w:t xml:space="preserve"> </w:t>
      </w:r>
      <w:r w:rsidR="00327975" w:rsidRPr="009D0A4A">
        <w:fldChar w:fldCharType="begin"/>
      </w:r>
      <w:r w:rsidR="004067E3">
        <w:instrText xml:space="preserve"> ADDIN ZOTERO_ITEM CSL_CITATION {"citationID":"Koyjcew6","properties":{"formattedCitation":"(Si et al. 2016)","plainCitation":"(Si et al. 2016)","noteIndex":0},"citationItems":[{"id":841,"uris":["http://zotero.org/users/6230888/items/YJWVJK3N"],"itemData":{"id":841,"type":"article-journal","abstract":"BACKGROUND: Respirable crystalline silica (RCS) is a biologically active dust that can accumulate in the lung and induce silicosis and lung cancer. Despite occupational exposure being the predominant source, no study has described current occupational RCS exposure on a national scale in Australia. The aim of this study is to estimate the characteristics of those exposed and the circumstances of RCS exposure in Australian workplaces.\nMETHODS: A cross-sectional survey of the Australian working population (18-65 years old) was conducted. Information about the respondents' current job and their demographic characteristics was collected in a telephone interview. Occupational exposure to RCS was determined based on preprogrammed decision rules regarding potential levels of exposure associated with self-reported tasks.\nRESULTS: Overall, 6.4% of respondents were deemed exposed to RCS at work in 2012 (3.3% were exposed at a high level). The exposure varied with sex, state of residence, and socioeconomic status. Miners and construction workers were most likely to be highly exposed to RCS when performing tasks with concrete or cement or working near crushers that create RCS-containing dusts. When extrapolated to the entire Australian working population, 6.6% of Australian workers were exposed to RCS and 3.7% were highly exposed when carrying out tasks at work.\nCONCLUSION: This is the first study investigating occupational RCS exposure in an entire national working population. The information about occupational tasks that lead to high level RCS exposure provided by this study will inform the direction of occupational interventions and policies.","container-title":"The Annals of Occupational Hygiene","DOI":"10.1093/annhyg/mew007","ISSN":"1475-3162","issue":"5","journalAbbreviation":"Ann Occup Hyg","language":"eng","note":"PMID: 26888888","page":"631-637","source":"PubMed","title":"The Australian Work Exposures Study: Prevalence of Occupational Exposure to Respirable Crystalline Silica","title-short":"The Australian Work Exposures Study","volume":"60","author":[{"family":"Si","given":"Si"},{"family":"Carey","given":"Renee N."},{"family":"Reid","given":"Alison"},{"family":"Driscoll","given":"Timothy"},{"family":"Glass","given":"Deborah C."},{"family":"Peters","given":"Susan"},{"family":"Benke","given":"Geza"},{"family":"Darcey","given":"Ellie"},{"family":"Fritschi","given":"Lin"}],"issued":{"date-parts":[["2016",6]]}}}],"schema":"https://github.com/citation-style-language/schema/raw/master/csl-citation.json"} </w:instrText>
      </w:r>
      <w:r w:rsidR="00327975" w:rsidRPr="009D0A4A">
        <w:fldChar w:fldCharType="separate"/>
      </w:r>
      <w:r w:rsidR="006B4A7D" w:rsidRPr="009D0A4A">
        <w:rPr>
          <w:rFonts w:ascii="Calibri" w:hAnsi="Calibri" w:cs="Calibri"/>
        </w:rPr>
        <w:t>(Si et al. 2016)</w:t>
      </w:r>
      <w:r w:rsidR="00327975" w:rsidRPr="009D0A4A">
        <w:fldChar w:fldCharType="end"/>
      </w:r>
      <w:r w:rsidRPr="009D0A4A">
        <w:t xml:space="preserve">.  This study was a comprehensive assessment of exposures </w:t>
      </w:r>
      <w:r w:rsidR="005B714A" w:rsidRPr="009D0A4A">
        <w:t xml:space="preserve">of </w:t>
      </w:r>
      <w:r w:rsidRPr="009D0A4A">
        <w:t xml:space="preserve">Australian workers to RCS. However, it was based on interviews of workers and did not </w:t>
      </w:r>
      <w:r w:rsidR="00E57F01" w:rsidRPr="009D0A4A">
        <w:t>undertake personal air monitoring</w:t>
      </w:r>
      <w:r w:rsidRPr="009D0A4A">
        <w:t xml:space="preserve">, so may not be an accurate estimate of the extent of workforce exposure. </w:t>
      </w:r>
      <w:r w:rsidR="001F3951" w:rsidRPr="009D0A4A">
        <w:t>Using information in the Australian Bureau of Statistics Labour Force data for August 2021, it is estimated that up to 1.45 million workers are employed in industries where there may be exposures to RCS in the workplace (</w:t>
      </w:r>
      <w:r w:rsidR="00D26D77" w:rsidRPr="009D0A4A">
        <w:t xml:space="preserve">Table </w:t>
      </w:r>
      <w:r w:rsidR="003F5102" w:rsidRPr="009D0A4A">
        <w:t>5</w:t>
      </w:r>
      <w:r w:rsidR="001F3951" w:rsidRPr="009D0A4A">
        <w:t>).</w:t>
      </w:r>
    </w:p>
    <w:p w14:paraId="2F0319F3" w14:textId="343DD669" w:rsidR="007C4346" w:rsidRPr="009D0A4A" w:rsidRDefault="007C4346" w:rsidP="00EE6718">
      <w:pPr>
        <w:pStyle w:val="Caption"/>
        <w:jc w:val="both"/>
      </w:pPr>
      <w:bookmarkStart w:id="554" w:name="_Ref90279279"/>
      <w:bookmarkStart w:id="555" w:name="_Ref106188351"/>
      <w:r w:rsidRPr="009D0A4A">
        <w:t>Table</w:t>
      </w:r>
      <w:r w:rsidR="00D26D77" w:rsidRPr="009D0A4A">
        <w:t xml:space="preserve"> </w:t>
      </w:r>
      <w:r w:rsidR="003F5102" w:rsidRPr="009D0A4A">
        <w:t>5</w:t>
      </w:r>
      <w:bookmarkEnd w:id="554"/>
      <w:r w:rsidRPr="009D0A4A">
        <w:t>:</w:t>
      </w:r>
      <w:r w:rsidR="00B71044" w:rsidRPr="009D0A4A">
        <w:t xml:space="preserve"> Australian Bureau of Statistics</w:t>
      </w:r>
      <w:r w:rsidRPr="009D0A4A">
        <w:t xml:space="preserve"> Labour Force data for selected industries</w:t>
      </w:r>
      <w:bookmarkEnd w:id="555"/>
      <w:r w:rsidR="00327975" w:rsidRPr="009D0A4A">
        <w:t xml:space="preserve"> </w:t>
      </w:r>
      <w:r w:rsidR="00327975" w:rsidRPr="009D0A4A">
        <w:fldChar w:fldCharType="begin"/>
      </w:r>
      <w:r w:rsidR="004067E3">
        <w:instrText xml:space="preserve"> ADDIN ZOTERO_ITEM CSL_CITATION {"citationID":"89Drrvqy","properties":{"formattedCitation":"(Australian Bureau of Statistics 2021a)","plainCitation":"(Australian Bureau of Statistics 2021a)","noteIndex":0},"citationItems":[{"id":844,"uris":["http://zotero.org/users/6230888/items/WP9PIJRM"],"itemData":{"id":844,"type":"webpage","abstract":"Detailed monthly and quarterly Labour Force Survey data, including hours, regions, families, job search, job duration, casual, industry and occupation","language":"en","title":"Labour Force, Australia, Detailed, August 2021","URL":"https://www.abs.gov.au/statistics/labour/employment-and-unemployment/labour-force-australia-detailed/aug-2021","author":[{"literal":"Australian Bureau of Statistics"}],"accessed":{"date-parts":[["2022",6,30]]},"issued":{"date-parts":[["2021"]]}}}],"schema":"https://github.com/citation-style-language/schema/raw/master/csl-citation.json"} </w:instrText>
      </w:r>
      <w:r w:rsidR="00327975" w:rsidRPr="009D0A4A">
        <w:fldChar w:fldCharType="separate"/>
      </w:r>
      <w:r w:rsidR="006B4A7D" w:rsidRPr="009D0A4A">
        <w:rPr>
          <w:rFonts w:ascii="Century Gothic" w:hAnsi="Century Gothic"/>
        </w:rPr>
        <w:t>(Australian Bureau of Statistics 2021a)</w:t>
      </w:r>
      <w:r w:rsidR="00327975" w:rsidRPr="009D0A4A">
        <w:fldChar w:fldCharType="end"/>
      </w:r>
    </w:p>
    <w:tbl>
      <w:tblPr>
        <w:tblStyle w:val="PMCDefaultTableStyle"/>
        <w:tblW w:w="5000" w:type="pct"/>
        <w:tblLook w:val="04A0" w:firstRow="1" w:lastRow="0" w:firstColumn="1" w:lastColumn="0" w:noHBand="0" w:noVBand="1"/>
      </w:tblPr>
      <w:tblGrid>
        <w:gridCol w:w="2978"/>
        <w:gridCol w:w="4875"/>
        <w:gridCol w:w="2351"/>
      </w:tblGrid>
      <w:tr w:rsidR="007C4346" w:rsidRPr="009D0A4A" w14:paraId="052F6788" w14:textId="77777777" w:rsidTr="00B35053">
        <w:trPr>
          <w:cnfStyle w:val="100000000000" w:firstRow="1" w:lastRow="0" w:firstColumn="0" w:lastColumn="0" w:oddVBand="0" w:evenVBand="0" w:oddHBand="0" w:evenHBand="0" w:firstRowFirstColumn="0" w:firstRowLastColumn="0" w:lastRowFirstColumn="0" w:lastRowLastColumn="0"/>
        </w:trPr>
        <w:tc>
          <w:tcPr>
            <w:tcW w:w="1459" w:type="pct"/>
          </w:tcPr>
          <w:p w14:paraId="25074CAE" w14:textId="77777777" w:rsidR="007C4346" w:rsidRPr="009D0A4A" w:rsidRDefault="007C4346" w:rsidP="00B35053">
            <w:pPr>
              <w:jc w:val="both"/>
            </w:pPr>
            <w:r w:rsidRPr="009D0A4A">
              <w:t>Division</w:t>
            </w:r>
          </w:p>
        </w:tc>
        <w:tc>
          <w:tcPr>
            <w:tcW w:w="2389" w:type="pct"/>
          </w:tcPr>
          <w:p w14:paraId="24157B0A" w14:textId="77777777" w:rsidR="007C4346" w:rsidRPr="009D0A4A" w:rsidRDefault="007C4346" w:rsidP="00B35053">
            <w:pPr>
              <w:jc w:val="both"/>
            </w:pPr>
            <w:r w:rsidRPr="009D0A4A">
              <w:t>Subdivision</w:t>
            </w:r>
          </w:p>
        </w:tc>
        <w:tc>
          <w:tcPr>
            <w:tcW w:w="1152" w:type="pct"/>
          </w:tcPr>
          <w:p w14:paraId="671E0194" w14:textId="77777777" w:rsidR="007C4346" w:rsidRPr="009D0A4A" w:rsidRDefault="007C4346" w:rsidP="00B35053">
            <w:pPr>
              <w:jc w:val="both"/>
            </w:pPr>
            <w:r w:rsidRPr="009D0A4A">
              <w:t>Employed total (‘000)</w:t>
            </w:r>
          </w:p>
        </w:tc>
      </w:tr>
      <w:tr w:rsidR="007C4346" w:rsidRPr="009D0A4A" w14:paraId="58E09DA1" w14:textId="77777777" w:rsidTr="00B35053">
        <w:trPr>
          <w:cnfStyle w:val="000000100000" w:firstRow="0" w:lastRow="0" w:firstColumn="0" w:lastColumn="0" w:oddVBand="0" w:evenVBand="0" w:oddHBand="1" w:evenHBand="0" w:firstRowFirstColumn="0" w:firstRowLastColumn="0" w:lastRowFirstColumn="0" w:lastRowLastColumn="0"/>
        </w:trPr>
        <w:tc>
          <w:tcPr>
            <w:tcW w:w="1459" w:type="pct"/>
            <w:vMerge w:val="restart"/>
            <w:vAlign w:val="center"/>
          </w:tcPr>
          <w:p w14:paraId="06A37AF1" w14:textId="77777777" w:rsidR="007C4346" w:rsidRPr="009D0A4A" w:rsidRDefault="007C4346" w:rsidP="00EE6718">
            <w:pPr>
              <w:jc w:val="both"/>
            </w:pPr>
            <w:r w:rsidRPr="009D0A4A">
              <w:t>B Mining</w:t>
            </w:r>
          </w:p>
        </w:tc>
        <w:tc>
          <w:tcPr>
            <w:tcW w:w="2389" w:type="pct"/>
          </w:tcPr>
          <w:p w14:paraId="48B01B4F" w14:textId="77777777" w:rsidR="007C4346" w:rsidRPr="009D0A4A" w:rsidRDefault="007C4346" w:rsidP="00B35053">
            <w:pPr>
              <w:jc w:val="both"/>
            </w:pPr>
            <w:r w:rsidRPr="009D0A4A">
              <w:t>06 Coal Mining</w:t>
            </w:r>
          </w:p>
        </w:tc>
        <w:tc>
          <w:tcPr>
            <w:tcW w:w="1152" w:type="pct"/>
          </w:tcPr>
          <w:p w14:paraId="2714828A" w14:textId="77777777" w:rsidR="007C4346" w:rsidRPr="009D0A4A" w:rsidRDefault="007C4346" w:rsidP="00EE6718">
            <w:pPr>
              <w:jc w:val="both"/>
            </w:pPr>
            <w:r w:rsidRPr="009D0A4A">
              <w:t>41.7</w:t>
            </w:r>
          </w:p>
        </w:tc>
      </w:tr>
      <w:tr w:rsidR="007C4346" w:rsidRPr="009D0A4A" w14:paraId="22C5D406" w14:textId="77777777" w:rsidTr="00B35053">
        <w:trPr>
          <w:cnfStyle w:val="000000010000" w:firstRow="0" w:lastRow="0" w:firstColumn="0" w:lastColumn="0" w:oddVBand="0" w:evenVBand="0" w:oddHBand="0" w:evenHBand="1" w:firstRowFirstColumn="0" w:firstRowLastColumn="0" w:lastRowFirstColumn="0" w:lastRowLastColumn="0"/>
        </w:trPr>
        <w:tc>
          <w:tcPr>
            <w:tcW w:w="1459" w:type="pct"/>
            <w:vMerge/>
          </w:tcPr>
          <w:p w14:paraId="3C0C1DDA" w14:textId="77777777" w:rsidR="007C4346" w:rsidRPr="009D0A4A" w:rsidRDefault="007C4346" w:rsidP="006D603A">
            <w:pPr>
              <w:jc w:val="both"/>
            </w:pPr>
          </w:p>
        </w:tc>
        <w:tc>
          <w:tcPr>
            <w:tcW w:w="2389" w:type="pct"/>
          </w:tcPr>
          <w:p w14:paraId="37E21168" w14:textId="77777777" w:rsidR="007C4346" w:rsidRPr="009D0A4A" w:rsidRDefault="007C4346" w:rsidP="006D603A">
            <w:pPr>
              <w:jc w:val="both"/>
            </w:pPr>
            <w:r w:rsidRPr="009D0A4A">
              <w:t>07 Oil and Gas Extraction</w:t>
            </w:r>
          </w:p>
        </w:tc>
        <w:tc>
          <w:tcPr>
            <w:tcW w:w="1152" w:type="pct"/>
          </w:tcPr>
          <w:p w14:paraId="76C29B1E" w14:textId="77777777" w:rsidR="007C4346" w:rsidRPr="009D0A4A" w:rsidRDefault="007C4346" w:rsidP="00EE6718">
            <w:pPr>
              <w:jc w:val="both"/>
            </w:pPr>
            <w:r w:rsidRPr="009D0A4A">
              <w:t>22.9</w:t>
            </w:r>
          </w:p>
        </w:tc>
      </w:tr>
      <w:tr w:rsidR="007C4346" w:rsidRPr="009D0A4A" w14:paraId="6C391E8E" w14:textId="77777777" w:rsidTr="00B35053">
        <w:trPr>
          <w:cnfStyle w:val="000000100000" w:firstRow="0" w:lastRow="0" w:firstColumn="0" w:lastColumn="0" w:oddVBand="0" w:evenVBand="0" w:oddHBand="1" w:evenHBand="0" w:firstRowFirstColumn="0" w:firstRowLastColumn="0" w:lastRowFirstColumn="0" w:lastRowLastColumn="0"/>
        </w:trPr>
        <w:tc>
          <w:tcPr>
            <w:tcW w:w="1459" w:type="pct"/>
            <w:vMerge/>
          </w:tcPr>
          <w:p w14:paraId="1A63A30E" w14:textId="77777777" w:rsidR="007C4346" w:rsidRPr="009D0A4A" w:rsidRDefault="007C4346" w:rsidP="006D603A">
            <w:pPr>
              <w:jc w:val="both"/>
            </w:pPr>
          </w:p>
        </w:tc>
        <w:tc>
          <w:tcPr>
            <w:tcW w:w="2389" w:type="pct"/>
          </w:tcPr>
          <w:p w14:paraId="7B72FE63" w14:textId="77777777" w:rsidR="007C4346" w:rsidRPr="009D0A4A" w:rsidRDefault="007C4346" w:rsidP="006D603A">
            <w:pPr>
              <w:jc w:val="both"/>
            </w:pPr>
            <w:r w:rsidRPr="009D0A4A">
              <w:t>08 Metal Ore Mining</w:t>
            </w:r>
          </w:p>
        </w:tc>
        <w:tc>
          <w:tcPr>
            <w:tcW w:w="1152" w:type="pct"/>
          </w:tcPr>
          <w:p w14:paraId="059625E9" w14:textId="77777777" w:rsidR="007C4346" w:rsidRPr="009D0A4A" w:rsidRDefault="007C4346" w:rsidP="00EE6718">
            <w:pPr>
              <w:jc w:val="both"/>
            </w:pPr>
            <w:r w:rsidRPr="009D0A4A">
              <w:t>112.8</w:t>
            </w:r>
          </w:p>
        </w:tc>
      </w:tr>
      <w:tr w:rsidR="007C4346" w:rsidRPr="009D0A4A" w14:paraId="20CC6E06" w14:textId="77777777" w:rsidTr="00B35053">
        <w:trPr>
          <w:cnfStyle w:val="000000010000" w:firstRow="0" w:lastRow="0" w:firstColumn="0" w:lastColumn="0" w:oddVBand="0" w:evenVBand="0" w:oddHBand="0" w:evenHBand="1" w:firstRowFirstColumn="0" w:firstRowLastColumn="0" w:lastRowFirstColumn="0" w:lastRowLastColumn="0"/>
        </w:trPr>
        <w:tc>
          <w:tcPr>
            <w:tcW w:w="1459" w:type="pct"/>
            <w:vMerge/>
          </w:tcPr>
          <w:p w14:paraId="66560F4A" w14:textId="77777777" w:rsidR="007C4346" w:rsidRPr="009D0A4A" w:rsidRDefault="007C4346" w:rsidP="006D603A">
            <w:pPr>
              <w:jc w:val="both"/>
            </w:pPr>
          </w:p>
        </w:tc>
        <w:tc>
          <w:tcPr>
            <w:tcW w:w="2389" w:type="pct"/>
          </w:tcPr>
          <w:p w14:paraId="0E9584B2" w14:textId="77777777" w:rsidR="007C4346" w:rsidRPr="009D0A4A" w:rsidRDefault="007C4346" w:rsidP="006D603A">
            <w:pPr>
              <w:jc w:val="both"/>
            </w:pPr>
            <w:r w:rsidRPr="009D0A4A">
              <w:t>09 Non-Metallic Mineral Mining and Quarrying</w:t>
            </w:r>
          </w:p>
        </w:tc>
        <w:tc>
          <w:tcPr>
            <w:tcW w:w="1152" w:type="pct"/>
          </w:tcPr>
          <w:p w14:paraId="191048FA" w14:textId="77777777" w:rsidR="007C4346" w:rsidRPr="009D0A4A" w:rsidRDefault="007C4346" w:rsidP="00EE6718">
            <w:pPr>
              <w:jc w:val="both"/>
            </w:pPr>
            <w:r w:rsidRPr="009D0A4A">
              <w:t>14.9</w:t>
            </w:r>
          </w:p>
        </w:tc>
      </w:tr>
      <w:tr w:rsidR="007C4346" w:rsidRPr="009D0A4A" w14:paraId="40375946" w14:textId="77777777" w:rsidTr="00B35053">
        <w:trPr>
          <w:cnfStyle w:val="000000100000" w:firstRow="0" w:lastRow="0" w:firstColumn="0" w:lastColumn="0" w:oddVBand="0" w:evenVBand="0" w:oddHBand="1" w:evenHBand="0" w:firstRowFirstColumn="0" w:firstRowLastColumn="0" w:lastRowFirstColumn="0" w:lastRowLastColumn="0"/>
        </w:trPr>
        <w:tc>
          <w:tcPr>
            <w:tcW w:w="1459" w:type="pct"/>
            <w:vMerge/>
          </w:tcPr>
          <w:p w14:paraId="5DA58F6E" w14:textId="77777777" w:rsidR="007C4346" w:rsidRPr="009D0A4A" w:rsidRDefault="007C4346" w:rsidP="006D603A">
            <w:pPr>
              <w:jc w:val="both"/>
            </w:pPr>
          </w:p>
        </w:tc>
        <w:tc>
          <w:tcPr>
            <w:tcW w:w="2389" w:type="pct"/>
          </w:tcPr>
          <w:p w14:paraId="337C5218" w14:textId="77777777" w:rsidR="007C4346" w:rsidRPr="009D0A4A" w:rsidRDefault="007C4346" w:rsidP="006D603A">
            <w:pPr>
              <w:jc w:val="both"/>
            </w:pPr>
            <w:r w:rsidRPr="009D0A4A">
              <w:t>10 Exploration and Other Mining Support Services</w:t>
            </w:r>
          </w:p>
        </w:tc>
        <w:tc>
          <w:tcPr>
            <w:tcW w:w="1152" w:type="pct"/>
          </w:tcPr>
          <w:p w14:paraId="4366221C" w14:textId="77777777" w:rsidR="007C4346" w:rsidRPr="009D0A4A" w:rsidRDefault="007C4346" w:rsidP="00EE6718">
            <w:pPr>
              <w:jc w:val="both"/>
            </w:pPr>
            <w:r w:rsidRPr="009D0A4A">
              <w:t>76.7</w:t>
            </w:r>
          </w:p>
        </w:tc>
      </w:tr>
      <w:tr w:rsidR="007C4346" w:rsidRPr="009D0A4A" w14:paraId="7AAAC76A" w14:textId="77777777" w:rsidTr="00B35053">
        <w:trPr>
          <w:cnfStyle w:val="000000010000" w:firstRow="0" w:lastRow="0" w:firstColumn="0" w:lastColumn="0" w:oddVBand="0" w:evenVBand="0" w:oddHBand="0" w:evenHBand="1" w:firstRowFirstColumn="0" w:firstRowLastColumn="0" w:lastRowFirstColumn="0" w:lastRowLastColumn="0"/>
        </w:trPr>
        <w:tc>
          <w:tcPr>
            <w:tcW w:w="1459" w:type="pct"/>
          </w:tcPr>
          <w:p w14:paraId="2668A8C0" w14:textId="77777777" w:rsidR="007C4346" w:rsidRPr="009D0A4A" w:rsidRDefault="007C4346" w:rsidP="00B35053">
            <w:pPr>
              <w:jc w:val="both"/>
            </w:pPr>
            <w:r w:rsidRPr="009D0A4A">
              <w:t>C Manufacturing</w:t>
            </w:r>
          </w:p>
        </w:tc>
        <w:tc>
          <w:tcPr>
            <w:tcW w:w="2389" w:type="pct"/>
          </w:tcPr>
          <w:p w14:paraId="181E8AD2" w14:textId="77777777" w:rsidR="007C4346" w:rsidRPr="009D0A4A" w:rsidRDefault="007C4346" w:rsidP="00B35053">
            <w:pPr>
              <w:jc w:val="both"/>
            </w:pPr>
            <w:r w:rsidRPr="009D0A4A">
              <w:t>20 Non-Metallic Mineral Product Manufacturing</w:t>
            </w:r>
          </w:p>
        </w:tc>
        <w:tc>
          <w:tcPr>
            <w:tcW w:w="1152" w:type="pct"/>
          </w:tcPr>
          <w:p w14:paraId="66C04F30" w14:textId="77777777" w:rsidR="007C4346" w:rsidRPr="009D0A4A" w:rsidRDefault="007C4346" w:rsidP="00EE6718">
            <w:pPr>
              <w:jc w:val="both"/>
            </w:pPr>
            <w:r w:rsidRPr="009D0A4A">
              <w:t>38.9</w:t>
            </w:r>
          </w:p>
        </w:tc>
      </w:tr>
      <w:tr w:rsidR="007C4346" w:rsidRPr="009D0A4A" w14:paraId="354EDAAE" w14:textId="77777777" w:rsidTr="00B35053">
        <w:trPr>
          <w:cnfStyle w:val="000000100000" w:firstRow="0" w:lastRow="0" w:firstColumn="0" w:lastColumn="0" w:oddVBand="0" w:evenVBand="0" w:oddHBand="1" w:evenHBand="0" w:firstRowFirstColumn="0" w:firstRowLastColumn="0" w:lastRowFirstColumn="0" w:lastRowLastColumn="0"/>
        </w:trPr>
        <w:tc>
          <w:tcPr>
            <w:tcW w:w="1459" w:type="pct"/>
            <w:vMerge w:val="restart"/>
            <w:vAlign w:val="center"/>
          </w:tcPr>
          <w:p w14:paraId="04B12BB1" w14:textId="77777777" w:rsidR="007C4346" w:rsidRPr="009D0A4A" w:rsidRDefault="007C4346" w:rsidP="00EE6718">
            <w:pPr>
              <w:jc w:val="both"/>
            </w:pPr>
            <w:r w:rsidRPr="009D0A4A">
              <w:t>E Construction</w:t>
            </w:r>
          </w:p>
        </w:tc>
        <w:tc>
          <w:tcPr>
            <w:tcW w:w="2389" w:type="pct"/>
          </w:tcPr>
          <w:p w14:paraId="1BE5D449" w14:textId="77777777" w:rsidR="007C4346" w:rsidRPr="009D0A4A" w:rsidRDefault="007C4346" w:rsidP="00B35053">
            <w:pPr>
              <w:jc w:val="both"/>
            </w:pPr>
            <w:r w:rsidRPr="009D0A4A">
              <w:t>30 Building Construction</w:t>
            </w:r>
          </w:p>
        </w:tc>
        <w:tc>
          <w:tcPr>
            <w:tcW w:w="1152" w:type="pct"/>
          </w:tcPr>
          <w:p w14:paraId="5B0DA3B9" w14:textId="77777777" w:rsidR="007C4346" w:rsidRPr="009D0A4A" w:rsidRDefault="007C4346" w:rsidP="00EE6718">
            <w:pPr>
              <w:jc w:val="both"/>
            </w:pPr>
            <w:r w:rsidRPr="009D0A4A">
              <w:t>283.6</w:t>
            </w:r>
          </w:p>
        </w:tc>
      </w:tr>
      <w:tr w:rsidR="007C4346" w:rsidRPr="009D0A4A" w14:paraId="7FECDA8F" w14:textId="77777777" w:rsidTr="00B35053">
        <w:trPr>
          <w:cnfStyle w:val="000000010000" w:firstRow="0" w:lastRow="0" w:firstColumn="0" w:lastColumn="0" w:oddVBand="0" w:evenVBand="0" w:oddHBand="0" w:evenHBand="1" w:firstRowFirstColumn="0" w:firstRowLastColumn="0" w:lastRowFirstColumn="0" w:lastRowLastColumn="0"/>
        </w:trPr>
        <w:tc>
          <w:tcPr>
            <w:tcW w:w="1459" w:type="pct"/>
            <w:vMerge/>
          </w:tcPr>
          <w:p w14:paraId="2D282353" w14:textId="77777777" w:rsidR="007C4346" w:rsidRPr="009D0A4A" w:rsidRDefault="007C4346" w:rsidP="006D603A">
            <w:pPr>
              <w:jc w:val="both"/>
            </w:pPr>
          </w:p>
        </w:tc>
        <w:tc>
          <w:tcPr>
            <w:tcW w:w="2389" w:type="pct"/>
          </w:tcPr>
          <w:p w14:paraId="77DFE005" w14:textId="77777777" w:rsidR="007C4346" w:rsidRPr="009D0A4A" w:rsidRDefault="007C4346" w:rsidP="006D603A">
            <w:pPr>
              <w:jc w:val="both"/>
            </w:pPr>
            <w:r w:rsidRPr="009D0A4A">
              <w:t>31 Heavy and Civil Engineering Construction</w:t>
            </w:r>
          </w:p>
        </w:tc>
        <w:tc>
          <w:tcPr>
            <w:tcW w:w="1152" w:type="pct"/>
          </w:tcPr>
          <w:p w14:paraId="62A21AD9" w14:textId="77777777" w:rsidR="007C4346" w:rsidRPr="009D0A4A" w:rsidRDefault="007C4346" w:rsidP="00EE6718">
            <w:pPr>
              <w:jc w:val="both"/>
            </w:pPr>
            <w:r w:rsidRPr="009D0A4A">
              <w:t>116.9</w:t>
            </w:r>
          </w:p>
        </w:tc>
      </w:tr>
      <w:tr w:rsidR="007C4346" w:rsidRPr="009D0A4A" w14:paraId="2B9BBF9C" w14:textId="77777777" w:rsidTr="00B35053">
        <w:trPr>
          <w:cnfStyle w:val="000000100000" w:firstRow="0" w:lastRow="0" w:firstColumn="0" w:lastColumn="0" w:oddVBand="0" w:evenVBand="0" w:oddHBand="1" w:evenHBand="0" w:firstRowFirstColumn="0" w:firstRowLastColumn="0" w:lastRowFirstColumn="0" w:lastRowLastColumn="0"/>
        </w:trPr>
        <w:tc>
          <w:tcPr>
            <w:tcW w:w="1459" w:type="pct"/>
            <w:vMerge/>
          </w:tcPr>
          <w:p w14:paraId="3C899716" w14:textId="77777777" w:rsidR="007C4346" w:rsidRPr="009D0A4A" w:rsidRDefault="007C4346" w:rsidP="006D603A">
            <w:pPr>
              <w:jc w:val="both"/>
            </w:pPr>
          </w:p>
        </w:tc>
        <w:tc>
          <w:tcPr>
            <w:tcW w:w="2389" w:type="pct"/>
          </w:tcPr>
          <w:p w14:paraId="0575F9A4" w14:textId="77777777" w:rsidR="007C4346" w:rsidRPr="009D0A4A" w:rsidRDefault="007C4346" w:rsidP="006D603A">
            <w:pPr>
              <w:jc w:val="both"/>
            </w:pPr>
            <w:r w:rsidRPr="009D0A4A">
              <w:t>32 Construction Services</w:t>
            </w:r>
          </w:p>
        </w:tc>
        <w:tc>
          <w:tcPr>
            <w:tcW w:w="1152" w:type="pct"/>
          </w:tcPr>
          <w:p w14:paraId="19F6C978" w14:textId="77777777" w:rsidR="007C4346" w:rsidRPr="009D0A4A" w:rsidRDefault="007C4346" w:rsidP="00EE6718">
            <w:pPr>
              <w:jc w:val="both"/>
            </w:pPr>
            <w:r w:rsidRPr="009D0A4A">
              <w:t>744.8</w:t>
            </w:r>
          </w:p>
        </w:tc>
      </w:tr>
      <w:tr w:rsidR="007C4346" w:rsidRPr="009D0A4A" w14:paraId="17E71E39" w14:textId="77777777" w:rsidTr="00B35053">
        <w:trPr>
          <w:cnfStyle w:val="000000010000" w:firstRow="0" w:lastRow="0" w:firstColumn="0" w:lastColumn="0" w:oddVBand="0" w:evenVBand="0" w:oddHBand="0" w:evenHBand="1" w:firstRowFirstColumn="0" w:firstRowLastColumn="0" w:lastRowFirstColumn="0" w:lastRowLastColumn="0"/>
        </w:trPr>
        <w:tc>
          <w:tcPr>
            <w:tcW w:w="1459" w:type="pct"/>
          </w:tcPr>
          <w:p w14:paraId="1112944C" w14:textId="77777777" w:rsidR="007C4346" w:rsidRPr="009D0A4A" w:rsidRDefault="007C4346" w:rsidP="00B35053">
            <w:pPr>
              <w:jc w:val="both"/>
            </w:pPr>
          </w:p>
        </w:tc>
        <w:tc>
          <w:tcPr>
            <w:tcW w:w="2389" w:type="pct"/>
          </w:tcPr>
          <w:p w14:paraId="10CFEC2C" w14:textId="77777777" w:rsidR="007C4346" w:rsidRPr="009D0A4A" w:rsidRDefault="007C4346" w:rsidP="00EE6718">
            <w:pPr>
              <w:jc w:val="both"/>
              <w:rPr>
                <w:b/>
                <w:bCs/>
              </w:rPr>
            </w:pPr>
            <w:r w:rsidRPr="009D0A4A">
              <w:rPr>
                <w:b/>
                <w:bCs/>
              </w:rPr>
              <w:t>Total</w:t>
            </w:r>
          </w:p>
        </w:tc>
        <w:tc>
          <w:tcPr>
            <w:tcW w:w="1152" w:type="pct"/>
          </w:tcPr>
          <w:p w14:paraId="13A40F2E" w14:textId="77777777" w:rsidR="007C4346" w:rsidRPr="009D0A4A" w:rsidRDefault="007C4346" w:rsidP="00EE6718">
            <w:pPr>
              <w:jc w:val="both"/>
            </w:pPr>
            <w:r w:rsidRPr="009D0A4A">
              <w:t>1,453.2</w:t>
            </w:r>
          </w:p>
        </w:tc>
      </w:tr>
    </w:tbl>
    <w:p w14:paraId="4848E196" w14:textId="77777777" w:rsidR="007C4346" w:rsidRPr="009D0A4A" w:rsidRDefault="007C4346" w:rsidP="007C4346">
      <w:pPr>
        <w:pStyle w:val="BodyText"/>
      </w:pPr>
    </w:p>
    <w:p w14:paraId="0BC8C15B" w14:textId="6BD9BFF0" w:rsidR="000028ED" w:rsidRPr="009D0A4A" w:rsidRDefault="001B266B" w:rsidP="001B266B">
      <w:pPr>
        <w:pStyle w:val="BodyText"/>
        <w:jc w:val="both"/>
      </w:pPr>
      <w:r w:rsidRPr="009D0A4A">
        <w:t xml:space="preserve">The Australian Institute of Occupational Hygienists (AIOH) has confirmed that common tasks in the manufacturing, demolition, construction, tunnelling and quarrying industries can result in exposure to RCS in excess of the </w:t>
      </w:r>
      <w:r w:rsidR="00722B43" w:rsidRPr="009D0A4A">
        <w:t>WES</w:t>
      </w:r>
      <w:r w:rsidR="00534523" w:rsidRPr="009D0A4A">
        <w:t xml:space="preserve"> </w:t>
      </w:r>
      <w:r w:rsidR="00534523" w:rsidRPr="009D0A4A">
        <w:fldChar w:fldCharType="begin"/>
      </w:r>
      <w:r w:rsidR="004067E3">
        <w:instrText xml:space="preserve"> ADDIN ZOTERO_ITEM CSL_CITATION {"citationID":"1hPouU8P","properties":{"formattedCitation":"(AIOH 2021)","plainCitation":"(AIOH 2021)","noteIndex":0},"citationItems":[{"id":846,"uris":["http://zotero.org/users/6230888/items/5PX8HGNY"],"itemData":{"id":846,"type":"report","language":"en-AU","page":"14","title":"AIOH Submission to the 2021 NSW Dust Diseases Scheme","URL":"https://www.aioh.org.au/media/2014/06/AIOH_SUB_NSWDustDiseasesReview_2021.pdf","author":[{"literal":"AIOH"}],"accessed":{"date-parts":[["2022",6,30]]},"issued":{"date-parts":[["2021"]]}}}],"schema":"https://github.com/citation-style-language/schema/raw/master/csl-citation.json"} </w:instrText>
      </w:r>
      <w:r w:rsidR="00534523" w:rsidRPr="009D0A4A">
        <w:fldChar w:fldCharType="separate"/>
      </w:r>
      <w:r w:rsidR="006B4A7D" w:rsidRPr="009D0A4A">
        <w:rPr>
          <w:rFonts w:ascii="Calibri" w:hAnsi="Calibri" w:cs="Calibri"/>
        </w:rPr>
        <w:t>(AIOH 2021)</w:t>
      </w:r>
      <w:r w:rsidR="00534523" w:rsidRPr="009D0A4A">
        <w:fldChar w:fldCharType="end"/>
      </w:r>
      <w:r w:rsidRPr="009D0A4A">
        <w:t>. This is supported by historical data supplied to the Queensland inquiry into occupational respirable dust issues in 2017 showing exceedances of the then WES (0.1 mg/m</w:t>
      </w:r>
      <w:r w:rsidRPr="009D0A4A">
        <w:rPr>
          <w:vertAlign w:val="superscript"/>
        </w:rPr>
        <w:t>3</w:t>
      </w:r>
      <w:r w:rsidRPr="009D0A4A">
        <w:t xml:space="preserve"> 8-hour TWA) across a range of construction operations. This report also recorded WES exceedances in the tunnelling and ferrous foundry industries</w:t>
      </w:r>
      <w:r w:rsidR="00534523" w:rsidRPr="009D0A4A">
        <w:t xml:space="preserve"> </w:t>
      </w:r>
      <w:r w:rsidR="00534523" w:rsidRPr="009D0A4A">
        <w:fldChar w:fldCharType="begin"/>
      </w:r>
      <w:r w:rsidR="004067E3">
        <w:instrText xml:space="preserve"> ADDIN ZOTERO_ITEM CSL_CITATION {"citationID":"xxS12URg","properties":{"formattedCitation":"(Queensland Parliament Coal Workers\\uc0\\u8217{} Pneumoconiosis Select Committee 2017)","plainCitation":"(Queensland Parliament Coal Workers’ Pneumoconiosis Select Committee 2017)","noteIndex":0},"citationItems":[{"id":849,"uris":["http://zotero.org/users/6230888/items/J2Q9KXVJ"],"itemData":{"id":849,"type":"report","page":"109","title":"Inquiry into occupational  respirable dust issues","URL":"https://cabinet.qld.gov.au/documents/2018/Feb/RespCWP4/Attachments/Report.PDF","author":[{"literal":"Queensland Parliament Coal Workers’ Pneumoconiosis Select Committee"}],"accessed":{"date-parts":[["2022",6,30]]},"issued":{"date-parts":[["2017"]]}}}],"schema":"https://github.com/citation-style-language/schema/raw/master/csl-citation.json"} </w:instrText>
      </w:r>
      <w:r w:rsidR="00534523" w:rsidRPr="009D0A4A">
        <w:fldChar w:fldCharType="separate"/>
      </w:r>
      <w:r w:rsidR="006B4A7D" w:rsidRPr="009D0A4A">
        <w:rPr>
          <w:rFonts w:ascii="Calibri" w:hAnsi="Calibri" w:cs="Calibri"/>
          <w:szCs w:val="24"/>
        </w:rPr>
        <w:t>(Queensland Parliament Coal Workers’ Pneumoconiosis Select Committee 2017)</w:t>
      </w:r>
      <w:r w:rsidR="00534523" w:rsidRPr="009D0A4A">
        <w:fldChar w:fldCharType="end"/>
      </w:r>
      <w:r w:rsidRPr="009D0A4A">
        <w:t>. Personal air monitoring has also revealed that common tasks involved in engineered stone manufacturing</w:t>
      </w:r>
      <w:r w:rsidR="00882508" w:rsidRPr="009D0A4A">
        <w:rPr>
          <w:rStyle w:val="FootnoteReference"/>
        </w:rPr>
        <w:t xml:space="preserve"> </w:t>
      </w:r>
      <w:r w:rsidR="00882508" w:rsidRPr="009D0A4A">
        <w:fldChar w:fldCharType="begin"/>
      </w:r>
      <w:r w:rsidR="004067E3">
        <w:instrText xml:space="preserve"> ADDIN ZOTERO_ITEM CSL_CITATION {"citationID":"XV47qVQV","properties":{"formattedCitation":"(Gaskin et al. 2018)","plainCitation":"(Gaskin et al. 2018)","noteIndex":0},"citationItems":[{"id":851,"uris":["http://zotero.org/users/6230888/items/5B3ZVCZC"],"itemData":{"id":851,"type":"article-journal","language":"en","page":"24","source":"Zotero","title":"Respirable Crystalline Silica Exposures in Engineered Stone Benchtop Fabrication","author":[{"family":"Gaskin","given":"Sharyn"},{"family":"Gun","given":"Richard"},{"family":"Jersmann","given":"Hubertus"},{"family":"Pisaniello","given":"Dino"}],"issued":{"date-parts":[["2018"]]}}}],"schema":"https://github.com/citation-style-language/schema/raw/master/csl-citation.json"} </w:instrText>
      </w:r>
      <w:r w:rsidR="00882508" w:rsidRPr="009D0A4A">
        <w:fldChar w:fldCharType="separate"/>
      </w:r>
      <w:r w:rsidR="006B4A7D" w:rsidRPr="009D0A4A">
        <w:rPr>
          <w:rFonts w:ascii="Calibri" w:hAnsi="Calibri" w:cs="Calibri"/>
        </w:rPr>
        <w:t>(Gaskin et al. 2018)</w:t>
      </w:r>
      <w:r w:rsidR="00882508" w:rsidRPr="009D0A4A">
        <w:fldChar w:fldCharType="end"/>
      </w:r>
      <w:r w:rsidRPr="009D0A4A">
        <w:t xml:space="preserve"> and stonemasonry</w:t>
      </w:r>
      <w:r w:rsidR="00882508" w:rsidRPr="009D0A4A">
        <w:rPr>
          <w:rStyle w:val="FootnoteReference"/>
        </w:rPr>
        <w:t xml:space="preserve"> </w:t>
      </w:r>
      <w:r w:rsidR="00882508" w:rsidRPr="009D0A4A">
        <w:fldChar w:fldCharType="begin"/>
      </w:r>
      <w:r w:rsidR="004067E3">
        <w:instrText xml:space="preserve"> ADDIN ZOTERO_ITEM CSL_CITATION {"citationID":"KyxgZO3G","properties":{"formattedCitation":"(Alamango et al. 2015)","plainCitation":"(Alamango et al. 2015)","noteIndex":0},"citationItems":[{"id":852,"uris":["http://zotero.org/users/6230888/items/NNNA6JVM"],"itemData":{"id":852,"type":"paper-conference","container-title":"Proceedings of the Australian Institute of Occupational Hygienists Annual Conference and Exhibition 2015","page":"10-16","title":"Have you got your head in the sand? Respirable crystalline exposures of restorative stonemasons","title-short":"Have you got your head in the sand?","URL":"https://ro.uow.edu.au/sspapers/2121","author":[{"family":"Alamango","given":"Kerrin"},{"family":"Whitelaw","given":"Jane"},{"family":"Apthorpe","given":"Linda"}],"issued":{"date-parts":[["2015"]]}}}],"schema":"https://github.com/citation-style-language/schema/raw/master/csl-citation.json"} </w:instrText>
      </w:r>
      <w:r w:rsidR="00882508" w:rsidRPr="009D0A4A">
        <w:fldChar w:fldCharType="separate"/>
      </w:r>
      <w:r w:rsidR="006B4A7D" w:rsidRPr="009D0A4A">
        <w:rPr>
          <w:rFonts w:ascii="Calibri" w:hAnsi="Calibri" w:cs="Calibri"/>
        </w:rPr>
        <w:t>(Alamango et al. 2015)</w:t>
      </w:r>
      <w:r w:rsidR="00882508" w:rsidRPr="009D0A4A">
        <w:fldChar w:fldCharType="end"/>
      </w:r>
      <w:r w:rsidRPr="009D0A4A">
        <w:t xml:space="preserve"> can expose workers to RCS at levels above the current WES if effective engineering controls (e.g., water suppression and local exhaust ventilation) are not in place. Similarly, a study of 47 individual stone and quarry workers, not using adequate engineering controls, revealed that one in four workers were exposed to levels of RCS above the then WES (0.1mg/m</w:t>
      </w:r>
      <w:r w:rsidRPr="009D0A4A">
        <w:rPr>
          <w:vertAlign w:val="superscript"/>
        </w:rPr>
        <w:t>3</w:t>
      </w:r>
      <w:r w:rsidRPr="009D0A4A">
        <w:t xml:space="preserve"> 8-hour TWA), and more than one in ten were exposed to concentrations double that of the WES</w:t>
      </w:r>
      <w:r w:rsidR="00847491" w:rsidRPr="009D0A4A">
        <w:t xml:space="preserve"> </w:t>
      </w:r>
      <w:r w:rsidR="00847491" w:rsidRPr="009D0A4A">
        <w:fldChar w:fldCharType="begin"/>
      </w:r>
      <w:r w:rsidR="004067E3">
        <w:instrText xml:space="preserve"> ADDIN ZOTERO_ITEM CSL_CITATION {"citationID":"oobY1q3K","properties":{"formattedCitation":"(Hedges 2016)","plainCitation":"(Hedges 2016)","noteIndex":0},"citationItems":[{"id":854,"uris":["http://zotero.org/users/6230888/items/6IIMQG22"],"itemData":{"id":854,"type":"thesis","language":"en","publisher":"Western Sydney University","source":"researchdirect.westernsydney.edu.au","title":"Assessment and control of respirable crystalline silica in quarries and dimension stone mines","URL":"https://researchdirect.westernsydney.edu.au/islandora/object/uws%3A36593/","author":[{"family":"Hedges","given":"Kevin"}],"accessed":{"date-parts":[["2022",6,24]]},"issued":{"date-parts":[["2016"]]}}}],"schema":"https://github.com/citation-style-language/schema/raw/master/csl-citation.json"} </w:instrText>
      </w:r>
      <w:r w:rsidR="00847491" w:rsidRPr="009D0A4A">
        <w:fldChar w:fldCharType="separate"/>
      </w:r>
      <w:r w:rsidR="006B4A7D" w:rsidRPr="009D0A4A">
        <w:rPr>
          <w:rFonts w:ascii="Calibri" w:hAnsi="Calibri" w:cs="Calibri"/>
        </w:rPr>
        <w:t>(Hedges 2016)</w:t>
      </w:r>
      <w:r w:rsidR="00847491" w:rsidRPr="009D0A4A">
        <w:fldChar w:fldCharType="end"/>
      </w:r>
      <w:r w:rsidRPr="009D0A4A">
        <w:t>. A study of workers in the demolition sector also revealed exposures in some groups of workers were in excess of the then WES (0.1 mg/m</w:t>
      </w:r>
      <w:r w:rsidRPr="009D0A4A">
        <w:rPr>
          <w:vertAlign w:val="superscript"/>
        </w:rPr>
        <w:t>3</w:t>
      </w:r>
      <w:r w:rsidRPr="009D0A4A">
        <w:t xml:space="preserve"> 8-hour TWA), prior to the introduction of additional control measures including misting dust suppression, dust extraction, and greater management of respirator fit testing</w:t>
      </w:r>
      <w:r w:rsidR="00847491" w:rsidRPr="009D0A4A">
        <w:t xml:space="preserve"> </w:t>
      </w:r>
      <w:r w:rsidR="00847491" w:rsidRPr="009D0A4A">
        <w:fldChar w:fldCharType="begin"/>
      </w:r>
      <w:r w:rsidR="004067E3">
        <w:instrText xml:space="preserve"> ADDIN ZOTERO_ITEM CSL_CITATION {"citationID":"k3YO3JE5","properties":{"formattedCitation":"(Cole &amp; Fisher 2019)","plainCitation":"(Cole &amp; Fisher 2019)","noteIndex":0},"citationItems":[{"id":857,"uris":["http://zotero.org/users/6230888/items/XGEGEJX3"],"itemData":{"id":857,"type":"paper-conference","container-title":"Proceedings of the Australian Institute of Occupational Hygienists Annual Conference and Exhibition 2019","title":"Controlling exposure to respirable crystalline silica in Sydney demolition workers: A Client-led intervention,","author":[{"family":"Cole","given":"K"},{"family":"Fisher","given":"M"}],"issued":{"date-parts":[["2019"]]}}}],"schema":"https://github.com/citation-style-language/schema/raw/master/csl-citation.json"} </w:instrText>
      </w:r>
      <w:r w:rsidR="00847491" w:rsidRPr="009D0A4A">
        <w:fldChar w:fldCharType="separate"/>
      </w:r>
      <w:r w:rsidR="006B4A7D" w:rsidRPr="009D0A4A">
        <w:rPr>
          <w:rFonts w:ascii="Calibri" w:hAnsi="Calibri" w:cs="Calibri"/>
        </w:rPr>
        <w:t>(Cole &amp; Fisher 2019)</w:t>
      </w:r>
      <w:r w:rsidR="00847491" w:rsidRPr="009D0A4A">
        <w:fldChar w:fldCharType="end"/>
      </w:r>
      <w:r w:rsidRPr="009D0A4A">
        <w:t xml:space="preserve">. Although there are few published studies </w:t>
      </w:r>
      <w:r w:rsidR="00722B43" w:rsidRPr="009D0A4A">
        <w:t>about</w:t>
      </w:r>
      <w:r w:rsidRPr="009D0A4A">
        <w:t xml:space="preserve"> the Australian construction industry, uncontrolled cutting of concrete is relatively common. In one study, it was shown that six minutes of uncontrolled concrete cutting would greatly exceed the current WES even if it was the worker’s only exposure to RCS in the workday</w:t>
      </w:r>
      <w:r w:rsidR="00847491" w:rsidRPr="009D0A4A">
        <w:t xml:space="preserve"> </w:t>
      </w:r>
      <w:r w:rsidR="00847491" w:rsidRPr="009D0A4A">
        <w:fldChar w:fldCharType="begin"/>
      </w:r>
      <w:r w:rsidR="004067E3">
        <w:instrText xml:space="preserve"> ADDIN ZOTERO_ITEM CSL_CITATION {"citationID":"22RwoGzm","properties":{"formattedCitation":"(Brooks &amp; Rae 2021)","plainCitation":"(Brooks &amp; Rae 2021)","noteIndex":0},"citationItems":[{"id":858,"uris":["http://zotero.org/users/6230888/items/3YPCBAFZ"],"itemData":{"id":858,"type":"paper-conference","container-title":"Proceedings of the Australian Institute of Occupational Hygienists Annual Conference and Exhibition 2021.","title":"Change the way we communicate dry cutting risks","author":[{"family":"Brooks","given":"M"},{"family":"Rae","given":"H"}],"issued":{"date-parts":[["2021"]]}}}],"schema":"https://github.com/citation-style-language/schema/raw/master/csl-citation.json"} </w:instrText>
      </w:r>
      <w:r w:rsidR="00847491" w:rsidRPr="009D0A4A">
        <w:fldChar w:fldCharType="separate"/>
      </w:r>
      <w:r w:rsidR="006B4A7D" w:rsidRPr="009D0A4A">
        <w:rPr>
          <w:rFonts w:ascii="Calibri" w:hAnsi="Calibri" w:cs="Calibri"/>
        </w:rPr>
        <w:t>(Brooks &amp; Rae 2021)</w:t>
      </w:r>
      <w:r w:rsidR="00847491" w:rsidRPr="009D0A4A">
        <w:fldChar w:fldCharType="end"/>
      </w:r>
      <w:r w:rsidRPr="009D0A4A">
        <w:t>.</w:t>
      </w:r>
      <w:r w:rsidR="00847491" w:rsidRPr="009D0A4A">
        <w:t xml:space="preserve"> </w:t>
      </w:r>
      <w:r w:rsidR="007C4346" w:rsidRPr="009D0A4A">
        <w:t>W</w:t>
      </w:r>
      <w:r w:rsidR="00B9717F" w:rsidRPr="009D0A4A">
        <w:t xml:space="preserve">orkers who are not directly involved with tasks that produce </w:t>
      </w:r>
      <w:r w:rsidR="006F1E8E" w:rsidRPr="009D0A4A">
        <w:t xml:space="preserve">RCS </w:t>
      </w:r>
      <w:r w:rsidR="00B9717F" w:rsidRPr="009D0A4A">
        <w:t xml:space="preserve">may </w:t>
      </w:r>
      <w:r w:rsidR="00E80EC2" w:rsidRPr="009D0A4A">
        <w:t xml:space="preserve">still </w:t>
      </w:r>
      <w:r w:rsidR="00B9717F" w:rsidRPr="009D0A4A">
        <w:t xml:space="preserve">be exposed. This includes administrative staff, cleaning staff and other support staff who are located near sites where </w:t>
      </w:r>
      <w:r w:rsidR="006F1E8E" w:rsidRPr="009D0A4A">
        <w:t xml:space="preserve">RCS </w:t>
      </w:r>
      <w:r w:rsidR="00B9717F" w:rsidRPr="009D0A4A">
        <w:t xml:space="preserve">is produced. Data taken from an engineered stone </w:t>
      </w:r>
      <w:r w:rsidR="00746BD3" w:rsidRPr="009D0A4A">
        <w:t>fabrication workshop</w:t>
      </w:r>
      <w:r w:rsidR="00B9717F" w:rsidRPr="009D0A4A">
        <w:t xml:space="preserve"> show</w:t>
      </w:r>
      <w:r w:rsidR="00746BD3" w:rsidRPr="009D0A4A">
        <w:t>ed</w:t>
      </w:r>
      <w:r w:rsidR="00B9717F" w:rsidRPr="009D0A4A">
        <w:t xml:space="preserve"> that all areas of the </w:t>
      </w:r>
      <w:r w:rsidR="006F1E8E" w:rsidRPr="009D0A4A">
        <w:t>premises</w:t>
      </w:r>
      <w:r w:rsidR="00B9717F" w:rsidRPr="009D0A4A">
        <w:t xml:space="preserve">, including areas that were not used for processing of engineered stone, had airborne concentration levels of RCS well in excess of the </w:t>
      </w:r>
      <w:r w:rsidR="001166A5" w:rsidRPr="009D0A4A">
        <w:t>current WES</w:t>
      </w:r>
      <w:r w:rsidR="00B9717F" w:rsidRPr="009D0A4A">
        <w:t xml:space="preserve">. This indicates that any persons working </w:t>
      </w:r>
      <w:r w:rsidR="006F1E8E" w:rsidRPr="009D0A4A">
        <w:t xml:space="preserve">near areas where engineered stone is processed </w:t>
      </w:r>
      <w:r w:rsidR="00B9717F" w:rsidRPr="009D0A4A">
        <w:t xml:space="preserve">may be exposed to </w:t>
      </w:r>
      <w:r w:rsidR="001166A5" w:rsidRPr="009D0A4A">
        <w:t>hazardous</w:t>
      </w:r>
      <w:r w:rsidR="00B9717F" w:rsidRPr="009D0A4A">
        <w:t xml:space="preserve"> levels </w:t>
      </w:r>
      <w:r w:rsidR="006F1E8E" w:rsidRPr="009D0A4A">
        <w:t>of RCS</w:t>
      </w:r>
      <w:r w:rsidR="00B9717F" w:rsidRPr="009D0A4A">
        <w:t>, regardless of their role</w:t>
      </w:r>
      <w:r w:rsidR="00EA1E20" w:rsidRPr="009D0A4A">
        <w:t xml:space="preserve"> </w:t>
      </w:r>
      <w:r w:rsidR="00EA1E20" w:rsidRPr="009D0A4A">
        <w:fldChar w:fldCharType="begin"/>
      </w:r>
      <w:r w:rsidR="004067E3">
        <w:instrText xml:space="preserve"> ADDIN ZOTERO_ITEM CSL_CITATION {"citationID":"HnK4VY7s","properties":{"formattedCitation":"(Jennings 2021)","plainCitation":"(Jennings 2021)","noteIndex":0},"citationItems":[{"id":860,"uris":["http://zotero.org/users/6230888/items/HRRG8Q4D"],"itemData":{"id":860,"type":"report","page":"22","title":"Submission Number 8 Inquiry into 2021 Review of the Dust Diseases Scheme","URL":"https://www.parliament.nsw.gov.au/lcdocs/submissions/76639/0008%20Mr%20Martin%20Jennings.pdf","author":[{"family":"Jennings","given":"M"}],"accessed":{"date-parts":[["2022",6,30]]},"issued":{"date-parts":[["2021"]]}}}],"schema":"https://github.com/citation-style-language/schema/raw/master/csl-citation.json"} </w:instrText>
      </w:r>
      <w:r w:rsidR="00EA1E20" w:rsidRPr="009D0A4A">
        <w:fldChar w:fldCharType="separate"/>
      </w:r>
      <w:r w:rsidR="006B4A7D" w:rsidRPr="009D0A4A">
        <w:rPr>
          <w:rFonts w:ascii="Calibri" w:hAnsi="Calibri" w:cs="Calibri"/>
        </w:rPr>
        <w:t>(Jennings 2021)</w:t>
      </w:r>
      <w:r w:rsidR="00EA1E20" w:rsidRPr="009D0A4A">
        <w:fldChar w:fldCharType="end"/>
      </w:r>
      <w:r w:rsidR="00B9717F" w:rsidRPr="009D0A4A">
        <w:t>.</w:t>
      </w:r>
    </w:p>
    <w:p w14:paraId="310199D9" w14:textId="7544970A" w:rsidR="00402264" w:rsidRPr="009D0A4A" w:rsidRDefault="008C5384" w:rsidP="00402264">
      <w:pPr>
        <w:pStyle w:val="Heading3"/>
      </w:pPr>
      <w:bookmarkStart w:id="556" w:name="_Toc92873043"/>
      <w:r w:rsidRPr="009D0A4A">
        <w:t>Number of cases of silicosis</w:t>
      </w:r>
    </w:p>
    <w:p w14:paraId="15566F3E" w14:textId="59EEB051" w:rsidR="004C0756" w:rsidRPr="009D0A4A" w:rsidRDefault="00402264" w:rsidP="002E41D3">
      <w:pPr>
        <w:jc w:val="both"/>
      </w:pPr>
      <w:r w:rsidRPr="009D0A4A">
        <w:t xml:space="preserve">The number of cases of silicosis in Australia has been estimated from results of state and territory health screening programs, data registries, and accepted workers’ compensation claims. It is likely that this estimate is conservative, and the true number </w:t>
      </w:r>
      <w:r w:rsidRPr="009D0A4A">
        <w:lastRenderedPageBreak/>
        <w:t xml:space="preserve">of cases may be higher. This is primarily a result of the time-lag between worker exposure to RCS and diagnosis of silicosis. This also presents significant challenges to estimating the future number of cases of silicosis. </w:t>
      </w:r>
    </w:p>
    <w:p w14:paraId="7402A81C" w14:textId="4CDC6834" w:rsidR="00402264" w:rsidRPr="009D0A4A" w:rsidRDefault="00402264" w:rsidP="00402264">
      <w:pPr>
        <w:pStyle w:val="Heading4"/>
        <w:jc w:val="both"/>
      </w:pPr>
      <w:r w:rsidRPr="009D0A4A">
        <w:t>Number of accepted workers’ compensation claims for silicosis</w:t>
      </w:r>
    </w:p>
    <w:p w14:paraId="20BACA87" w14:textId="3709AB8E" w:rsidR="00402264" w:rsidRPr="009D0A4A" w:rsidRDefault="00402264" w:rsidP="00402264">
      <w:pPr>
        <w:jc w:val="both"/>
      </w:pPr>
      <w:r w:rsidRPr="009D0A4A">
        <w:t>Between 2010-11 and 2019-20 there were 412 accepted workers’ compensation claims for silicosis in the jurisdictions covered by the model WHS laws (Figure 1). Approximately 77 per cent (around three quarters) of the accepted claims were in the manufacturing, mining and constructions sectors (Table 6).</w:t>
      </w:r>
    </w:p>
    <w:p w14:paraId="09074047" w14:textId="4ED63427" w:rsidR="00402264" w:rsidRPr="009D0A4A" w:rsidRDefault="00402264" w:rsidP="00402264">
      <w:pPr>
        <w:jc w:val="center"/>
      </w:pPr>
      <w:r w:rsidRPr="009D0A4A">
        <w:rPr>
          <w:noProof/>
          <w:lang w:eastAsia="en-AU"/>
        </w:rPr>
        <w:drawing>
          <wp:inline distT="0" distB="0" distL="0" distR="0" wp14:anchorId="1CDCC7AD" wp14:editId="110D4458">
            <wp:extent cx="3581400" cy="2381885"/>
            <wp:effectExtent l="0" t="0" r="0" b="18415"/>
            <wp:docPr id="5" name="Chart 5">
              <a:extLst xmlns:a="http://schemas.openxmlformats.org/drawingml/2006/main">
                <a:ext uri="{FF2B5EF4-FFF2-40B4-BE49-F238E27FC236}">
                  <a16:creationId xmlns:a16="http://schemas.microsoft.com/office/drawing/2014/main" id="{B5F4120F-E621-4B2C-90A2-E5601EDC79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B3E9CCE" w14:textId="71EF095E" w:rsidR="00402264" w:rsidRPr="009D0A4A" w:rsidRDefault="00402264" w:rsidP="0040654F">
      <w:pPr>
        <w:spacing w:after="0" w:line="240" w:lineRule="auto"/>
        <w:jc w:val="center"/>
        <w:rPr>
          <w:rFonts w:ascii="Calibri" w:eastAsia="Times New Roman" w:hAnsi="Calibri" w:cs="Calibri"/>
          <w:color w:val="000000"/>
          <w:sz w:val="18"/>
          <w:szCs w:val="18"/>
          <w:lang w:eastAsia="en-AU"/>
        </w:rPr>
      </w:pPr>
      <w:r w:rsidRPr="009D0A4A">
        <w:rPr>
          <w:rFonts w:ascii="Calibri" w:eastAsia="Times New Roman" w:hAnsi="Calibri" w:cs="Calibri"/>
          <w:color w:val="000000"/>
          <w:sz w:val="18"/>
          <w:szCs w:val="18"/>
          <w:lang w:eastAsia="en-AU"/>
        </w:rPr>
        <w:t>Sources: Safe Work Australia's National Data Set for Compensation-based Statistics and i</w:t>
      </w:r>
      <w:r w:rsidR="00287C59" w:rsidRPr="009D0A4A">
        <w:rPr>
          <w:rFonts w:ascii="Calibri" w:eastAsia="Times New Roman" w:hAnsi="Calibri" w:cs="Calibri"/>
          <w:color w:val="000000"/>
          <w:sz w:val="18"/>
          <w:szCs w:val="18"/>
          <w:lang w:eastAsia="en-AU"/>
        </w:rPr>
        <w:t>c</w:t>
      </w:r>
      <w:r w:rsidRPr="009D0A4A">
        <w:rPr>
          <w:rFonts w:ascii="Calibri" w:eastAsia="Times New Roman" w:hAnsi="Calibri" w:cs="Calibri"/>
          <w:color w:val="000000"/>
          <w:sz w:val="18"/>
          <w:szCs w:val="18"/>
          <w:lang w:eastAsia="en-AU"/>
        </w:rPr>
        <w:t>are.</w:t>
      </w:r>
    </w:p>
    <w:p w14:paraId="28207207" w14:textId="08EEDEA1" w:rsidR="00402264" w:rsidRPr="009D0A4A" w:rsidRDefault="00402264" w:rsidP="00E450E8">
      <w:pPr>
        <w:jc w:val="both"/>
        <w:rPr>
          <w:rFonts w:asciiTheme="majorHAnsi" w:hAnsiTheme="majorHAnsi"/>
          <w:b/>
          <w:color w:val="014463" w:themeColor="text2"/>
        </w:rPr>
      </w:pPr>
      <w:r w:rsidRPr="009D0A4A">
        <w:rPr>
          <w:rFonts w:asciiTheme="majorHAnsi" w:hAnsiTheme="majorHAnsi"/>
          <w:b/>
          <w:color w:val="014463" w:themeColor="text2"/>
        </w:rPr>
        <w:t xml:space="preserve">Figure 1: Total number of accepted silicosis workers' compensation claims in </w:t>
      </w:r>
      <w:r w:rsidR="00C35E30" w:rsidRPr="009D0A4A">
        <w:rPr>
          <w:rFonts w:asciiTheme="majorHAnsi" w:hAnsiTheme="majorHAnsi"/>
          <w:b/>
          <w:color w:val="014463" w:themeColor="text2"/>
        </w:rPr>
        <w:t>jurisdictions subject to the model WHS laws</w:t>
      </w:r>
      <w:r w:rsidRPr="009D0A4A">
        <w:rPr>
          <w:rFonts w:asciiTheme="majorHAnsi" w:hAnsiTheme="majorHAnsi"/>
          <w:b/>
          <w:color w:val="014463" w:themeColor="text2"/>
        </w:rPr>
        <w:t>, 2010-11 to 2019-20</w:t>
      </w:r>
    </w:p>
    <w:p w14:paraId="38F86AE3" w14:textId="5D616539" w:rsidR="00402264" w:rsidRPr="009D0A4A" w:rsidRDefault="00402264" w:rsidP="00402264">
      <w:pPr>
        <w:jc w:val="both"/>
      </w:pPr>
      <w:r w:rsidRPr="009D0A4A">
        <w:t xml:space="preserve">Approximately 72 per cent of the claims were accepted after mid-2018, following the implementation of awareness and health screening programs for stonemasons and engineered stone workers. </w:t>
      </w:r>
    </w:p>
    <w:p w14:paraId="2D29467E" w14:textId="0978987F" w:rsidR="00402264" w:rsidRPr="009D0A4A" w:rsidRDefault="00402264" w:rsidP="00402264">
      <w:pPr>
        <w:jc w:val="both"/>
      </w:pPr>
      <w:r w:rsidRPr="009D0A4A">
        <w:t xml:space="preserve">Whilst many accepted cases have been in the engineered stone sector, workers in other industries have also developed silicosis. </w:t>
      </w:r>
      <w:r w:rsidR="003C0FF6" w:rsidRPr="009D0A4A">
        <w:t>For example,</w:t>
      </w:r>
      <w:r w:rsidRPr="009D0A4A">
        <w:t xml:space="preserve"> of the 57 workers with silicosis notified to </w:t>
      </w:r>
      <w:r w:rsidR="0039709B" w:rsidRPr="009D0A4A">
        <w:t xml:space="preserve">the </w:t>
      </w:r>
      <w:r w:rsidRPr="009D0A4A">
        <w:t xml:space="preserve">NSW dust disease register in 2020-21, approximately 42 per cent of were from industries not associated with stonemasonry </w:t>
      </w:r>
      <w:r w:rsidRPr="009D0A4A">
        <w:fldChar w:fldCharType="begin"/>
      </w:r>
      <w:r w:rsidR="004067E3">
        <w:instrText xml:space="preserve"> ADDIN ZOTERO_ITEM CSL_CITATION {"citationID":"FfjmwSas","properties":{"formattedCitation":"(SafeWork NSW 2021)","plainCitation":"(SafeWork NSW 2021)","noteIndex":0},"citationItems":[{"id":832,"uris":["http://zotero.org/users/6230888/items/GZWLVXHN"],"itemData":{"id":832,"type":"report","language":"en","page":"33","source":"Zotero","title":"NSW Dust Disease Register Annual Report 2020-2021","URL":"https://www.nsw.gov.au/sites/default/files/2021-08/nsw-dust-disease-register-annual-report-2020-21.pdf","author":[{"literal":"SafeWork NSW"}],"accessed":{"date-parts":[["2022",6,30]]},"issued":{"date-parts":[["2021"]]}}}],"schema":"https://github.com/citation-style-language/schema/raw/master/csl-citation.json"} </w:instrText>
      </w:r>
      <w:r w:rsidRPr="009D0A4A">
        <w:fldChar w:fldCharType="separate"/>
      </w:r>
      <w:r w:rsidRPr="009D0A4A">
        <w:rPr>
          <w:rFonts w:ascii="Calibri" w:hAnsi="Calibri" w:cs="Calibri"/>
        </w:rPr>
        <w:t>(SafeWork NSW 2021)</w:t>
      </w:r>
      <w:r w:rsidRPr="009D0A4A">
        <w:fldChar w:fldCharType="end"/>
      </w:r>
      <w:r w:rsidRPr="009D0A4A">
        <w:t xml:space="preserve">. </w:t>
      </w:r>
      <w:r w:rsidR="003C0FF6" w:rsidRPr="009D0A4A">
        <w:t>Another</w:t>
      </w:r>
      <w:r w:rsidRPr="009D0A4A">
        <w:t xml:space="preserve"> analysis of 284 pre-employment medical examinations for tunnelling workers undertaken between December 2019 and December 2020 identified 11 workers (3.87</w:t>
      </w:r>
      <w:r w:rsidR="007C4FA8" w:rsidRPr="009D0A4A">
        <w:t xml:space="preserve"> per cent</w:t>
      </w:r>
      <w:r w:rsidRPr="009D0A4A">
        <w:t xml:space="preserve"> of the total cohort) with</w:t>
      </w:r>
      <w:r w:rsidR="003C0FF6" w:rsidRPr="009D0A4A">
        <w:t xml:space="preserve"> confirmed</w:t>
      </w:r>
      <w:r w:rsidRPr="009D0A4A">
        <w:t xml:space="preserve"> chronic silicosis. This suggests that there may be a larger cohort of tunnelling workers who have yet to be diagnosed with silicosis </w:t>
      </w:r>
      <w:r w:rsidRPr="009D0A4A">
        <w:fldChar w:fldCharType="begin"/>
      </w:r>
      <w:r w:rsidR="004067E3">
        <w:instrText xml:space="preserve"> ADDIN ZOTERO_ITEM CSL_CITATION {"citationID":"njnQz2wi","properties":{"formattedCitation":"(Seevnarain et al. 2021)","plainCitation":"(Seevnarain et al. 2021)","noteIndex":0},"citationItems":[{"id":862,"uris":["http://zotero.org/users/6230888/items/UP328JTX"],"itemData":{"id":862,"type":"article-journal","abstract":"Within Australia, chronic silicosis has been long thought of as being a well-controlled occupational lung disease. While recent cases of acute silicosis in artificial stone benchtop cutters have emerged, chronic silicosis within the general workforce population has not been recorded. Our case series describes the re-emergence of chronic silicosis amongst workers within the tunnelling industry representing the potential for a more widespread insidious occupational lung disease. While undertaking pre-employment medicals, eight tunnellers have been diagnosed with chronic silicosis. These eight tunnellers had a minimum of 10 years of cumulative dust exposure prior to diagnosis. Diagnosis was made by radiological evaluation of chest X-rays and computerized tomography scans by International Labour Organization B Readers. The re-emergence of chronic pneumoconiosis as illustrated by this case series suggests the presence of undiagnosed occupational lung disease with far reaching implications for workers, employers, compensation systems, and the public healthcare sectors.","container-title":"Respirology Case Reports","DOI":"10.1002/rcr2.756","ISSN":"2051-3380","issue":"6","language":"en","note":"_eprint: https://onlinelibrary.wiley.com/doi/pdf/10.1002/rcr2.756","page":"e00756","source":"Wiley Online Library","title":"Case series analysis of eight underground tunnellers with chronic silicosis in Queensland","volume":"9","author":[{"family":"Seevnarain","given":"Kalesh"},{"family":"Burke","given":"Nicholas"},{"family":"Newbigin","given":"Katrina"}],"issued":{"date-parts":[["2021"]]}}}],"schema":"https://github.com/citation-style-language/schema/raw/master/csl-citation.json"} </w:instrText>
      </w:r>
      <w:r w:rsidRPr="009D0A4A">
        <w:fldChar w:fldCharType="separate"/>
      </w:r>
      <w:r w:rsidRPr="009D0A4A">
        <w:rPr>
          <w:rFonts w:ascii="Calibri" w:hAnsi="Calibri" w:cs="Calibri"/>
        </w:rPr>
        <w:t>(Seevnarain et al. 2021)</w:t>
      </w:r>
      <w:r w:rsidRPr="009D0A4A">
        <w:fldChar w:fldCharType="end"/>
      </w:r>
      <w:r w:rsidRPr="009D0A4A">
        <w:t xml:space="preserve">. </w:t>
      </w:r>
    </w:p>
    <w:p w14:paraId="3928050E" w14:textId="6DE3CF93" w:rsidR="00402264" w:rsidRPr="009D0A4A" w:rsidRDefault="00402264" w:rsidP="00402264">
      <w:pPr>
        <w:jc w:val="both"/>
        <w:rPr>
          <w:b/>
        </w:rPr>
      </w:pPr>
      <w:r w:rsidRPr="009D0A4A">
        <w:rPr>
          <w:rFonts w:asciiTheme="majorHAnsi" w:hAnsiTheme="majorHAnsi"/>
          <w:b/>
          <w:color w:val="014463" w:themeColor="text2"/>
        </w:rPr>
        <w:t xml:space="preserve">Table 6: Number of accepted workers' compensation claims for silicosis by industry </w:t>
      </w:r>
      <w:r w:rsidR="00C35E30" w:rsidRPr="009D0A4A">
        <w:rPr>
          <w:rFonts w:asciiTheme="majorHAnsi" w:hAnsiTheme="majorHAnsi"/>
          <w:b/>
          <w:iCs/>
          <w:color w:val="014463" w:themeColor="text2"/>
          <w:szCs w:val="18"/>
        </w:rPr>
        <w:t>in jurisdictions subject to the model WHS laws</w:t>
      </w:r>
      <w:r w:rsidRPr="009D0A4A">
        <w:rPr>
          <w:rFonts w:asciiTheme="majorHAnsi" w:hAnsiTheme="majorHAnsi"/>
          <w:b/>
          <w:color w:val="014463" w:themeColor="text2"/>
        </w:rPr>
        <w:t>, 2010-11 to 2019-20p</w:t>
      </w:r>
    </w:p>
    <w:tbl>
      <w:tblPr>
        <w:tblStyle w:val="PMCDefaultTableStyle"/>
        <w:tblW w:w="8340" w:type="dxa"/>
        <w:jc w:val="center"/>
        <w:tblLook w:val="04A0" w:firstRow="1" w:lastRow="0" w:firstColumn="1" w:lastColumn="0" w:noHBand="0" w:noVBand="1"/>
      </w:tblPr>
      <w:tblGrid>
        <w:gridCol w:w="6010"/>
        <w:gridCol w:w="690"/>
        <w:gridCol w:w="822"/>
        <w:gridCol w:w="818"/>
      </w:tblGrid>
      <w:tr w:rsidR="003C0FF6" w:rsidRPr="009D0A4A" w14:paraId="0A5B3EBA" w14:textId="77777777" w:rsidTr="002022D1">
        <w:trPr>
          <w:cnfStyle w:val="100000000000" w:firstRow="1" w:lastRow="0" w:firstColumn="0" w:lastColumn="0" w:oddVBand="0" w:evenVBand="0" w:oddHBand="0" w:evenHBand="0" w:firstRowFirstColumn="0" w:firstRowLastColumn="0" w:lastRowFirstColumn="0" w:lastRowLastColumn="0"/>
          <w:trHeight w:val="315"/>
          <w:jc w:val="center"/>
        </w:trPr>
        <w:tc>
          <w:tcPr>
            <w:tcW w:w="6010" w:type="dxa"/>
            <w:noWrap/>
            <w:hideMark/>
          </w:tcPr>
          <w:p w14:paraId="6987070D" w14:textId="77777777" w:rsidR="003C0FF6" w:rsidRPr="009D0A4A" w:rsidRDefault="003C0FF6" w:rsidP="002022D1">
            <w:pPr>
              <w:spacing w:after="160" w:line="259" w:lineRule="auto"/>
            </w:pPr>
            <w:r w:rsidRPr="009D0A4A">
              <w:t>Industry</w:t>
            </w:r>
          </w:p>
        </w:tc>
        <w:tc>
          <w:tcPr>
            <w:tcW w:w="690" w:type="dxa"/>
            <w:noWrap/>
            <w:hideMark/>
          </w:tcPr>
          <w:p w14:paraId="7C266E43" w14:textId="77777777" w:rsidR="003C0FF6" w:rsidRPr="009D0A4A" w:rsidRDefault="003C0FF6" w:rsidP="005732B6">
            <w:pPr>
              <w:spacing w:after="160" w:line="259" w:lineRule="auto"/>
              <w:jc w:val="right"/>
            </w:pPr>
            <w:r w:rsidRPr="009D0A4A">
              <w:t>NDS</w:t>
            </w:r>
          </w:p>
        </w:tc>
        <w:tc>
          <w:tcPr>
            <w:tcW w:w="822" w:type="dxa"/>
            <w:noWrap/>
            <w:hideMark/>
          </w:tcPr>
          <w:p w14:paraId="6960F9CC" w14:textId="77777777" w:rsidR="003C0FF6" w:rsidRPr="009D0A4A" w:rsidRDefault="003C0FF6" w:rsidP="005732B6">
            <w:pPr>
              <w:spacing w:after="160" w:line="259" w:lineRule="auto"/>
              <w:jc w:val="right"/>
            </w:pPr>
            <w:r w:rsidRPr="009D0A4A">
              <w:t>icare</w:t>
            </w:r>
          </w:p>
        </w:tc>
        <w:tc>
          <w:tcPr>
            <w:tcW w:w="818" w:type="dxa"/>
            <w:noWrap/>
            <w:hideMark/>
          </w:tcPr>
          <w:p w14:paraId="485BF1E2" w14:textId="77777777" w:rsidR="003C0FF6" w:rsidRPr="009D0A4A" w:rsidRDefault="003C0FF6" w:rsidP="005732B6">
            <w:pPr>
              <w:spacing w:after="160" w:line="259" w:lineRule="auto"/>
              <w:jc w:val="right"/>
            </w:pPr>
            <w:r w:rsidRPr="009D0A4A">
              <w:t>Total</w:t>
            </w:r>
          </w:p>
        </w:tc>
      </w:tr>
      <w:tr w:rsidR="003C0FF6" w:rsidRPr="009D0A4A" w14:paraId="0E2212E3" w14:textId="77777777" w:rsidTr="002022D1">
        <w:trPr>
          <w:cnfStyle w:val="000000100000" w:firstRow="0" w:lastRow="0" w:firstColumn="0" w:lastColumn="0" w:oddVBand="0" w:evenVBand="0" w:oddHBand="1" w:evenHBand="0" w:firstRowFirstColumn="0" w:firstRowLastColumn="0" w:lastRowFirstColumn="0" w:lastRowLastColumn="0"/>
          <w:trHeight w:val="300"/>
          <w:jc w:val="center"/>
        </w:trPr>
        <w:tc>
          <w:tcPr>
            <w:tcW w:w="6010" w:type="dxa"/>
            <w:noWrap/>
            <w:hideMark/>
          </w:tcPr>
          <w:p w14:paraId="69820DF4" w14:textId="77777777" w:rsidR="003C0FF6" w:rsidRPr="009D0A4A" w:rsidRDefault="003C0FF6" w:rsidP="002022D1">
            <w:pPr>
              <w:spacing w:after="0" w:line="240" w:lineRule="auto"/>
              <w:rPr>
                <w:rFonts w:ascii="Calibri" w:eastAsia="Times New Roman" w:hAnsi="Calibri" w:cs="Calibri"/>
                <w:color w:val="000000"/>
                <w:lang w:eastAsia="en-AU"/>
              </w:rPr>
            </w:pPr>
            <w:r w:rsidRPr="009D0A4A">
              <w:rPr>
                <w:rFonts w:ascii="Calibri" w:eastAsia="Times New Roman" w:hAnsi="Calibri" w:cs="Calibri"/>
                <w:color w:val="000000"/>
                <w:lang w:eastAsia="en-AU"/>
              </w:rPr>
              <w:t>Manufacturing</w:t>
            </w:r>
          </w:p>
        </w:tc>
        <w:tc>
          <w:tcPr>
            <w:tcW w:w="690" w:type="dxa"/>
            <w:noWrap/>
            <w:hideMark/>
          </w:tcPr>
          <w:p w14:paraId="3D5E462C"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149</w:t>
            </w:r>
          </w:p>
        </w:tc>
        <w:tc>
          <w:tcPr>
            <w:tcW w:w="822" w:type="dxa"/>
            <w:noWrap/>
            <w:hideMark/>
          </w:tcPr>
          <w:p w14:paraId="64B6DB7A"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65</w:t>
            </w:r>
          </w:p>
        </w:tc>
        <w:tc>
          <w:tcPr>
            <w:tcW w:w="818" w:type="dxa"/>
            <w:noWrap/>
            <w:hideMark/>
          </w:tcPr>
          <w:p w14:paraId="560EBAD3" w14:textId="77777777" w:rsidR="003C0FF6" w:rsidRPr="009D0A4A" w:rsidRDefault="003C0FF6" w:rsidP="002022D1">
            <w:pPr>
              <w:spacing w:after="0" w:line="240" w:lineRule="auto"/>
              <w:jc w:val="right"/>
              <w:rPr>
                <w:rFonts w:ascii="Calibri" w:eastAsia="Times New Roman" w:hAnsi="Calibri" w:cs="Calibri"/>
                <w:b/>
                <w:bCs/>
                <w:color w:val="000000"/>
                <w:lang w:eastAsia="en-AU"/>
              </w:rPr>
            </w:pPr>
            <w:r w:rsidRPr="009D0A4A">
              <w:rPr>
                <w:rFonts w:ascii="Calibri" w:eastAsia="Times New Roman" w:hAnsi="Calibri" w:cs="Calibri"/>
                <w:b/>
                <w:bCs/>
                <w:color w:val="000000"/>
                <w:lang w:eastAsia="en-AU"/>
              </w:rPr>
              <w:t>214</w:t>
            </w:r>
          </w:p>
        </w:tc>
      </w:tr>
      <w:tr w:rsidR="003C0FF6" w:rsidRPr="009D0A4A" w14:paraId="3EF5792D" w14:textId="77777777" w:rsidTr="002022D1">
        <w:trPr>
          <w:cnfStyle w:val="000000010000" w:firstRow="0" w:lastRow="0" w:firstColumn="0" w:lastColumn="0" w:oddVBand="0" w:evenVBand="0" w:oddHBand="0" w:evenHBand="1" w:firstRowFirstColumn="0" w:firstRowLastColumn="0" w:lastRowFirstColumn="0" w:lastRowLastColumn="0"/>
          <w:trHeight w:val="300"/>
          <w:jc w:val="center"/>
        </w:trPr>
        <w:tc>
          <w:tcPr>
            <w:tcW w:w="6010" w:type="dxa"/>
            <w:noWrap/>
            <w:hideMark/>
          </w:tcPr>
          <w:p w14:paraId="4C3B46F6" w14:textId="77777777" w:rsidR="003C0FF6" w:rsidRPr="009D0A4A" w:rsidRDefault="003C0FF6" w:rsidP="002022D1">
            <w:pPr>
              <w:spacing w:after="0" w:line="240" w:lineRule="auto"/>
              <w:rPr>
                <w:rFonts w:ascii="Calibri" w:eastAsia="Times New Roman" w:hAnsi="Calibri" w:cs="Calibri"/>
                <w:color w:val="000000"/>
                <w:lang w:eastAsia="en-AU"/>
              </w:rPr>
            </w:pPr>
            <w:r w:rsidRPr="009D0A4A">
              <w:rPr>
                <w:rFonts w:ascii="Calibri" w:eastAsia="Times New Roman" w:hAnsi="Calibri" w:cs="Calibri"/>
                <w:color w:val="000000"/>
                <w:lang w:eastAsia="en-AU"/>
              </w:rPr>
              <w:t>Construction</w:t>
            </w:r>
          </w:p>
        </w:tc>
        <w:tc>
          <w:tcPr>
            <w:tcW w:w="690" w:type="dxa"/>
            <w:noWrap/>
            <w:hideMark/>
          </w:tcPr>
          <w:p w14:paraId="191E238F"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21</w:t>
            </w:r>
          </w:p>
        </w:tc>
        <w:tc>
          <w:tcPr>
            <w:tcW w:w="822" w:type="dxa"/>
            <w:noWrap/>
            <w:hideMark/>
          </w:tcPr>
          <w:p w14:paraId="3446F6C6"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51</w:t>
            </w:r>
          </w:p>
        </w:tc>
        <w:tc>
          <w:tcPr>
            <w:tcW w:w="818" w:type="dxa"/>
            <w:noWrap/>
            <w:hideMark/>
          </w:tcPr>
          <w:p w14:paraId="2175CAE5" w14:textId="77777777" w:rsidR="003C0FF6" w:rsidRPr="009D0A4A" w:rsidRDefault="003C0FF6" w:rsidP="002022D1">
            <w:pPr>
              <w:spacing w:after="0" w:line="240" w:lineRule="auto"/>
              <w:jc w:val="right"/>
              <w:rPr>
                <w:rFonts w:ascii="Calibri" w:eastAsia="Times New Roman" w:hAnsi="Calibri" w:cs="Calibri"/>
                <w:b/>
                <w:bCs/>
                <w:color w:val="000000"/>
                <w:lang w:eastAsia="en-AU"/>
              </w:rPr>
            </w:pPr>
            <w:r w:rsidRPr="009D0A4A">
              <w:rPr>
                <w:rFonts w:ascii="Calibri" w:eastAsia="Times New Roman" w:hAnsi="Calibri" w:cs="Calibri"/>
                <w:b/>
                <w:bCs/>
                <w:color w:val="000000"/>
                <w:lang w:eastAsia="en-AU"/>
              </w:rPr>
              <w:t>72</w:t>
            </w:r>
          </w:p>
        </w:tc>
      </w:tr>
      <w:tr w:rsidR="003C0FF6" w:rsidRPr="009D0A4A" w14:paraId="6BD62334" w14:textId="77777777" w:rsidTr="002022D1">
        <w:trPr>
          <w:cnfStyle w:val="000000100000" w:firstRow="0" w:lastRow="0" w:firstColumn="0" w:lastColumn="0" w:oddVBand="0" w:evenVBand="0" w:oddHBand="1" w:evenHBand="0" w:firstRowFirstColumn="0" w:firstRowLastColumn="0" w:lastRowFirstColumn="0" w:lastRowLastColumn="0"/>
          <w:trHeight w:val="300"/>
          <w:jc w:val="center"/>
        </w:trPr>
        <w:tc>
          <w:tcPr>
            <w:tcW w:w="6010" w:type="dxa"/>
            <w:noWrap/>
            <w:hideMark/>
          </w:tcPr>
          <w:p w14:paraId="6A367FD9" w14:textId="77777777" w:rsidR="003C0FF6" w:rsidRPr="009D0A4A" w:rsidRDefault="003C0FF6" w:rsidP="002022D1">
            <w:pPr>
              <w:spacing w:after="0" w:line="240" w:lineRule="auto"/>
              <w:rPr>
                <w:rFonts w:ascii="Calibri" w:eastAsia="Times New Roman" w:hAnsi="Calibri" w:cs="Calibri"/>
                <w:color w:val="000000"/>
                <w:lang w:eastAsia="en-AU"/>
              </w:rPr>
            </w:pPr>
            <w:r w:rsidRPr="009D0A4A">
              <w:rPr>
                <w:rFonts w:ascii="Calibri" w:eastAsia="Times New Roman" w:hAnsi="Calibri" w:cs="Calibri"/>
                <w:color w:val="000000"/>
                <w:lang w:eastAsia="en-AU"/>
              </w:rPr>
              <w:t>Mining</w:t>
            </w:r>
          </w:p>
        </w:tc>
        <w:tc>
          <w:tcPr>
            <w:tcW w:w="690" w:type="dxa"/>
            <w:noWrap/>
            <w:hideMark/>
          </w:tcPr>
          <w:p w14:paraId="47D39321"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22</w:t>
            </w:r>
          </w:p>
        </w:tc>
        <w:tc>
          <w:tcPr>
            <w:tcW w:w="822" w:type="dxa"/>
            <w:noWrap/>
            <w:hideMark/>
          </w:tcPr>
          <w:p w14:paraId="1AC03707"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11</w:t>
            </w:r>
          </w:p>
        </w:tc>
        <w:tc>
          <w:tcPr>
            <w:tcW w:w="818" w:type="dxa"/>
            <w:noWrap/>
            <w:hideMark/>
          </w:tcPr>
          <w:p w14:paraId="5B0BB972" w14:textId="77777777" w:rsidR="003C0FF6" w:rsidRPr="009D0A4A" w:rsidRDefault="003C0FF6" w:rsidP="002022D1">
            <w:pPr>
              <w:spacing w:after="0" w:line="240" w:lineRule="auto"/>
              <w:jc w:val="right"/>
              <w:rPr>
                <w:rFonts w:ascii="Calibri" w:eastAsia="Times New Roman" w:hAnsi="Calibri" w:cs="Calibri"/>
                <w:b/>
                <w:bCs/>
                <w:color w:val="000000"/>
                <w:lang w:eastAsia="en-AU"/>
              </w:rPr>
            </w:pPr>
            <w:r w:rsidRPr="009D0A4A">
              <w:rPr>
                <w:rFonts w:ascii="Calibri" w:eastAsia="Times New Roman" w:hAnsi="Calibri" w:cs="Calibri"/>
                <w:b/>
                <w:bCs/>
                <w:color w:val="000000"/>
                <w:lang w:eastAsia="en-AU"/>
              </w:rPr>
              <w:t>33</w:t>
            </w:r>
          </w:p>
        </w:tc>
      </w:tr>
      <w:tr w:rsidR="003C0FF6" w:rsidRPr="009D0A4A" w14:paraId="24D19891" w14:textId="77777777" w:rsidTr="002022D1">
        <w:trPr>
          <w:cnfStyle w:val="000000010000" w:firstRow="0" w:lastRow="0" w:firstColumn="0" w:lastColumn="0" w:oddVBand="0" w:evenVBand="0" w:oddHBand="0" w:evenHBand="1" w:firstRowFirstColumn="0" w:firstRowLastColumn="0" w:lastRowFirstColumn="0" w:lastRowLastColumn="0"/>
          <w:trHeight w:val="300"/>
          <w:jc w:val="center"/>
        </w:trPr>
        <w:tc>
          <w:tcPr>
            <w:tcW w:w="6010" w:type="dxa"/>
            <w:noWrap/>
            <w:hideMark/>
          </w:tcPr>
          <w:p w14:paraId="11116519" w14:textId="77777777" w:rsidR="003C0FF6" w:rsidRPr="009D0A4A" w:rsidRDefault="003C0FF6" w:rsidP="002022D1">
            <w:pPr>
              <w:spacing w:after="0" w:line="240" w:lineRule="auto"/>
              <w:rPr>
                <w:rFonts w:ascii="Calibri" w:eastAsia="Times New Roman" w:hAnsi="Calibri" w:cs="Calibri"/>
                <w:color w:val="000000"/>
                <w:lang w:eastAsia="en-AU"/>
              </w:rPr>
            </w:pPr>
            <w:r w:rsidRPr="009D0A4A">
              <w:rPr>
                <w:rFonts w:ascii="Calibri" w:eastAsia="Times New Roman" w:hAnsi="Calibri" w:cs="Calibri"/>
                <w:color w:val="000000"/>
                <w:lang w:eastAsia="en-AU"/>
              </w:rPr>
              <w:t>Electricity, gas, water and waste services</w:t>
            </w:r>
          </w:p>
        </w:tc>
        <w:tc>
          <w:tcPr>
            <w:tcW w:w="690" w:type="dxa"/>
            <w:noWrap/>
            <w:hideMark/>
          </w:tcPr>
          <w:p w14:paraId="63603670"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np</w:t>
            </w:r>
          </w:p>
        </w:tc>
        <w:tc>
          <w:tcPr>
            <w:tcW w:w="822" w:type="dxa"/>
            <w:noWrap/>
            <w:hideMark/>
          </w:tcPr>
          <w:p w14:paraId="7D155607"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6</w:t>
            </w:r>
          </w:p>
        </w:tc>
        <w:tc>
          <w:tcPr>
            <w:tcW w:w="818" w:type="dxa"/>
            <w:noWrap/>
            <w:hideMark/>
          </w:tcPr>
          <w:p w14:paraId="36924799" w14:textId="77777777" w:rsidR="003C0FF6" w:rsidRPr="009D0A4A" w:rsidRDefault="003C0FF6" w:rsidP="002022D1">
            <w:pPr>
              <w:spacing w:after="0" w:line="240" w:lineRule="auto"/>
              <w:jc w:val="right"/>
              <w:rPr>
                <w:rFonts w:ascii="Calibri" w:eastAsia="Times New Roman" w:hAnsi="Calibri" w:cs="Calibri"/>
                <w:b/>
                <w:bCs/>
                <w:color w:val="000000"/>
                <w:lang w:eastAsia="en-AU"/>
              </w:rPr>
            </w:pPr>
            <w:r w:rsidRPr="009D0A4A">
              <w:rPr>
                <w:rFonts w:ascii="Calibri" w:eastAsia="Times New Roman" w:hAnsi="Calibri" w:cs="Calibri"/>
                <w:b/>
                <w:bCs/>
                <w:color w:val="000000"/>
                <w:lang w:eastAsia="en-AU"/>
              </w:rPr>
              <w:t>7</w:t>
            </w:r>
          </w:p>
        </w:tc>
      </w:tr>
      <w:tr w:rsidR="003C0FF6" w:rsidRPr="009D0A4A" w14:paraId="7D114150" w14:textId="77777777" w:rsidTr="002022D1">
        <w:trPr>
          <w:cnfStyle w:val="000000100000" w:firstRow="0" w:lastRow="0" w:firstColumn="0" w:lastColumn="0" w:oddVBand="0" w:evenVBand="0" w:oddHBand="1" w:evenHBand="0" w:firstRowFirstColumn="0" w:firstRowLastColumn="0" w:lastRowFirstColumn="0" w:lastRowLastColumn="0"/>
          <w:trHeight w:val="300"/>
          <w:jc w:val="center"/>
        </w:trPr>
        <w:tc>
          <w:tcPr>
            <w:tcW w:w="6010" w:type="dxa"/>
            <w:noWrap/>
            <w:hideMark/>
          </w:tcPr>
          <w:p w14:paraId="17D6C04E" w14:textId="77777777" w:rsidR="003C0FF6" w:rsidRPr="009D0A4A" w:rsidRDefault="003C0FF6" w:rsidP="002022D1">
            <w:pPr>
              <w:spacing w:after="0" w:line="240" w:lineRule="auto"/>
              <w:rPr>
                <w:rFonts w:ascii="Calibri" w:eastAsia="Times New Roman" w:hAnsi="Calibri" w:cs="Calibri"/>
                <w:color w:val="000000"/>
                <w:lang w:eastAsia="en-AU"/>
              </w:rPr>
            </w:pPr>
            <w:r w:rsidRPr="009D0A4A">
              <w:rPr>
                <w:rFonts w:ascii="Calibri" w:eastAsia="Times New Roman" w:hAnsi="Calibri" w:cs="Calibri"/>
                <w:color w:val="000000"/>
                <w:lang w:eastAsia="en-AU"/>
              </w:rPr>
              <w:t>Wholesale trade</w:t>
            </w:r>
          </w:p>
        </w:tc>
        <w:tc>
          <w:tcPr>
            <w:tcW w:w="690" w:type="dxa"/>
            <w:noWrap/>
            <w:hideMark/>
          </w:tcPr>
          <w:p w14:paraId="249C2AB5"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6</w:t>
            </w:r>
          </w:p>
        </w:tc>
        <w:tc>
          <w:tcPr>
            <w:tcW w:w="822" w:type="dxa"/>
            <w:noWrap/>
            <w:hideMark/>
          </w:tcPr>
          <w:p w14:paraId="161F2857"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0</w:t>
            </w:r>
          </w:p>
        </w:tc>
        <w:tc>
          <w:tcPr>
            <w:tcW w:w="818" w:type="dxa"/>
            <w:noWrap/>
            <w:hideMark/>
          </w:tcPr>
          <w:p w14:paraId="445B4921" w14:textId="77777777" w:rsidR="003C0FF6" w:rsidRPr="009D0A4A" w:rsidRDefault="003C0FF6" w:rsidP="002022D1">
            <w:pPr>
              <w:spacing w:after="0" w:line="240" w:lineRule="auto"/>
              <w:jc w:val="right"/>
              <w:rPr>
                <w:rFonts w:ascii="Calibri" w:eastAsia="Times New Roman" w:hAnsi="Calibri" w:cs="Calibri"/>
                <w:b/>
                <w:bCs/>
                <w:color w:val="000000"/>
                <w:lang w:eastAsia="en-AU"/>
              </w:rPr>
            </w:pPr>
            <w:r w:rsidRPr="009D0A4A">
              <w:rPr>
                <w:rFonts w:ascii="Calibri" w:eastAsia="Times New Roman" w:hAnsi="Calibri" w:cs="Calibri"/>
                <w:b/>
                <w:bCs/>
                <w:color w:val="000000"/>
                <w:lang w:eastAsia="en-AU"/>
              </w:rPr>
              <w:t>6</w:t>
            </w:r>
          </w:p>
        </w:tc>
      </w:tr>
      <w:tr w:rsidR="003C0FF6" w:rsidRPr="009D0A4A" w14:paraId="1A73AFD8" w14:textId="77777777" w:rsidTr="002022D1">
        <w:trPr>
          <w:cnfStyle w:val="000000010000" w:firstRow="0" w:lastRow="0" w:firstColumn="0" w:lastColumn="0" w:oddVBand="0" w:evenVBand="0" w:oddHBand="0" w:evenHBand="1" w:firstRowFirstColumn="0" w:firstRowLastColumn="0" w:lastRowFirstColumn="0" w:lastRowLastColumn="0"/>
          <w:trHeight w:val="300"/>
          <w:jc w:val="center"/>
        </w:trPr>
        <w:tc>
          <w:tcPr>
            <w:tcW w:w="6010" w:type="dxa"/>
            <w:noWrap/>
            <w:hideMark/>
          </w:tcPr>
          <w:p w14:paraId="1A03A176" w14:textId="77777777" w:rsidR="003C0FF6" w:rsidRPr="009D0A4A" w:rsidRDefault="003C0FF6" w:rsidP="002022D1">
            <w:pPr>
              <w:spacing w:after="0" w:line="240" w:lineRule="auto"/>
              <w:rPr>
                <w:rFonts w:ascii="Calibri" w:eastAsia="Times New Roman" w:hAnsi="Calibri" w:cs="Calibri"/>
                <w:color w:val="000000"/>
                <w:lang w:eastAsia="en-AU"/>
              </w:rPr>
            </w:pPr>
            <w:r w:rsidRPr="009D0A4A">
              <w:rPr>
                <w:rFonts w:ascii="Calibri" w:eastAsia="Times New Roman" w:hAnsi="Calibri" w:cs="Calibri"/>
                <w:color w:val="000000"/>
                <w:lang w:eastAsia="en-AU"/>
              </w:rPr>
              <w:t>Administrative and support services</w:t>
            </w:r>
          </w:p>
        </w:tc>
        <w:tc>
          <w:tcPr>
            <w:tcW w:w="690" w:type="dxa"/>
            <w:noWrap/>
            <w:hideMark/>
          </w:tcPr>
          <w:p w14:paraId="1855E80A"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5</w:t>
            </w:r>
          </w:p>
        </w:tc>
        <w:tc>
          <w:tcPr>
            <w:tcW w:w="822" w:type="dxa"/>
            <w:noWrap/>
            <w:hideMark/>
          </w:tcPr>
          <w:p w14:paraId="32B375A4"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0</w:t>
            </w:r>
          </w:p>
        </w:tc>
        <w:tc>
          <w:tcPr>
            <w:tcW w:w="818" w:type="dxa"/>
            <w:noWrap/>
            <w:hideMark/>
          </w:tcPr>
          <w:p w14:paraId="29B4DC49" w14:textId="77777777" w:rsidR="003C0FF6" w:rsidRPr="009D0A4A" w:rsidRDefault="003C0FF6" w:rsidP="002022D1">
            <w:pPr>
              <w:spacing w:after="0" w:line="240" w:lineRule="auto"/>
              <w:jc w:val="right"/>
              <w:rPr>
                <w:rFonts w:ascii="Calibri" w:eastAsia="Times New Roman" w:hAnsi="Calibri" w:cs="Calibri"/>
                <w:b/>
                <w:bCs/>
                <w:color w:val="000000"/>
                <w:lang w:eastAsia="en-AU"/>
              </w:rPr>
            </w:pPr>
            <w:r w:rsidRPr="009D0A4A">
              <w:rPr>
                <w:rFonts w:ascii="Calibri" w:eastAsia="Times New Roman" w:hAnsi="Calibri" w:cs="Calibri"/>
                <w:b/>
                <w:bCs/>
                <w:color w:val="000000"/>
                <w:lang w:eastAsia="en-AU"/>
              </w:rPr>
              <w:t>5</w:t>
            </w:r>
          </w:p>
        </w:tc>
      </w:tr>
      <w:tr w:rsidR="003C0FF6" w:rsidRPr="009D0A4A" w14:paraId="082E9B52" w14:textId="77777777" w:rsidTr="002022D1">
        <w:trPr>
          <w:cnfStyle w:val="000000100000" w:firstRow="0" w:lastRow="0" w:firstColumn="0" w:lastColumn="0" w:oddVBand="0" w:evenVBand="0" w:oddHBand="1" w:evenHBand="0" w:firstRowFirstColumn="0" w:firstRowLastColumn="0" w:lastRowFirstColumn="0" w:lastRowLastColumn="0"/>
          <w:trHeight w:val="300"/>
          <w:jc w:val="center"/>
        </w:trPr>
        <w:tc>
          <w:tcPr>
            <w:tcW w:w="6010" w:type="dxa"/>
            <w:noWrap/>
            <w:hideMark/>
          </w:tcPr>
          <w:p w14:paraId="632DA458" w14:textId="77777777" w:rsidR="003C0FF6" w:rsidRPr="009D0A4A" w:rsidRDefault="003C0FF6" w:rsidP="002022D1">
            <w:pPr>
              <w:spacing w:after="0" w:line="240" w:lineRule="auto"/>
              <w:rPr>
                <w:rFonts w:ascii="Calibri" w:eastAsia="Times New Roman" w:hAnsi="Calibri" w:cs="Calibri"/>
                <w:color w:val="000000"/>
                <w:lang w:eastAsia="en-AU"/>
              </w:rPr>
            </w:pPr>
            <w:r w:rsidRPr="009D0A4A">
              <w:rPr>
                <w:rFonts w:ascii="Calibri" w:eastAsia="Times New Roman" w:hAnsi="Calibri" w:cs="Calibri"/>
                <w:color w:val="000000"/>
                <w:lang w:eastAsia="en-AU"/>
              </w:rPr>
              <w:t>Transport, postal and warehousing</w:t>
            </w:r>
          </w:p>
        </w:tc>
        <w:tc>
          <w:tcPr>
            <w:tcW w:w="690" w:type="dxa"/>
            <w:noWrap/>
            <w:hideMark/>
          </w:tcPr>
          <w:p w14:paraId="6906AA9E"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np</w:t>
            </w:r>
          </w:p>
        </w:tc>
        <w:tc>
          <w:tcPr>
            <w:tcW w:w="822" w:type="dxa"/>
            <w:noWrap/>
            <w:hideMark/>
          </w:tcPr>
          <w:p w14:paraId="3FCC69C2"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np</w:t>
            </w:r>
          </w:p>
        </w:tc>
        <w:tc>
          <w:tcPr>
            <w:tcW w:w="818" w:type="dxa"/>
            <w:noWrap/>
            <w:hideMark/>
          </w:tcPr>
          <w:p w14:paraId="200202B5" w14:textId="77777777" w:rsidR="003C0FF6" w:rsidRPr="009D0A4A" w:rsidRDefault="003C0FF6" w:rsidP="002022D1">
            <w:pPr>
              <w:spacing w:after="0" w:line="240" w:lineRule="auto"/>
              <w:jc w:val="right"/>
              <w:rPr>
                <w:rFonts w:ascii="Calibri" w:eastAsia="Times New Roman" w:hAnsi="Calibri" w:cs="Calibri"/>
                <w:b/>
                <w:bCs/>
                <w:color w:val="000000"/>
                <w:lang w:eastAsia="en-AU"/>
              </w:rPr>
            </w:pPr>
            <w:r w:rsidRPr="009D0A4A">
              <w:rPr>
                <w:rFonts w:ascii="Calibri" w:eastAsia="Times New Roman" w:hAnsi="Calibri" w:cs="Calibri"/>
                <w:b/>
                <w:bCs/>
                <w:color w:val="000000"/>
                <w:lang w:eastAsia="en-AU"/>
              </w:rPr>
              <w:t>np</w:t>
            </w:r>
          </w:p>
        </w:tc>
      </w:tr>
      <w:tr w:rsidR="003C0FF6" w:rsidRPr="009D0A4A" w14:paraId="32A594EE" w14:textId="77777777" w:rsidTr="002022D1">
        <w:trPr>
          <w:cnfStyle w:val="000000010000" w:firstRow="0" w:lastRow="0" w:firstColumn="0" w:lastColumn="0" w:oddVBand="0" w:evenVBand="0" w:oddHBand="0" w:evenHBand="1" w:firstRowFirstColumn="0" w:firstRowLastColumn="0" w:lastRowFirstColumn="0" w:lastRowLastColumn="0"/>
          <w:trHeight w:val="300"/>
          <w:jc w:val="center"/>
        </w:trPr>
        <w:tc>
          <w:tcPr>
            <w:tcW w:w="6010" w:type="dxa"/>
            <w:noWrap/>
            <w:hideMark/>
          </w:tcPr>
          <w:p w14:paraId="7F0949CA" w14:textId="77777777" w:rsidR="003C0FF6" w:rsidRPr="009D0A4A" w:rsidRDefault="003C0FF6" w:rsidP="002022D1">
            <w:pPr>
              <w:spacing w:after="0" w:line="240" w:lineRule="auto"/>
              <w:rPr>
                <w:rFonts w:ascii="Calibri" w:eastAsia="Times New Roman" w:hAnsi="Calibri" w:cs="Calibri"/>
                <w:color w:val="000000"/>
                <w:lang w:eastAsia="en-AU"/>
              </w:rPr>
            </w:pPr>
            <w:r w:rsidRPr="009D0A4A">
              <w:rPr>
                <w:rFonts w:ascii="Calibri" w:eastAsia="Times New Roman" w:hAnsi="Calibri" w:cs="Calibri"/>
                <w:color w:val="000000"/>
                <w:lang w:eastAsia="en-AU"/>
              </w:rPr>
              <w:t>Retail trade</w:t>
            </w:r>
          </w:p>
        </w:tc>
        <w:tc>
          <w:tcPr>
            <w:tcW w:w="690" w:type="dxa"/>
            <w:noWrap/>
            <w:hideMark/>
          </w:tcPr>
          <w:p w14:paraId="2260C2A5"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np</w:t>
            </w:r>
          </w:p>
        </w:tc>
        <w:tc>
          <w:tcPr>
            <w:tcW w:w="822" w:type="dxa"/>
            <w:noWrap/>
            <w:hideMark/>
          </w:tcPr>
          <w:p w14:paraId="7517FBF2"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0</w:t>
            </w:r>
          </w:p>
        </w:tc>
        <w:tc>
          <w:tcPr>
            <w:tcW w:w="818" w:type="dxa"/>
            <w:noWrap/>
            <w:hideMark/>
          </w:tcPr>
          <w:p w14:paraId="3429621C" w14:textId="77777777" w:rsidR="003C0FF6" w:rsidRPr="009D0A4A" w:rsidRDefault="003C0FF6" w:rsidP="002022D1">
            <w:pPr>
              <w:spacing w:after="0" w:line="240" w:lineRule="auto"/>
              <w:jc w:val="right"/>
              <w:rPr>
                <w:rFonts w:ascii="Calibri" w:eastAsia="Times New Roman" w:hAnsi="Calibri" w:cs="Calibri"/>
                <w:b/>
                <w:bCs/>
                <w:color w:val="000000"/>
                <w:lang w:eastAsia="en-AU"/>
              </w:rPr>
            </w:pPr>
            <w:r w:rsidRPr="009D0A4A">
              <w:rPr>
                <w:rFonts w:ascii="Calibri" w:eastAsia="Times New Roman" w:hAnsi="Calibri" w:cs="Calibri"/>
                <w:b/>
                <w:bCs/>
                <w:color w:val="000000"/>
                <w:lang w:eastAsia="en-AU"/>
              </w:rPr>
              <w:t>np</w:t>
            </w:r>
          </w:p>
        </w:tc>
      </w:tr>
      <w:tr w:rsidR="003C0FF6" w:rsidRPr="009D0A4A" w14:paraId="0497431E" w14:textId="77777777" w:rsidTr="002022D1">
        <w:trPr>
          <w:cnfStyle w:val="000000100000" w:firstRow="0" w:lastRow="0" w:firstColumn="0" w:lastColumn="0" w:oddVBand="0" w:evenVBand="0" w:oddHBand="1" w:evenHBand="0" w:firstRowFirstColumn="0" w:firstRowLastColumn="0" w:lastRowFirstColumn="0" w:lastRowLastColumn="0"/>
          <w:trHeight w:val="300"/>
          <w:jc w:val="center"/>
        </w:trPr>
        <w:tc>
          <w:tcPr>
            <w:tcW w:w="6010" w:type="dxa"/>
            <w:noWrap/>
            <w:hideMark/>
          </w:tcPr>
          <w:p w14:paraId="154F3040" w14:textId="77777777" w:rsidR="003C0FF6" w:rsidRPr="009D0A4A" w:rsidRDefault="003C0FF6" w:rsidP="002022D1">
            <w:pPr>
              <w:spacing w:after="0" w:line="240" w:lineRule="auto"/>
              <w:rPr>
                <w:rFonts w:ascii="Calibri" w:eastAsia="Times New Roman" w:hAnsi="Calibri" w:cs="Calibri"/>
                <w:color w:val="000000"/>
                <w:lang w:eastAsia="en-AU"/>
              </w:rPr>
            </w:pPr>
            <w:r w:rsidRPr="009D0A4A">
              <w:rPr>
                <w:rFonts w:ascii="Calibri" w:eastAsia="Times New Roman" w:hAnsi="Calibri" w:cs="Calibri"/>
                <w:color w:val="000000"/>
                <w:lang w:eastAsia="en-AU"/>
              </w:rPr>
              <w:t>Education and training</w:t>
            </w:r>
          </w:p>
        </w:tc>
        <w:tc>
          <w:tcPr>
            <w:tcW w:w="690" w:type="dxa"/>
            <w:noWrap/>
            <w:hideMark/>
          </w:tcPr>
          <w:p w14:paraId="19FACD29"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np</w:t>
            </w:r>
          </w:p>
        </w:tc>
        <w:tc>
          <w:tcPr>
            <w:tcW w:w="822" w:type="dxa"/>
            <w:noWrap/>
            <w:hideMark/>
          </w:tcPr>
          <w:p w14:paraId="459D636E"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0</w:t>
            </w:r>
          </w:p>
        </w:tc>
        <w:tc>
          <w:tcPr>
            <w:tcW w:w="818" w:type="dxa"/>
            <w:noWrap/>
            <w:hideMark/>
          </w:tcPr>
          <w:p w14:paraId="41FC3C04" w14:textId="77777777" w:rsidR="003C0FF6" w:rsidRPr="009D0A4A" w:rsidRDefault="003C0FF6" w:rsidP="002022D1">
            <w:pPr>
              <w:spacing w:after="0" w:line="240" w:lineRule="auto"/>
              <w:jc w:val="right"/>
              <w:rPr>
                <w:rFonts w:ascii="Calibri" w:eastAsia="Times New Roman" w:hAnsi="Calibri" w:cs="Calibri"/>
                <w:b/>
                <w:bCs/>
                <w:color w:val="000000"/>
                <w:lang w:eastAsia="en-AU"/>
              </w:rPr>
            </w:pPr>
            <w:r w:rsidRPr="009D0A4A">
              <w:rPr>
                <w:rFonts w:ascii="Calibri" w:eastAsia="Times New Roman" w:hAnsi="Calibri" w:cs="Calibri"/>
                <w:b/>
                <w:bCs/>
                <w:color w:val="000000"/>
                <w:lang w:eastAsia="en-AU"/>
              </w:rPr>
              <w:t>np</w:t>
            </w:r>
          </w:p>
        </w:tc>
      </w:tr>
      <w:tr w:rsidR="003C0FF6" w:rsidRPr="009D0A4A" w14:paraId="2C35F5D1" w14:textId="77777777" w:rsidTr="002022D1">
        <w:trPr>
          <w:cnfStyle w:val="000000010000" w:firstRow="0" w:lastRow="0" w:firstColumn="0" w:lastColumn="0" w:oddVBand="0" w:evenVBand="0" w:oddHBand="0" w:evenHBand="1" w:firstRowFirstColumn="0" w:firstRowLastColumn="0" w:lastRowFirstColumn="0" w:lastRowLastColumn="0"/>
          <w:trHeight w:val="300"/>
          <w:jc w:val="center"/>
        </w:trPr>
        <w:tc>
          <w:tcPr>
            <w:tcW w:w="6010" w:type="dxa"/>
            <w:noWrap/>
            <w:hideMark/>
          </w:tcPr>
          <w:p w14:paraId="39F68B53" w14:textId="77777777" w:rsidR="003C0FF6" w:rsidRPr="009D0A4A" w:rsidRDefault="003C0FF6" w:rsidP="002022D1">
            <w:pPr>
              <w:spacing w:after="0" w:line="240" w:lineRule="auto"/>
              <w:rPr>
                <w:rFonts w:ascii="Calibri" w:eastAsia="Times New Roman" w:hAnsi="Calibri" w:cs="Calibri"/>
                <w:color w:val="000000"/>
                <w:lang w:eastAsia="en-AU"/>
              </w:rPr>
            </w:pPr>
            <w:r w:rsidRPr="009D0A4A">
              <w:rPr>
                <w:rFonts w:ascii="Calibri" w:eastAsia="Times New Roman" w:hAnsi="Calibri" w:cs="Calibri"/>
                <w:color w:val="000000"/>
                <w:lang w:eastAsia="en-AU"/>
              </w:rPr>
              <w:t>Health care and social assistance</w:t>
            </w:r>
          </w:p>
        </w:tc>
        <w:tc>
          <w:tcPr>
            <w:tcW w:w="690" w:type="dxa"/>
            <w:noWrap/>
            <w:hideMark/>
          </w:tcPr>
          <w:p w14:paraId="424BB62F"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np</w:t>
            </w:r>
          </w:p>
        </w:tc>
        <w:tc>
          <w:tcPr>
            <w:tcW w:w="822" w:type="dxa"/>
            <w:noWrap/>
            <w:hideMark/>
          </w:tcPr>
          <w:p w14:paraId="6D990A67"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0</w:t>
            </w:r>
          </w:p>
        </w:tc>
        <w:tc>
          <w:tcPr>
            <w:tcW w:w="818" w:type="dxa"/>
            <w:noWrap/>
            <w:hideMark/>
          </w:tcPr>
          <w:p w14:paraId="23310FC0" w14:textId="77777777" w:rsidR="003C0FF6" w:rsidRPr="009D0A4A" w:rsidRDefault="003C0FF6" w:rsidP="002022D1">
            <w:pPr>
              <w:spacing w:after="0" w:line="240" w:lineRule="auto"/>
              <w:jc w:val="right"/>
              <w:rPr>
                <w:rFonts w:ascii="Calibri" w:eastAsia="Times New Roman" w:hAnsi="Calibri" w:cs="Calibri"/>
                <w:b/>
                <w:bCs/>
                <w:color w:val="000000"/>
                <w:lang w:eastAsia="en-AU"/>
              </w:rPr>
            </w:pPr>
            <w:r w:rsidRPr="009D0A4A">
              <w:rPr>
                <w:rFonts w:ascii="Calibri" w:eastAsia="Times New Roman" w:hAnsi="Calibri" w:cs="Calibri"/>
                <w:b/>
                <w:bCs/>
                <w:color w:val="000000"/>
                <w:lang w:eastAsia="en-AU"/>
              </w:rPr>
              <w:t>np</w:t>
            </w:r>
          </w:p>
        </w:tc>
      </w:tr>
      <w:tr w:rsidR="003C0FF6" w:rsidRPr="009D0A4A" w14:paraId="614FB2B9" w14:textId="77777777" w:rsidTr="002022D1">
        <w:trPr>
          <w:cnfStyle w:val="000000100000" w:firstRow="0" w:lastRow="0" w:firstColumn="0" w:lastColumn="0" w:oddVBand="0" w:evenVBand="0" w:oddHBand="1" w:evenHBand="0" w:firstRowFirstColumn="0" w:firstRowLastColumn="0" w:lastRowFirstColumn="0" w:lastRowLastColumn="0"/>
          <w:trHeight w:val="300"/>
          <w:jc w:val="center"/>
        </w:trPr>
        <w:tc>
          <w:tcPr>
            <w:tcW w:w="6010" w:type="dxa"/>
            <w:noWrap/>
            <w:hideMark/>
          </w:tcPr>
          <w:p w14:paraId="2D242E31" w14:textId="77777777" w:rsidR="003C0FF6" w:rsidRPr="009D0A4A" w:rsidRDefault="003C0FF6" w:rsidP="002022D1">
            <w:pPr>
              <w:spacing w:after="0" w:line="240" w:lineRule="auto"/>
              <w:rPr>
                <w:rFonts w:ascii="Calibri" w:eastAsia="Times New Roman" w:hAnsi="Calibri" w:cs="Calibri"/>
                <w:color w:val="000000"/>
                <w:lang w:eastAsia="en-AU"/>
              </w:rPr>
            </w:pPr>
            <w:r w:rsidRPr="009D0A4A">
              <w:rPr>
                <w:rFonts w:ascii="Calibri" w:eastAsia="Times New Roman" w:hAnsi="Calibri" w:cs="Calibri"/>
                <w:color w:val="000000"/>
                <w:lang w:eastAsia="en-AU"/>
              </w:rPr>
              <w:lastRenderedPageBreak/>
              <w:t>Other services</w:t>
            </w:r>
          </w:p>
        </w:tc>
        <w:tc>
          <w:tcPr>
            <w:tcW w:w="690" w:type="dxa"/>
            <w:noWrap/>
            <w:vAlign w:val="center"/>
            <w:hideMark/>
          </w:tcPr>
          <w:p w14:paraId="600CCA6B"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0</w:t>
            </w:r>
          </w:p>
        </w:tc>
        <w:tc>
          <w:tcPr>
            <w:tcW w:w="822" w:type="dxa"/>
            <w:noWrap/>
            <w:hideMark/>
          </w:tcPr>
          <w:p w14:paraId="65BE42AF"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np</w:t>
            </w:r>
          </w:p>
        </w:tc>
        <w:tc>
          <w:tcPr>
            <w:tcW w:w="818" w:type="dxa"/>
            <w:noWrap/>
            <w:hideMark/>
          </w:tcPr>
          <w:p w14:paraId="4F112F48" w14:textId="77777777" w:rsidR="003C0FF6" w:rsidRPr="009D0A4A" w:rsidRDefault="003C0FF6" w:rsidP="002022D1">
            <w:pPr>
              <w:spacing w:after="0" w:line="240" w:lineRule="auto"/>
              <w:jc w:val="right"/>
              <w:rPr>
                <w:rFonts w:ascii="Calibri" w:eastAsia="Times New Roman" w:hAnsi="Calibri" w:cs="Calibri"/>
                <w:b/>
                <w:bCs/>
                <w:color w:val="000000"/>
                <w:lang w:eastAsia="en-AU"/>
              </w:rPr>
            </w:pPr>
            <w:r w:rsidRPr="009D0A4A">
              <w:rPr>
                <w:rFonts w:ascii="Calibri" w:eastAsia="Times New Roman" w:hAnsi="Calibri" w:cs="Calibri"/>
                <w:b/>
                <w:bCs/>
                <w:color w:val="000000"/>
                <w:lang w:eastAsia="en-AU"/>
              </w:rPr>
              <w:t>np</w:t>
            </w:r>
          </w:p>
        </w:tc>
      </w:tr>
      <w:tr w:rsidR="003C0FF6" w:rsidRPr="009D0A4A" w14:paraId="0018BD6A" w14:textId="77777777" w:rsidTr="002022D1">
        <w:trPr>
          <w:cnfStyle w:val="000000010000" w:firstRow="0" w:lastRow="0" w:firstColumn="0" w:lastColumn="0" w:oddVBand="0" w:evenVBand="0" w:oddHBand="0" w:evenHBand="1" w:firstRowFirstColumn="0" w:firstRowLastColumn="0" w:lastRowFirstColumn="0" w:lastRowLastColumn="0"/>
          <w:trHeight w:val="315"/>
          <w:jc w:val="center"/>
        </w:trPr>
        <w:tc>
          <w:tcPr>
            <w:tcW w:w="6010" w:type="dxa"/>
            <w:tcBorders>
              <w:bottom w:val="single" w:sz="4" w:space="0" w:color="D1D1D1" w:themeColor="background2"/>
            </w:tcBorders>
            <w:noWrap/>
            <w:hideMark/>
          </w:tcPr>
          <w:p w14:paraId="49884DAE" w14:textId="77777777" w:rsidR="003C0FF6" w:rsidRPr="009D0A4A" w:rsidRDefault="003C0FF6" w:rsidP="002022D1">
            <w:pPr>
              <w:spacing w:after="0" w:line="240" w:lineRule="auto"/>
              <w:rPr>
                <w:rFonts w:ascii="Calibri" w:eastAsia="Times New Roman" w:hAnsi="Calibri" w:cs="Calibri"/>
                <w:color w:val="000000"/>
                <w:lang w:eastAsia="en-AU"/>
              </w:rPr>
            </w:pPr>
            <w:r w:rsidRPr="009D0A4A">
              <w:rPr>
                <w:rFonts w:ascii="Calibri" w:eastAsia="Times New Roman" w:hAnsi="Calibri" w:cs="Calibri"/>
                <w:color w:val="000000"/>
                <w:lang w:eastAsia="en-AU"/>
              </w:rPr>
              <w:t>Not stated/Unknown</w:t>
            </w:r>
          </w:p>
        </w:tc>
        <w:tc>
          <w:tcPr>
            <w:tcW w:w="690" w:type="dxa"/>
            <w:tcBorders>
              <w:bottom w:val="single" w:sz="4" w:space="0" w:color="D1D1D1" w:themeColor="background2"/>
            </w:tcBorders>
            <w:noWrap/>
            <w:hideMark/>
          </w:tcPr>
          <w:p w14:paraId="0D18EA53"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5</w:t>
            </w:r>
          </w:p>
        </w:tc>
        <w:tc>
          <w:tcPr>
            <w:tcW w:w="822" w:type="dxa"/>
            <w:tcBorders>
              <w:bottom w:val="single" w:sz="4" w:space="0" w:color="D1D1D1" w:themeColor="background2"/>
            </w:tcBorders>
            <w:noWrap/>
            <w:hideMark/>
          </w:tcPr>
          <w:p w14:paraId="0FE22B07"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60</w:t>
            </w:r>
          </w:p>
        </w:tc>
        <w:tc>
          <w:tcPr>
            <w:tcW w:w="818" w:type="dxa"/>
            <w:tcBorders>
              <w:bottom w:val="single" w:sz="4" w:space="0" w:color="D1D1D1" w:themeColor="background2"/>
            </w:tcBorders>
            <w:noWrap/>
            <w:hideMark/>
          </w:tcPr>
          <w:p w14:paraId="729959D9" w14:textId="77777777" w:rsidR="003C0FF6" w:rsidRPr="009D0A4A" w:rsidRDefault="003C0FF6" w:rsidP="002022D1">
            <w:pPr>
              <w:spacing w:after="0" w:line="240" w:lineRule="auto"/>
              <w:jc w:val="right"/>
              <w:rPr>
                <w:rFonts w:ascii="Calibri" w:eastAsia="Times New Roman" w:hAnsi="Calibri" w:cs="Calibri"/>
                <w:b/>
                <w:bCs/>
                <w:color w:val="000000"/>
                <w:lang w:eastAsia="en-AU"/>
              </w:rPr>
            </w:pPr>
            <w:r w:rsidRPr="009D0A4A">
              <w:rPr>
                <w:rFonts w:ascii="Calibri" w:eastAsia="Times New Roman" w:hAnsi="Calibri" w:cs="Calibri"/>
                <w:b/>
                <w:bCs/>
                <w:color w:val="000000"/>
                <w:lang w:eastAsia="en-AU"/>
              </w:rPr>
              <w:t>65</w:t>
            </w:r>
          </w:p>
        </w:tc>
      </w:tr>
      <w:tr w:rsidR="003C0FF6" w:rsidRPr="009D0A4A" w14:paraId="13B2B48D" w14:textId="77777777" w:rsidTr="002022D1">
        <w:trPr>
          <w:cnfStyle w:val="000000100000" w:firstRow="0" w:lastRow="0" w:firstColumn="0" w:lastColumn="0" w:oddVBand="0" w:evenVBand="0" w:oddHBand="1" w:evenHBand="0" w:firstRowFirstColumn="0" w:firstRowLastColumn="0" w:lastRowFirstColumn="0" w:lastRowLastColumn="0"/>
          <w:trHeight w:val="300"/>
          <w:jc w:val="center"/>
        </w:trPr>
        <w:tc>
          <w:tcPr>
            <w:tcW w:w="6010" w:type="dxa"/>
            <w:tcBorders>
              <w:top w:val="single" w:sz="4" w:space="0" w:color="D1D1D1" w:themeColor="background2"/>
              <w:bottom w:val="single" w:sz="4" w:space="0" w:color="auto"/>
            </w:tcBorders>
            <w:noWrap/>
            <w:hideMark/>
          </w:tcPr>
          <w:p w14:paraId="50274E6B" w14:textId="77777777" w:rsidR="003C0FF6" w:rsidRPr="009D0A4A" w:rsidRDefault="003C0FF6" w:rsidP="002022D1">
            <w:pPr>
              <w:spacing w:after="0" w:line="240" w:lineRule="auto"/>
              <w:rPr>
                <w:rFonts w:ascii="Calibri" w:eastAsia="Times New Roman" w:hAnsi="Calibri" w:cs="Calibri"/>
                <w:color w:val="000000"/>
                <w:lang w:eastAsia="en-AU"/>
              </w:rPr>
            </w:pPr>
            <w:r w:rsidRPr="009D0A4A">
              <w:rPr>
                <w:rFonts w:ascii="Calibri" w:eastAsia="Times New Roman" w:hAnsi="Calibri" w:cs="Calibri"/>
                <w:color w:val="000000"/>
                <w:lang w:eastAsia="en-AU"/>
              </w:rPr>
              <w:t>Total</w:t>
            </w:r>
          </w:p>
        </w:tc>
        <w:tc>
          <w:tcPr>
            <w:tcW w:w="690" w:type="dxa"/>
            <w:tcBorders>
              <w:top w:val="single" w:sz="4" w:space="0" w:color="D1D1D1" w:themeColor="background2"/>
              <w:bottom w:val="single" w:sz="4" w:space="0" w:color="auto"/>
            </w:tcBorders>
            <w:noWrap/>
            <w:hideMark/>
          </w:tcPr>
          <w:p w14:paraId="0EF84095"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215</w:t>
            </w:r>
          </w:p>
        </w:tc>
        <w:tc>
          <w:tcPr>
            <w:tcW w:w="822" w:type="dxa"/>
            <w:tcBorders>
              <w:top w:val="single" w:sz="4" w:space="0" w:color="D1D1D1" w:themeColor="background2"/>
              <w:bottom w:val="single" w:sz="4" w:space="0" w:color="auto"/>
            </w:tcBorders>
            <w:noWrap/>
            <w:hideMark/>
          </w:tcPr>
          <w:p w14:paraId="64D24FD8"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197</w:t>
            </w:r>
          </w:p>
        </w:tc>
        <w:tc>
          <w:tcPr>
            <w:tcW w:w="818" w:type="dxa"/>
            <w:tcBorders>
              <w:top w:val="single" w:sz="4" w:space="0" w:color="D1D1D1" w:themeColor="background2"/>
              <w:bottom w:val="single" w:sz="4" w:space="0" w:color="auto"/>
            </w:tcBorders>
            <w:noWrap/>
            <w:hideMark/>
          </w:tcPr>
          <w:p w14:paraId="734E08C0" w14:textId="77777777" w:rsidR="003C0FF6" w:rsidRPr="009D0A4A" w:rsidRDefault="003C0FF6" w:rsidP="002022D1">
            <w:pPr>
              <w:spacing w:after="0" w:line="240" w:lineRule="auto"/>
              <w:jc w:val="right"/>
              <w:rPr>
                <w:rFonts w:ascii="Calibri" w:eastAsia="Times New Roman" w:hAnsi="Calibri" w:cs="Calibri"/>
                <w:color w:val="000000"/>
                <w:lang w:eastAsia="en-AU"/>
              </w:rPr>
            </w:pPr>
            <w:r w:rsidRPr="009D0A4A">
              <w:rPr>
                <w:rFonts w:ascii="Calibri" w:eastAsia="Times New Roman" w:hAnsi="Calibri" w:cs="Calibri"/>
                <w:color w:val="000000"/>
                <w:lang w:eastAsia="en-AU"/>
              </w:rPr>
              <w:t>412</w:t>
            </w:r>
          </w:p>
        </w:tc>
      </w:tr>
      <w:tr w:rsidR="003C0FF6" w:rsidRPr="009D0A4A" w14:paraId="7C47D792" w14:textId="77777777" w:rsidTr="002022D1">
        <w:trPr>
          <w:cnfStyle w:val="000000010000" w:firstRow="0" w:lastRow="0" w:firstColumn="0" w:lastColumn="0" w:oddVBand="0" w:evenVBand="0" w:oddHBand="0" w:evenHBand="1" w:firstRowFirstColumn="0" w:firstRowLastColumn="0" w:lastRowFirstColumn="0" w:lastRowLastColumn="0"/>
          <w:trHeight w:val="300"/>
          <w:jc w:val="center"/>
        </w:trPr>
        <w:tc>
          <w:tcPr>
            <w:tcW w:w="6700" w:type="dxa"/>
            <w:gridSpan w:val="2"/>
            <w:tcBorders>
              <w:top w:val="single" w:sz="4" w:space="0" w:color="auto"/>
              <w:bottom w:val="nil"/>
            </w:tcBorders>
            <w:noWrap/>
            <w:hideMark/>
          </w:tcPr>
          <w:p w14:paraId="49C53002" w14:textId="77777777" w:rsidR="003C0FF6" w:rsidRPr="009D0A4A" w:rsidRDefault="003C0FF6" w:rsidP="002022D1">
            <w:pPr>
              <w:spacing w:after="0" w:line="240" w:lineRule="auto"/>
              <w:rPr>
                <w:rFonts w:ascii="Calibri" w:eastAsia="Times New Roman" w:hAnsi="Calibri" w:cs="Calibri"/>
                <w:color w:val="000000"/>
                <w:szCs w:val="18"/>
                <w:lang w:eastAsia="en-AU"/>
              </w:rPr>
            </w:pPr>
            <w:r w:rsidRPr="009D0A4A">
              <w:rPr>
                <w:rFonts w:ascii="Calibri" w:eastAsia="Times New Roman" w:hAnsi="Calibri" w:cs="Calibri"/>
                <w:color w:val="000000"/>
                <w:szCs w:val="18"/>
                <w:lang w:eastAsia="en-AU"/>
              </w:rPr>
              <w:t>'np' data is suppressed where there are fewer than 5 serious claims.</w:t>
            </w:r>
          </w:p>
        </w:tc>
        <w:tc>
          <w:tcPr>
            <w:tcW w:w="822" w:type="dxa"/>
            <w:tcBorders>
              <w:top w:val="single" w:sz="4" w:space="0" w:color="auto"/>
              <w:bottom w:val="nil"/>
            </w:tcBorders>
            <w:noWrap/>
            <w:hideMark/>
          </w:tcPr>
          <w:p w14:paraId="2CCF8BB4" w14:textId="77777777" w:rsidR="003C0FF6" w:rsidRPr="009D0A4A" w:rsidRDefault="003C0FF6" w:rsidP="002022D1">
            <w:pPr>
              <w:spacing w:after="0" w:line="240" w:lineRule="auto"/>
              <w:rPr>
                <w:rFonts w:ascii="Calibri" w:eastAsia="Times New Roman" w:hAnsi="Calibri" w:cs="Calibri"/>
                <w:color w:val="000000"/>
                <w:lang w:eastAsia="en-AU"/>
              </w:rPr>
            </w:pPr>
          </w:p>
        </w:tc>
        <w:tc>
          <w:tcPr>
            <w:tcW w:w="818" w:type="dxa"/>
            <w:tcBorders>
              <w:top w:val="single" w:sz="4" w:space="0" w:color="auto"/>
              <w:bottom w:val="nil"/>
            </w:tcBorders>
            <w:noWrap/>
            <w:hideMark/>
          </w:tcPr>
          <w:p w14:paraId="312F3D1A" w14:textId="77777777" w:rsidR="003C0FF6" w:rsidRPr="009D0A4A" w:rsidRDefault="003C0FF6" w:rsidP="002022D1">
            <w:pPr>
              <w:spacing w:after="0" w:line="240" w:lineRule="auto"/>
              <w:rPr>
                <w:rFonts w:ascii="Times New Roman" w:eastAsia="Times New Roman" w:hAnsi="Times New Roman" w:cs="Times New Roman"/>
                <w:color w:val="auto"/>
                <w:lang w:eastAsia="en-AU"/>
              </w:rPr>
            </w:pPr>
          </w:p>
        </w:tc>
      </w:tr>
      <w:tr w:rsidR="003C0FF6" w:rsidRPr="009D0A4A" w14:paraId="334BFFC6" w14:textId="77777777" w:rsidTr="002022D1">
        <w:trPr>
          <w:cnfStyle w:val="000000100000" w:firstRow="0" w:lastRow="0" w:firstColumn="0" w:lastColumn="0" w:oddVBand="0" w:evenVBand="0" w:oddHBand="1" w:evenHBand="0" w:firstRowFirstColumn="0" w:firstRowLastColumn="0" w:lastRowFirstColumn="0" w:lastRowLastColumn="0"/>
          <w:trHeight w:val="300"/>
          <w:jc w:val="center"/>
        </w:trPr>
        <w:tc>
          <w:tcPr>
            <w:tcW w:w="6700" w:type="dxa"/>
            <w:gridSpan w:val="2"/>
            <w:tcBorders>
              <w:top w:val="nil"/>
              <w:bottom w:val="nil"/>
            </w:tcBorders>
            <w:noWrap/>
            <w:hideMark/>
          </w:tcPr>
          <w:p w14:paraId="6B260707" w14:textId="77777777" w:rsidR="003C0FF6" w:rsidRPr="009D0A4A" w:rsidRDefault="003C0FF6" w:rsidP="002022D1">
            <w:pPr>
              <w:spacing w:after="0" w:line="240" w:lineRule="auto"/>
              <w:rPr>
                <w:rFonts w:ascii="Calibri" w:eastAsia="Times New Roman" w:hAnsi="Calibri" w:cs="Calibri"/>
                <w:color w:val="000000"/>
                <w:szCs w:val="18"/>
                <w:lang w:eastAsia="en-AU"/>
              </w:rPr>
            </w:pPr>
            <w:r w:rsidRPr="009D0A4A">
              <w:rPr>
                <w:rFonts w:ascii="Calibri" w:eastAsia="Times New Roman" w:hAnsi="Calibri" w:cs="Calibri"/>
                <w:color w:val="000000"/>
                <w:szCs w:val="18"/>
                <w:lang w:eastAsia="en-AU"/>
              </w:rPr>
              <w:t>Note 1: All accepted workers' compensation claims excluding journey claims.</w:t>
            </w:r>
          </w:p>
        </w:tc>
        <w:tc>
          <w:tcPr>
            <w:tcW w:w="822" w:type="dxa"/>
            <w:tcBorders>
              <w:top w:val="nil"/>
              <w:bottom w:val="nil"/>
            </w:tcBorders>
            <w:noWrap/>
            <w:hideMark/>
          </w:tcPr>
          <w:p w14:paraId="2CE895A6" w14:textId="77777777" w:rsidR="003C0FF6" w:rsidRPr="009D0A4A" w:rsidRDefault="003C0FF6" w:rsidP="002022D1">
            <w:pPr>
              <w:spacing w:after="0" w:line="240" w:lineRule="auto"/>
              <w:rPr>
                <w:rFonts w:ascii="Calibri" w:eastAsia="Times New Roman" w:hAnsi="Calibri" w:cs="Calibri"/>
                <w:color w:val="000000"/>
                <w:lang w:eastAsia="en-AU"/>
              </w:rPr>
            </w:pPr>
          </w:p>
        </w:tc>
        <w:tc>
          <w:tcPr>
            <w:tcW w:w="818" w:type="dxa"/>
            <w:tcBorders>
              <w:top w:val="nil"/>
              <w:bottom w:val="nil"/>
            </w:tcBorders>
            <w:noWrap/>
            <w:hideMark/>
          </w:tcPr>
          <w:p w14:paraId="71C1CFC0" w14:textId="77777777" w:rsidR="003C0FF6" w:rsidRPr="009D0A4A" w:rsidRDefault="003C0FF6" w:rsidP="002022D1">
            <w:pPr>
              <w:spacing w:after="0" w:line="240" w:lineRule="auto"/>
              <w:rPr>
                <w:rFonts w:ascii="Times New Roman" w:eastAsia="Times New Roman" w:hAnsi="Times New Roman" w:cs="Times New Roman"/>
                <w:color w:val="auto"/>
                <w:lang w:eastAsia="en-AU"/>
              </w:rPr>
            </w:pPr>
          </w:p>
        </w:tc>
      </w:tr>
      <w:tr w:rsidR="003C0FF6" w:rsidRPr="009D0A4A" w14:paraId="68608C3E" w14:textId="77777777" w:rsidTr="002022D1">
        <w:trPr>
          <w:cnfStyle w:val="000000010000" w:firstRow="0" w:lastRow="0" w:firstColumn="0" w:lastColumn="0" w:oddVBand="0" w:evenVBand="0" w:oddHBand="0" w:evenHBand="1" w:firstRowFirstColumn="0" w:firstRowLastColumn="0" w:lastRowFirstColumn="0" w:lastRowLastColumn="0"/>
          <w:trHeight w:val="495"/>
          <w:jc w:val="center"/>
        </w:trPr>
        <w:tc>
          <w:tcPr>
            <w:tcW w:w="8340" w:type="dxa"/>
            <w:gridSpan w:val="4"/>
            <w:tcBorders>
              <w:top w:val="nil"/>
              <w:bottom w:val="nil"/>
            </w:tcBorders>
            <w:hideMark/>
          </w:tcPr>
          <w:p w14:paraId="05A00EB3" w14:textId="77777777" w:rsidR="003C0FF6" w:rsidRPr="009D0A4A" w:rsidRDefault="003C0FF6" w:rsidP="002022D1">
            <w:pPr>
              <w:spacing w:after="0" w:line="240" w:lineRule="auto"/>
              <w:rPr>
                <w:rFonts w:ascii="Calibri" w:eastAsia="Times New Roman" w:hAnsi="Calibri" w:cs="Calibri"/>
                <w:color w:val="000000"/>
                <w:szCs w:val="18"/>
                <w:lang w:eastAsia="en-AU"/>
              </w:rPr>
            </w:pPr>
            <w:r w:rsidRPr="009D0A4A">
              <w:rPr>
                <w:rFonts w:ascii="Calibri" w:eastAsia="Times New Roman" w:hAnsi="Calibri" w:cs="Calibri"/>
                <w:color w:val="000000"/>
                <w:szCs w:val="18"/>
                <w:lang w:eastAsia="en-AU"/>
              </w:rPr>
              <w:t>Note 2: The 2019-20 data are preliminary (denoted by 'p'). They are likely to rise as revisions occur in future years.</w:t>
            </w:r>
          </w:p>
        </w:tc>
      </w:tr>
      <w:tr w:rsidR="003C0FF6" w:rsidRPr="009D0A4A" w14:paraId="6CC9E8E2" w14:textId="77777777" w:rsidTr="002022D1">
        <w:trPr>
          <w:cnfStyle w:val="000000100000" w:firstRow="0" w:lastRow="0" w:firstColumn="0" w:lastColumn="0" w:oddVBand="0" w:evenVBand="0" w:oddHBand="1" w:evenHBand="0" w:firstRowFirstColumn="0" w:firstRowLastColumn="0" w:lastRowFirstColumn="0" w:lastRowLastColumn="0"/>
          <w:trHeight w:val="300"/>
          <w:jc w:val="center"/>
        </w:trPr>
        <w:tc>
          <w:tcPr>
            <w:tcW w:w="8340" w:type="dxa"/>
            <w:gridSpan w:val="4"/>
            <w:tcBorders>
              <w:top w:val="nil"/>
              <w:bottom w:val="nil"/>
            </w:tcBorders>
            <w:noWrap/>
            <w:hideMark/>
          </w:tcPr>
          <w:p w14:paraId="5AF10E99" w14:textId="77777777" w:rsidR="003C0FF6" w:rsidRPr="009D0A4A" w:rsidRDefault="003C0FF6" w:rsidP="002022D1">
            <w:pPr>
              <w:spacing w:after="0" w:line="240" w:lineRule="auto"/>
              <w:rPr>
                <w:rFonts w:ascii="Calibri" w:eastAsia="Times New Roman" w:hAnsi="Calibri" w:cs="Calibri"/>
                <w:color w:val="000000"/>
                <w:szCs w:val="18"/>
                <w:lang w:eastAsia="en-AU"/>
              </w:rPr>
            </w:pPr>
            <w:r w:rsidRPr="009D0A4A">
              <w:rPr>
                <w:rFonts w:ascii="Calibri" w:eastAsia="Times New Roman" w:hAnsi="Calibri" w:cs="Calibri"/>
                <w:color w:val="000000"/>
                <w:szCs w:val="18"/>
                <w:lang w:eastAsia="en-AU"/>
              </w:rPr>
              <w:t>Sources: Safe Work Australia's National Data Set for Compensation-based Statistics (NDS) and iCare.</w:t>
            </w:r>
          </w:p>
        </w:tc>
      </w:tr>
      <w:tr w:rsidR="00901281" w:rsidRPr="009D0A4A" w14:paraId="5B472D2E" w14:textId="77777777" w:rsidTr="002022D1">
        <w:trPr>
          <w:cnfStyle w:val="000000010000" w:firstRow="0" w:lastRow="0" w:firstColumn="0" w:lastColumn="0" w:oddVBand="0" w:evenVBand="0" w:oddHBand="0" w:evenHBand="1" w:firstRowFirstColumn="0" w:firstRowLastColumn="0" w:lastRowFirstColumn="0" w:lastRowLastColumn="0"/>
          <w:trHeight w:val="300"/>
          <w:jc w:val="center"/>
        </w:trPr>
        <w:tc>
          <w:tcPr>
            <w:tcW w:w="8340" w:type="dxa"/>
            <w:gridSpan w:val="4"/>
            <w:tcBorders>
              <w:top w:val="nil"/>
              <w:bottom w:val="nil"/>
            </w:tcBorders>
            <w:noWrap/>
          </w:tcPr>
          <w:p w14:paraId="25C6EB8C" w14:textId="77777777" w:rsidR="00901281" w:rsidRPr="009D0A4A" w:rsidRDefault="00901281" w:rsidP="002022D1">
            <w:pPr>
              <w:spacing w:after="0" w:line="240" w:lineRule="auto"/>
              <w:rPr>
                <w:rFonts w:ascii="Calibri" w:eastAsia="Times New Roman" w:hAnsi="Calibri" w:cs="Calibri"/>
                <w:color w:val="000000"/>
                <w:szCs w:val="18"/>
                <w:lang w:eastAsia="en-AU"/>
              </w:rPr>
            </w:pPr>
          </w:p>
        </w:tc>
      </w:tr>
    </w:tbl>
    <w:bookmarkEnd w:id="556"/>
    <w:p w14:paraId="7C6EC183" w14:textId="74590984" w:rsidR="00836FD9" w:rsidRPr="009D0A4A" w:rsidRDefault="007752C5" w:rsidP="000F019A">
      <w:pPr>
        <w:pStyle w:val="Heading4"/>
        <w:jc w:val="both"/>
      </w:pPr>
      <w:r w:rsidRPr="009D0A4A">
        <w:t>Results of h</w:t>
      </w:r>
      <w:r w:rsidR="00836FD9" w:rsidRPr="009D0A4A">
        <w:t xml:space="preserve">ealth screening </w:t>
      </w:r>
      <w:r w:rsidRPr="009D0A4A">
        <w:t xml:space="preserve">programs </w:t>
      </w:r>
      <w:r w:rsidR="002A294E" w:rsidRPr="009D0A4A">
        <w:t>for silicosis</w:t>
      </w:r>
    </w:p>
    <w:p w14:paraId="37FA9BF6" w14:textId="4373AD13" w:rsidR="000921AF" w:rsidRPr="009D0A4A" w:rsidRDefault="231E39A7" w:rsidP="00FA48E5">
      <w:pPr>
        <w:jc w:val="both"/>
      </w:pPr>
      <w:r w:rsidRPr="009D0A4A">
        <w:t xml:space="preserve">Health screening refers to programs undertaken by </w:t>
      </w:r>
      <w:r w:rsidR="63A6AC10" w:rsidRPr="009D0A4A">
        <w:t>s</w:t>
      </w:r>
      <w:r w:rsidRPr="009D0A4A">
        <w:t>tate</w:t>
      </w:r>
      <w:r w:rsidR="63A6AC10" w:rsidRPr="009D0A4A">
        <w:t xml:space="preserve"> and t</w:t>
      </w:r>
      <w:r w:rsidRPr="009D0A4A">
        <w:t>erritory regulators and</w:t>
      </w:r>
      <w:r w:rsidR="63A6AC10" w:rsidRPr="009D0A4A">
        <w:t xml:space="preserve"> </w:t>
      </w:r>
      <w:r w:rsidRPr="009D0A4A">
        <w:t xml:space="preserve">health authorities to detect previously undetected cases of silicosis in workers. This is distinct from health monitoring, which </w:t>
      </w:r>
      <w:r w:rsidR="579F0660" w:rsidRPr="009D0A4A">
        <w:t xml:space="preserve">is </w:t>
      </w:r>
      <w:r w:rsidR="00742200" w:rsidRPr="009D0A4A">
        <w:t>undertaken</w:t>
      </w:r>
      <w:r w:rsidR="006962F3" w:rsidRPr="009D0A4A">
        <w:t xml:space="preserve"> by</w:t>
      </w:r>
      <w:r w:rsidR="579F0660" w:rsidRPr="009D0A4A">
        <w:t xml:space="preserve"> </w:t>
      </w:r>
      <w:r w:rsidRPr="009D0A4A">
        <w:t>PCBUs</w:t>
      </w:r>
      <w:r w:rsidR="3DD95C86" w:rsidRPr="009D0A4A">
        <w:t xml:space="preserve"> </w:t>
      </w:r>
      <w:r w:rsidR="00D307F5" w:rsidRPr="009D0A4A">
        <w:t>and</w:t>
      </w:r>
      <w:r w:rsidR="3DD95C86" w:rsidRPr="009D0A4A">
        <w:t xml:space="preserve"> carried out by</w:t>
      </w:r>
      <w:r w:rsidR="00A20E12" w:rsidRPr="009D0A4A">
        <w:t>,</w:t>
      </w:r>
      <w:r w:rsidR="3DD95C86" w:rsidRPr="009D0A4A">
        <w:t xml:space="preserve"> or supervised by</w:t>
      </w:r>
      <w:r w:rsidR="00A20E12" w:rsidRPr="009D0A4A">
        <w:t>,</w:t>
      </w:r>
      <w:r w:rsidR="3DD95C86" w:rsidRPr="009D0A4A">
        <w:t xml:space="preserve"> a registered medical practitioner with experience in health monitoring</w:t>
      </w:r>
      <w:r w:rsidR="00A20E12" w:rsidRPr="009D0A4A">
        <w:t xml:space="preserve"> (as required by the model WHS laws)</w:t>
      </w:r>
      <w:r w:rsidR="3DD95C86" w:rsidRPr="009D0A4A">
        <w:t>.</w:t>
      </w:r>
      <w:r w:rsidRPr="009D0A4A">
        <w:t xml:space="preserve"> </w:t>
      </w:r>
    </w:p>
    <w:p w14:paraId="7695617D" w14:textId="332E205A" w:rsidR="00ED07E0" w:rsidRPr="009D0A4A" w:rsidRDefault="231E39A7" w:rsidP="00FA48E5">
      <w:pPr>
        <w:jc w:val="both"/>
      </w:pPr>
      <w:r w:rsidRPr="009D0A4A">
        <w:t xml:space="preserve">The </w:t>
      </w:r>
      <w:r w:rsidR="009C6A16" w:rsidRPr="009D0A4A">
        <w:t xml:space="preserve">incidence </w:t>
      </w:r>
      <w:r w:rsidRPr="009D0A4A">
        <w:t>of cases detected through health screening suggests that health monitoring</w:t>
      </w:r>
      <w:r w:rsidR="00A20E12" w:rsidRPr="009D0A4A">
        <w:t xml:space="preserve"> (as required by the model WHS laws)</w:t>
      </w:r>
      <w:r w:rsidRPr="009D0A4A">
        <w:t xml:space="preserve"> is not occurring at the rates that </w:t>
      </w:r>
      <w:r w:rsidR="007D4DBC" w:rsidRPr="009D0A4A">
        <w:t xml:space="preserve">it </w:t>
      </w:r>
      <w:r w:rsidRPr="009D0A4A">
        <w:t>should be.</w:t>
      </w:r>
      <w:r w:rsidR="29FD8E37" w:rsidRPr="009D0A4A">
        <w:t xml:space="preserve"> </w:t>
      </w:r>
      <w:r w:rsidR="00F6435E" w:rsidRPr="009D0A4A">
        <w:t xml:space="preserve">Table </w:t>
      </w:r>
      <w:r w:rsidR="003F5102" w:rsidRPr="009D0A4A">
        <w:t>7</w:t>
      </w:r>
      <w:r w:rsidR="00F6435E" w:rsidRPr="009D0A4A">
        <w:t xml:space="preserve"> </w:t>
      </w:r>
      <w:r w:rsidR="03172D11" w:rsidRPr="009D0A4A">
        <w:t>below sets out the outcomes of state and territory silicosis health screening programs</w:t>
      </w:r>
      <w:r w:rsidR="00F61D4B" w:rsidRPr="009D0A4A">
        <w:t xml:space="preserve"> </w:t>
      </w:r>
      <w:r w:rsidR="00A20E12" w:rsidRPr="009D0A4A">
        <w:t>for</w:t>
      </w:r>
      <w:r w:rsidR="00F61D4B" w:rsidRPr="009D0A4A">
        <w:t xml:space="preserve"> stonemasons and engineered stone worker</w:t>
      </w:r>
      <w:r w:rsidR="000B768B" w:rsidRPr="009D0A4A">
        <w:t>s</w:t>
      </w:r>
      <w:r w:rsidR="001D6C05" w:rsidRPr="009D0A4A">
        <w:t xml:space="preserve">, where </w:t>
      </w:r>
      <w:r w:rsidR="00DA75E3" w:rsidRPr="009D0A4A">
        <w:t>436 workers have been referred for further assessment or diagnosed with silicosis since 2017.</w:t>
      </w:r>
    </w:p>
    <w:p w14:paraId="3D822C99" w14:textId="36170765" w:rsidR="00C256F2" w:rsidRPr="009D0A4A" w:rsidRDefault="009B0C67" w:rsidP="00613239">
      <w:pPr>
        <w:pStyle w:val="Caption"/>
        <w:jc w:val="both"/>
      </w:pPr>
      <w:bookmarkStart w:id="557" w:name="_Ref89784670"/>
      <w:bookmarkStart w:id="558" w:name="_Ref89784667"/>
      <w:r w:rsidRPr="009D0A4A">
        <w:t>Table</w:t>
      </w:r>
      <w:r w:rsidR="00B61508" w:rsidRPr="009D0A4A">
        <w:t xml:space="preserve"> </w:t>
      </w:r>
      <w:r w:rsidR="003F5102" w:rsidRPr="009D0A4A">
        <w:t>7</w:t>
      </w:r>
      <w:bookmarkEnd w:id="557"/>
      <w:r w:rsidRPr="009D0A4A">
        <w:t>:</w:t>
      </w:r>
      <w:r w:rsidR="00C256F2" w:rsidRPr="009D0A4A">
        <w:t xml:space="preserve"> Outcomes of state and territory silicosis health screening programs</w:t>
      </w:r>
      <w:bookmarkEnd w:id="558"/>
    </w:p>
    <w:tbl>
      <w:tblPr>
        <w:tblStyle w:val="PMCDefaultTableStyle"/>
        <w:tblW w:w="4654" w:type="pct"/>
        <w:jc w:val="center"/>
        <w:tblLook w:val="04A0" w:firstRow="1" w:lastRow="0" w:firstColumn="1" w:lastColumn="0" w:noHBand="0" w:noVBand="1"/>
      </w:tblPr>
      <w:tblGrid>
        <w:gridCol w:w="1188"/>
        <w:gridCol w:w="1801"/>
        <w:gridCol w:w="2502"/>
        <w:gridCol w:w="2164"/>
        <w:gridCol w:w="1843"/>
      </w:tblGrid>
      <w:tr w:rsidR="002B0A06" w:rsidRPr="009D0A4A" w14:paraId="5912C501" w14:textId="561A0547" w:rsidTr="00402264">
        <w:trPr>
          <w:cnfStyle w:val="100000000000" w:firstRow="1" w:lastRow="0" w:firstColumn="0" w:lastColumn="0" w:oddVBand="0" w:evenVBand="0" w:oddHBand="0" w:evenHBand="0" w:firstRowFirstColumn="0" w:firstRowLastColumn="0" w:lastRowFirstColumn="0" w:lastRowLastColumn="0"/>
          <w:jc w:val="center"/>
        </w:trPr>
        <w:tc>
          <w:tcPr>
            <w:tcW w:w="625" w:type="pct"/>
          </w:tcPr>
          <w:p w14:paraId="66E91AE2" w14:textId="3D481C62" w:rsidR="002B0A06" w:rsidRPr="009D0A4A" w:rsidRDefault="002B0A06" w:rsidP="002B0A06">
            <w:pPr>
              <w:spacing w:after="160" w:line="259" w:lineRule="auto"/>
            </w:pPr>
            <w:r w:rsidRPr="009D0A4A">
              <w:t>Jurisdiction</w:t>
            </w:r>
          </w:p>
        </w:tc>
        <w:tc>
          <w:tcPr>
            <w:tcW w:w="948" w:type="pct"/>
          </w:tcPr>
          <w:p w14:paraId="1601A7FF" w14:textId="4A88E9D9" w:rsidR="002B0A06" w:rsidRPr="009D0A4A" w:rsidRDefault="002B0A06" w:rsidP="002B0A06">
            <w:pPr>
              <w:spacing w:after="160" w:line="259" w:lineRule="auto"/>
            </w:pPr>
            <w:r w:rsidRPr="009D0A4A">
              <w:t>Source</w:t>
            </w:r>
          </w:p>
        </w:tc>
        <w:tc>
          <w:tcPr>
            <w:tcW w:w="1317" w:type="pct"/>
          </w:tcPr>
          <w:p w14:paraId="0DC1AFB5" w14:textId="573F9FA1" w:rsidR="002B0A06" w:rsidRPr="009D0A4A" w:rsidRDefault="002B0A06" w:rsidP="002B0A06">
            <w:pPr>
              <w:spacing w:after="160" w:line="259" w:lineRule="auto"/>
            </w:pPr>
            <w:r w:rsidRPr="009D0A4A">
              <w:t>Period</w:t>
            </w:r>
          </w:p>
        </w:tc>
        <w:tc>
          <w:tcPr>
            <w:tcW w:w="1139" w:type="pct"/>
          </w:tcPr>
          <w:p w14:paraId="049A3BB2" w14:textId="582AECEA" w:rsidR="002B0A06" w:rsidRPr="009D0A4A" w:rsidRDefault="002B0A06" w:rsidP="002B0A06">
            <w:pPr>
              <w:spacing w:after="160" w:line="259" w:lineRule="auto"/>
            </w:pPr>
            <w:r w:rsidRPr="009D0A4A">
              <w:t>Number of workers participating in screening programs</w:t>
            </w:r>
          </w:p>
        </w:tc>
        <w:tc>
          <w:tcPr>
            <w:tcW w:w="970" w:type="pct"/>
          </w:tcPr>
          <w:p w14:paraId="3714A281" w14:textId="6CC9D1C0" w:rsidR="002B0A06" w:rsidRPr="009D0A4A" w:rsidRDefault="002B0A06" w:rsidP="002B0A06">
            <w:pPr>
              <w:spacing w:after="160" w:line="259" w:lineRule="auto"/>
            </w:pPr>
            <w:r w:rsidRPr="009D0A4A">
              <w:t>Number of people with silicosis</w:t>
            </w:r>
          </w:p>
        </w:tc>
      </w:tr>
      <w:tr w:rsidR="002B0A06" w:rsidRPr="009D0A4A" w14:paraId="02F7E388" w14:textId="38F7B46F" w:rsidTr="00402264">
        <w:trPr>
          <w:cnfStyle w:val="000000100000" w:firstRow="0" w:lastRow="0" w:firstColumn="0" w:lastColumn="0" w:oddVBand="0" w:evenVBand="0" w:oddHBand="1" w:evenHBand="0" w:firstRowFirstColumn="0" w:firstRowLastColumn="0" w:lastRowFirstColumn="0" w:lastRowLastColumn="0"/>
          <w:jc w:val="center"/>
        </w:trPr>
        <w:tc>
          <w:tcPr>
            <w:tcW w:w="625" w:type="pct"/>
          </w:tcPr>
          <w:p w14:paraId="401C934D" w14:textId="7FA35F96" w:rsidR="002B0A06" w:rsidRPr="009D0A4A" w:rsidRDefault="002B0A06" w:rsidP="002B0A06">
            <w:pPr>
              <w:spacing w:after="160" w:line="259" w:lineRule="auto"/>
            </w:pPr>
            <w:r w:rsidRPr="009D0A4A">
              <w:t>QLD</w:t>
            </w:r>
            <w:r w:rsidR="00DB12DF" w:rsidRPr="009D0A4A">
              <w:rPr>
                <w:rStyle w:val="FootnoteReference"/>
              </w:rPr>
              <w:t xml:space="preserve"> </w:t>
            </w:r>
            <w:r w:rsidR="00DB12DF" w:rsidRPr="009D0A4A">
              <w:fldChar w:fldCharType="begin"/>
            </w:r>
            <w:r w:rsidR="004067E3">
              <w:instrText xml:space="preserve"> ADDIN ZOTERO_ITEM CSL_CITATION {"citationID":"BahyL4m2","properties":{"formattedCitation":"(Queensland Government 2020)","plainCitation":"(Queensland Government 2020)","noteIndex":0},"citationItems":[{"id":865,"uris":["http://zotero.org/users/6230888/items/L9VQ74YU"],"itemData":{"id":865,"type":"webpage","abstract":"Silicosis is a lung disease that can affect workers who’ve been exposed to silica.","genre":"Text","note":"Last Modified: 2021-05-27 10:24:47\npublisher: WorkCover Queensland","title":"WorkCover Screening Outcomes","URL":"https://www.worksafe.qld.gov.au/claims-and-insurance/work-related-injuries/types-of-injury-or-illness/work-related-respiratory-diseases/silicosis","author":[{"literal":"Queensland Government"}],"accessed":{"date-parts":[["2022",6,30]]},"issued":{"date-parts":[["2020",9,11]]}}}],"schema":"https://github.com/citation-style-language/schema/raw/master/csl-citation.json"} </w:instrText>
            </w:r>
            <w:r w:rsidR="00DB12DF" w:rsidRPr="009D0A4A">
              <w:fldChar w:fldCharType="separate"/>
            </w:r>
            <w:r w:rsidR="006B4A7D" w:rsidRPr="009D0A4A">
              <w:rPr>
                <w:rFonts w:ascii="Calibri" w:hAnsi="Calibri" w:cs="Calibri"/>
              </w:rPr>
              <w:t>(Queensland Government 2020)</w:t>
            </w:r>
            <w:r w:rsidR="00DB12DF" w:rsidRPr="009D0A4A">
              <w:fldChar w:fldCharType="end"/>
            </w:r>
          </w:p>
        </w:tc>
        <w:tc>
          <w:tcPr>
            <w:tcW w:w="948" w:type="pct"/>
          </w:tcPr>
          <w:p w14:paraId="1E36E7E1" w14:textId="40027279" w:rsidR="002B0A06" w:rsidRPr="009D0A4A" w:rsidRDefault="002B0A06" w:rsidP="002B0A06">
            <w:pPr>
              <w:spacing w:after="160" w:line="259" w:lineRule="auto"/>
            </w:pPr>
            <w:r w:rsidRPr="009D0A4A">
              <w:t>Regulator health screening program</w:t>
            </w:r>
          </w:p>
        </w:tc>
        <w:tc>
          <w:tcPr>
            <w:tcW w:w="1317" w:type="pct"/>
          </w:tcPr>
          <w:p w14:paraId="75633336" w14:textId="3E84EFD0" w:rsidR="002B0A06" w:rsidRPr="009D0A4A" w:rsidRDefault="009E3E02" w:rsidP="002B0A06">
            <w:pPr>
              <w:spacing w:after="160" w:line="259" w:lineRule="auto"/>
            </w:pPr>
            <w:r w:rsidRPr="009D0A4A">
              <w:t>September 2018 -</w:t>
            </w:r>
            <w:r w:rsidR="002B0A06" w:rsidRPr="009D0A4A">
              <w:t xml:space="preserve"> 30 November 2021</w:t>
            </w:r>
          </w:p>
        </w:tc>
        <w:tc>
          <w:tcPr>
            <w:tcW w:w="1139" w:type="pct"/>
          </w:tcPr>
          <w:p w14:paraId="5D7BE19B" w14:textId="1848ED19" w:rsidR="002B0A06" w:rsidRPr="009D0A4A" w:rsidRDefault="002B0A06" w:rsidP="002B0A06">
            <w:pPr>
              <w:spacing w:after="160" w:line="259" w:lineRule="auto"/>
            </w:pPr>
            <w:r w:rsidRPr="009D0A4A">
              <w:t>1,053</w:t>
            </w:r>
          </w:p>
        </w:tc>
        <w:tc>
          <w:tcPr>
            <w:tcW w:w="970" w:type="pct"/>
          </w:tcPr>
          <w:p w14:paraId="2CF587A4" w14:textId="15809F53" w:rsidR="002B0A06" w:rsidRPr="009D0A4A" w:rsidRDefault="002B0A06" w:rsidP="002B0A06">
            <w:pPr>
              <w:spacing w:after="160" w:line="259" w:lineRule="auto"/>
            </w:pPr>
            <w:r w:rsidRPr="009D0A4A">
              <w:t>238</w:t>
            </w:r>
            <w:r w:rsidRPr="009D0A4A">
              <w:rPr>
                <w:rStyle w:val="FootnoteReference"/>
              </w:rPr>
              <w:footnoteReference w:id="4"/>
            </w:r>
          </w:p>
        </w:tc>
      </w:tr>
      <w:tr w:rsidR="002B0A06" w:rsidRPr="009D0A4A" w14:paraId="6783CF33" w14:textId="5DB91C37" w:rsidTr="00402264">
        <w:trPr>
          <w:cnfStyle w:val="000000010000" w:firstRow="0" w:lastRow="0" w:firstColumn="0" w:lastColumn="0" w:oddVBand="0" w:evenVBand="0" w:oddHBand="0" w:evenHBand="1" w:firstRowFirstColumn="0" w:firstRowLastColumn="0" w:lastRowFirstColumn="0" w:lastRowLastColumn="0"/>
          <w:jc w:val="center"/>
        </w:trPr>
        <w:tc>
          <w:tcPr>
            <w:tcW w:w="625" w:type="pct"/>
          </w:tcPr>
          <w:p w14:paraId="7AE07AA5" w14:textId="4E6D305E" w:rsidR="002B0A06" w:rsidRPr="009D0A4A" w:rsidRDefault="002B0A06" w:rsidP="002B0A06">
            <w:pPr>
              <w:spacing w:after="160" w:line="259" w:lineRule="auto"/>
            </w:pPr>
            <w:r w:rsidRPr="009D0A4A">
              <w:t>NSW (2017 – 2020)</w:t>
            </w:r>
            <w:r w:rsidR="00DB12DF" w:rsidRPr="009D0A4A">
              <w:t xml:space="preserve"> </w:t>
            </w:r>
            <w:r w:rsidR="00DB12DF" w:rsidRPr="009D0A4A">
              <w:fldChar w:fldCharType="begin"/>
            </w:r>
            <w:r w:rsidR="004067E3">
              <w:instrText xml:space="preserve"> ADDIN ZOTERO_ITEM CSL_CITATION {"citationID":"q6obj955","properties":{"formattedCitation":"(Golder Associates Pty Ltd 2021)","plainCitation":"(Golder Associates Pty Ltd 2021)","noteIndex":0},"citationItems":[{"id":868,"uris":["http://zotero.org/users/6230888/items/ZNZEJXCF"],"itemData":{"id":868,"type":"article-journal","language":"en","page":"59","source":"Zotero","title":"Case Finding Study - Respirable crystalline silica exposure in the NSW manufactured stone industry","author":[{"literal":"Golder Associates Pty Ltd"}],"issued":{"date-parts":[["2021"]]}}}],"schema":"https://github.com/citation-style-language/schema/raw/master/csl-citation.json"} </w:instrText>
            </w:r>
            <w:r w:rsidR="00DB12DF" w:rsidRPr="009D0A4A">
              <w:fldChar w:fldCharType="separate"/>
            </w:r>
            <w:r w:rsidR="006B4A7D" w:rsidRPr="009D0A4A">
              <w:rPr>
                <w:rFonts w:ascii="Calibri" w:hAnsi="Calibri" w:cs="Calibri"/>
              </w:rPr>
              <w:t>(Golder Associates Pty Ltd 2021)</w:t>
            </w:r>
            <w:r w:rsidR="00DB12DF" w:rsidRPr="009D0A4A">
              <w:fldChar w:fldCharType="end"/>
            </w:r>
          </w:p>
        </w:tc>
        <w:tc>
          <w:tcPr>
            <w:tcW w:w="948" w:type="pct"/>
          </w:tcPr>
          <w:p w14:paraId="00606EDD" w14:textId="4C20ED75" w:rsidR="002B0A06" w:rsidRPr="009D0A4A" w:rsidRDefault="002B0A06" w:rsidP="002B0A06">
            <w:pPr>
              <w:spacing w:after="160" w:line="259" w:lineRule="auto"/>
            </w:pPr>
            <w:r w:rsidRPr="009D0A4A">
              <w:t>icare NSW screening</w:t>
            </w:r>
          </w:p>
        </w:tc>
        <w:tc>
          <w:tcPr>
            <w:tcW w:w="1317" w:type="pct"/>
          </w:tcPr>
          <w:p w14:paraId="488CE985" w14:textId="5BA3E3DF" w:rsidR="002B0A06" w:rsidRPr="009D0A4A" w:rsidRDefault="002B0A06" w:rsidP="002B0A06">
            <w:pPr>
              <w:spacing w:after="160" w:line="259" w:lineRule="auto"/>
            </w:pPr>
            <w:r w:rsidRPr="009D0A4A">
              <w:t>Financial years 2017-18, 2018-19 and 2019-20</w:t>
            </w:r>
          </w:p>
        </w:tc>
        <w:tc>
          <w:tcPr>
            <w:tcW w:w="1139" w:type="pct"/>
          </w:tcPr>
          <w:p w14:paraId="092155EC" w14:textId="1F64D18B" w:rsidR="002B0A06" w:rsidRPr="009D0A4A" w:rsidRDefault="002B0A06" w:rsidP="002B0A06">
            <w:pPr>
              <w:spacing w:after="160" w:line="259" w:lineRule="auto"/>
            </w:pPr>
            <w:r w:rsidRPr="009D0A4A">
              <w:t>3,030</w:t>
            </w:r>
          </w:p>
        </w:tc>
        <w:tc>
          <w:tcPr>
            <w:tcW w:w="970" w:type="pct"/>
          </w:tcPr>
          <w:p w14:paraId="4BC32F8B" w14:textId="4D47506E" w:rsidR="002B0A06" w:rsidRPr="009D0A4A" w:rsidRDefault="002B0A06" w:rsidP="002B0A06">
            <w:pPr>
              <w:spacing w:after="160" w:line="259" w:lineRule="auto"/>
            </w:pPr>
            <w:r w:rsidRPr="009D0A4A">
              <w:t>156</w:t>
            </w:r>
          </w:p>
        </w:tc>
      </w:tr>
      <w:tr w:rsidR="002B0A06" w:rsidRPr="009D0A4A" w14:paraId="31D999FF" w14:textId="77777777" w:rsidTr="00402264">
        <w:trPr>
          <w:cnfStyle w:val="000000100000" w:firstRow="0" w:lastRow="0" w:firstColumn="0" w:lastColumn="0" w:oddVBand="0" w:evenVBand="0" w:oddHBand="1" w:evenHBand="0" w:firstRowFirstColumn="0" w:firstRowLastColumn="0" w:lastRowFirstColumn="0" w:lastRowLastColumn="0"/>
          <w:jc w:val="center"/>
        </w:trPr>
        <w:tc>
          <w:tcPr>
            <w:tcW w:w="625" w:type="pct"/>
          </w:tcPr>
          <w:p w14:paraId="30C5BB27" w14:textId="5E348E34" w:rsidR="002B0A06" w:rsidRPr="009D0A4A" w:rsidRDefault="002B0A06" w:rsidP="002B0A06">
            <w:pPr>
              <w:spacing w:after="160" w:line="259" w:lineRule="auto"/>
            </w:pPr>
            <w:r w:rsidRPr="009D0A4A">
              <w:t>SA</w:t>
            </w:r>
            <w:r w:rsidR="00EA11B0" w:rsidRPr="009D0A4A">
              <w:t xml:space="preserve"> </w:t>
            </w:r>
            <w:r w:rsidR="00EA11B0" w:rsidRPr="009D0A4A">
              <w:fldChar w:fldCharType="begin"/>
            </w:r>
            <w:r w:rsidR="004067E3">
              <w:instrText xml:space="preserve"> ADDIN ZOTERO_ITEM CSL_CITATION {"citationID":"0pTBF1j4","properties":{"formattedCitation":"(Wellbeing SA 2020)","plainCitation":"(Wellbeing SA 2020)","noteIndex":0},"citationItems":[{"id":870,"uris":["http://zotero.org/users/6230888/items/QSF8UJ79"],"itemData":{"id":870,"type":"report","page":"40","title":"Silicosis Health Screening Program Baseline findings – September 2020","URL":"https://www.safework.sa.gov.au/workplaces/chemicals-substances-and-explosives/documents/Silicosis-Health-Screening-Program-Baseline-Findings.pdf","author":[{"literal":"Wellbeing SA"}],"accessed":{"date-parts":[["2022",6,30]]},"issued":{"date-parts":[["2020"]]}}}],"schema":"https://github.com/citation-style-language/schema/raw/master/csl-citation.json"} </w:instrText>
            </w:r>
            <w:r w:rsidR="00EA11B0" w:rsidRPr="009D0A4A">
              <w:fldChar w:fldCharType="separate"/>
            </w:r>
            <w:r w:rsidR="006B4A7D" w:rsidRPr="009D0A4A">
              <w:rPr>
                <w:rFonts w:ascii="Calibri" w:hAnsi="Calibri" w:cs="Calibri"/>
              </w:rPr>
              <w:t>(Wellbeing SA 2020)</w:t>
            </w:r>
            <w:r w:rsidR="00EA11B0" w:rsidRPr="009D0A4A">
              <w:fldChar w:fldCharType="end"/>
            </w:r>
          </w:p>
        </w:tc>
        <w:tc>
          <w:tcPr>
            <w:tcW w:w="948" w:type="pct"/>
          </w:tcPr>
          <w:p w14:paraId="59AE684B" w14:textId="3F9440FC" w:rsidR="002B0A06" w:rsidRPr="009D0A4A" w:rsidRDefault="002B0A06" w:rsidP="002B0A06">
            <w:pPr>
              <w:spacing w:after="160" w:line="259" w:lineRule="auto"/>
            </w:pPr>
            <w:r w:rsidRPr="009D0A4A">
              <w:t>Health screening program</w:t>
            </w:r>
          </w:p>
        </w:tc>
        <w:tc>
          <w:tcPr>
            <w:tcW w:w="1317" w:type="pct"/>
          </w:tcPr>
          <w:p w14:paraId="2CA9A056" w14:textId="335A6B37" w:rsidR="002B0A06" w:rsidRPr="009D0A4A" w:rsidRDefault="002B0A06" w:rsidP="002B0A06">
            <w:pPr>
              <w:spacing w:after="160" w:line="259" w:lineRule="auto"/>
            </w:pPr>
            <w:r w:rsidRPr="009D0A4A">
              <w:t>1 March to 16 August 2019</w:t>
            </w:r>
          </w:p>
        </w:tc>
        <w:tc>
          <w:tcPr>
            <w:tcW w:w="1139" w:type="pct"/>
          </w:tcPr>
          <w:p w14:paraId="590FAD37" w14:textId="785D1265" w:rsidR="002B0A06" w:rsidRPr="009D0A4A" w:rsidRDefault="002B0A06" w:rsidP="002B0A06">
            <w:pPr>
              <w:spacing w:after="160" w:line="259" w:lineRule="auto"/>
            </w:pPr>
            <w:r w:rsidRPr="009D0A4A">
              <w:t>295</w:t>
            </w:r>
          </w:p>
        </w:tc>
        <w:tc>
          <w:tcPr>
            <w:tcW w:w="970" w:type="pct"/>
          </w:tcPr>
          <w:p w14:paraId="6CE6B86D" w14:textId="026CEE46" w:rsidR="002B0A06" w:rsidRPr="009D0A4A" w:rsidRDefault="002B0A06" w:rsidP="002B0A06">
            <w:pPr>
              <w:spacing w:after="160" w:line="259" w:lineRule="auto"/>
            </w:pPr>
            <w:r w:rsidRPr="009D0A4A">
              <w:t>18</w:t>
            </w:r>
            <w:r w:rsidRPr="009D0A4A">
              <w:rPr>
                <w:rStyle w:val="FootnoteReference"/>
              </w:rPr>
              <w:footnoteReference w:id="5"/>
            </w:r>
          </w:p>
        </w:tc>
      </w:tr>
      <w:tr w:rsidR="002B0A06" w:rsidRPr="009D0A4A" w14:paraId="24AABE61" w14:textId="44C7261B" w:rsidTr="00402264">
        <w:trPr>
          <w:cnfStyle w:val="000000010000" w:firstRow="0" w:lastRow="0" w:firstColumn="0" w:lastColumn="0" w:oddVBand="0" w:evenVBand="0" w:oddHBand="0" w:evenHBand="1" w:firstRowFirstColumn="0" w:firstRowLastColumn="0" w:lastRowFirstColumn="0" w:lastRowLastColumn="0"/>
          <w:jc w:val="center"/>
        </w:trPr>
        <w:tc>
          <w:tcPr>
            <w:tcW w:w="625" w:type="pct"/>
          </w:tcPr>
          <w:p w14:paraId="5D9B5070" w14:textId="77777777" w:rsidR="002B0A06" w:rsidRPr="009D0A4A" w:rsidRDefault="002B0A06" w:rsidP="002B0A06">
            <w:pPr>
              <w:spacing w:after="160" w:line="259" w:lineRule="auto"/>
            </w:pPr>
            <w:r w:rsidRPr="009D0A4A">
              <w:t>WA</w:t>
            </w:r>
            <w:r w:rsidR="00EA11B0" w:rsidRPr="009D0A4A">
              <w:t xml:space="preserve"> </w:t>
            </w:r>
            <w:r w:rsidR="00EA11B0" w:rsidRPr="009D0A4A">
              <w:fldChar w:fldCharType="begin"/>
            </w:r>
            <w:r w:rsidR="004067E3">
              <w:instrText xml:space="preserve"> ADDIN ZOTERO_ITEM CSL_CITATION {"citationID":"9d9TCO1d","properties":{"formattedCitation":"(WorkSafe Western Australia 2021)","plainCitation":"(WorkSafe Western Australia 2021)","noteIndex":0},"citationItems":[{"id":871,"uris":["http://zotero.org/users/6230888/items/TA8RQVKK"],"itemData":{"id":871,"type":"report","abstract":"Between July 2018 and May 2021, WorkSafe WA undertook a proactive compliance project into engineered stone benchtop fabrication and installation to investigate respirable crystalline silica (RCS) e","language":"en","page":"8","title":"WorkSafe Western Australia silica compliance project - report","URL":"https://www.commerce.wa.gov.au/sites/default/files/atoms/files/silica_compliance_report.pdf","author":[{"literal":"WorkSafe Western Australia"}],"accessed":{"date-parts":[["2022",6,30]]},"issued":{"date-parts":[["2021",7,14]]}}}],"schema":"https://github.com/citation-style-language/schema/raw/master/csl-citation.json"} </w:instrText>
            </w:r>
            <w:r w:rsidR="00EA11B0" w:rsidRPr="009D0A4A">
              <w:fldChar w:fldCharType="separate"/>
            </w:r>
            <w:r w:rsidR="006B4A7D" w:rsidRPr="009D0A4A">
              <w:rPr>
                <w:rFonts w:ascii="Calibri" w:hAnsi="Calibri" w:cs="Calibri"/>
              </w:rPr>
              <w:t>(WorkSafe Western Australia 2021)</w:t>
            </w:r>
            <w:r w:rsidR="00EA11B0" w:rsidRPr="009D0A4A">
              <w:fldChar w:fldCharType="end"/>
            </w:r>
          </w:p>
        </w:tc>
        <w:tc>
          <w:tcPr>
            <w:tcW w:w="948" w:type="pct"/>
          </w:tcPr>
          <w:p w14:paraId="0A3591C1" w14:textId="52CDA360" w:rsidR="002B0A06" w:rsidRPr="009D0A4A" w:rsidRDefault="002B0A06" w:rsidP="002B0A06">
            <w:pPr>
              <w:spacing w:after="160" w:line="259" w:lineRule="auto"/>
            </w:pPr>
            <w:r w:rsidRPr="009D0A4A">
              <w:t>Regulator health screening program</w:t>
            </w:r>
          </w:p>
        </w:tc>
        <w:tc>
          <w:tcPr>
            <w:tcW w:w="1317" w:type="pct"/>
          </w:tcPr>
          <w:p w14:paraId="40429D61" w14:textId="7F8CA1A1" w:rsidR="002B0A06" w:rsidRPr="009D0A4A" w:rsidRDefault="002B0A06" w:rsidP="002B0A06">
            <w:pPr>
              <w:spacing w:after="160" w:line="259" w:lineRule="auto"/>
            </w:pPr>
            <w:r w:rsidRPr="009D0A4A">
              <w:t>July 2018 to May 2021</w:t>
            </w:r>
          </w:p>
        </w:tc>
        <w:tc>
          <w:tcPr>
            <w:tcW w:w="1139" w:type="pct"/>
          </w:tcPr>
          <w:p w14:paraId="473C92CB" w14:textId="46F31D63" w:rsidR="002B0A06" w:rsidRPr="009D0A4A" w:rsidRDefault="002B0A06" w:rsidP="002B0A06">
            <w:pPr>
              <w:spacing w:after="160" w:line="259" w:lineRule="auto"/>
            </w:pPr>
            <w:r w:rsidRPr="009D0A4A">
              <w:t>365</w:t>
            </w:r>
          </w:p>
        </w:tc>
        <w:tc>
          <w:tcPr>
            <w:tcW w:w="970" w:type="pct"/>
          </w:tcPr>
          <w:p w14:paraId="36D2959C" w14:textId="3D61E6A9" w:rsidR="002B0A06" w:rsidRPr="009D0A4A" w:rsidRDefault="002B0A06" w:rsidP="002B0A06">
            <w:pPr>
              <w:spacing w:after="160" w:line="259" w:lineRule="auto"/>
            </w:pPr>
            <w:r w:rsidRPr="009D0A4A">
              <w:t>24</w:t>
            </w:r>
          </w:p>
        </w:tc>
      </w:tr>
    </w:tbl>
    <w:p w14:paraId="299EAF65" w14:textId="00C8490E" w:rsidR="00AF0266" w:rsidRPr="009D0A4A" w:rsidRDefault="008C5384" w:rsidP="00F41798">
      <w:pPr>
        <w:pStyle w:val="Heading4"/>
        <w:jc w:val="both"/>
      </w:pPr>
      <w:bookmarkStart w:id="559" w:name="_Toc92873044"/>
      <w:bookmarkStart w:id="560" w:name="_Toc92873124"/>
      <w:r w:rsidRPr="009D0A4A">
        <w:lastRenderedPageBreak/>
        <w:t>Number of cases</w:t>
      </w:r>
      <w:r w:rsidR="004F152B" w:rsidRPr="009D0A4A">
        <w:t xml:space="preserve"> </w:t>
      </w:r>
      <w:r w:rsidR="00AF0266" w:rsidRPr="009D0A4A">
        <w:t xml:space="preserve">of other </w:t>
      </w:r>
      <w:r w:rsidR="00880680" w:rsidRPr="009D0A4A">
        <w:t>silica related</w:t>
      </w:r>
      <w:r w:rsidR="00AF0266" w:rsidRPr="009D0A4A">
        <w:t xml:space="preserve"> diseases</w:t>
      </w:r>
    </w:p>
    <w:p w14:paraId="4BE86214" w14:textId="61ED5F9F" w:rsidR="007B7A05" w:rsidRPr="009D0A4A" w:rsidRDefault="007B7A05" w:rsidP="000F019A">
      <w:pPr>
        <w:pStyle w:val="BodyText"/>
        <w:jc w:val="both"/>
      </w:pPr>
      <w:r w:rsidRPr="009D0A4A">
        <w:t xml:space="preserve">As mentioned in Section 1.2, exposure to </w:t>
      </w:r>
      <w:r w:rsidR="006F1E8E" w:rsidRPr="009D0A4A">
        <w:t>RCS</w:t>
      </w:r>
      <w:r w:rsidRPr="009D0A4A">
        <w:t xml:space="preserve"> can cause </w:t>
      </w:r>
      <w:r w:rsidR="00A20E12" w:rsidRPr="009D0A4A">
        <w:t xml:space="preserve">other diseases, including </w:t>
      </w:r>
      <w:r w:rsidRPr="009D0A4A">
        <w:t>chronic kidney disease, autoimmune disorders and lung cancer.</w:t>
      </w:r>
      <w:r w:rsidR="004F152B" w:rsidRPr="009D0A4A">
        <w:t xml:space="preserve"> </w:t>
      </w:r>
      <w:r w:rsidR="00DA59DB" w:rsidRPr="009D0A4A">
        <w:t>T</w:t>
      </w:r>
      <w:r w:rsidR="00BD001E" w:rsidRPr="009D0A4A">
        <w:t xml:space="preserve">he Cancer Council of Australia has estimated that </w:t>
      </w:r>
      <w:r w:rsidR="00101D7A" w:rsidRPr="009D0A4A">
        <w:t>over 5</w:t>
      </w:r>
      <w:r w:rsidR="000B0FD4" w:rsidRPr="009D0A4A">
        <w:t>,</w:t>
      </w:r>
      <w:r w:rsidR="00101D7A" w:rsidRPr="009D0A4A">
        <w:t xml:space="preserve">700 </w:t>
      </w:r>
      <w:r w:rsidR="00DA59DB" w:rsidRPr="009D0A4A">
        <w:t xml:space="preserve">of the </w:t>
      </w:r>
      <w:r w:rsidR="00082A64" w:rsidRPr="009D0A4A">
        <w:t>587,000</w:t>
      </w:r>
      <w:r w:rsidR="00DA59DB" w:rsidRPr="009D0A4A">
        <w:t xml:space="preserve"> Australian workers exposed to RCS in 2011 would develop </w:t>
      </w:r>
      <w:r w:rsidR="00B61508" w:rsidRPr="009D0A4A">
        <w:t xml:space="preserve">lung </w:t>
      </w:r>
      <w:r w:rsidR="00DA59DB" w:rsidRPr="009D0A4A">
        <w:t>cancer</w:t>
      </w:r>
      <w:r w:rsidR="00A37612" w:rsidRPr="009D0A4A">
        <w:rPr>
          <w:rStyle w:val="FootnoteReference"/>
        </w:rPr>
        <w:t xml:space="preserve"> </w:t>
      </w:r>
      <w:r w:rsidR="00A37612" w:rsidRPr="009D0A4A">
        <w:fldChar w:fldCharType="begin"/>
      </w:r>
      <w:r w:rsidR="004067E3">
        <w:instrText xml:space="preserve"> ADDIN ZOTERO_ITEM CSL_CITATION {"citationID":"wuYihoBc","properties":{"formattedCitation":"(Cancer Council 2021)","plainCitation":"(Cancer Council 2021)","noteIndex":0},"citationItems":[{"id":873,"uris":["http://zotero.org/users/6230888/items/BDYMRVYF"],"itemData":{"id":873,"type":"report","page":"3","title":"Occupational Cancer Risk Series Silica Dust","URL":"https://www.cancer.org.au/assets/pdf/occupational-cancer-risk-series-silica-dust","author":[{"family":"Cancer Council","given":""}],"accessed":{"date-parts":[["2022",6,30]]},"issued":{"date-parts":[["2021"]]}}}],"schema":"https://github.com/citation-style-language/schema/raw/master/csl-citation.json"} </w:instrText>
      </w:r>
      <w:r w:rsidR="00A37612" w:rsidRPr="009D0A4A">
        <w:fldChar w:fldCharType="separate"/>
      </w:r>
      <w:r w:rsidR="006B4A7D" w:rsidRPr="009D0A4A">
        <w:rPr>
          <w:rFonts w:ascii="Calibri" w:hAnsi="Calibri" w:cs="Calibri"/>
        </w:rPr>
        <w:t>(Cancer Council 2021)</w:t>
      </w:r>
      <w:r w:rsidR="00A37612" w:rsidRPr="009D0A4A">
        <w:fldChar w:fldCharType="end"/>
      </w:r>
      <w:r w:rsidR="00271C9C" w:rsidRPr="009D0A4A">
        <w:t xml:space="preserve">. However, </w:t>
      </w:r>
      <w:r w:rsidR="00DD04E7" w:rsidRPr="009D0A4A">
        <w:t>Safe Work Australia is</w:t>
      </w:r>
      <w:r w:rsidR="00DA59DB" w:rsidRPr="009D0A4A">
        <w:t xml:space="preserve"> n</w:t>
      </w:r>
      <w:r w:rsidR="00082A64" w:rsidRPr="009D0A4A">
        <w:t xml:space="preserve">ot aware of </w:t>
      </w:r>
      <w:r w:rsidR="00DD04E7" w:rsidRPr="009D0A4A">
        <w:t xml:space="preserve">other estimates of the </w:t>
      </w:r>
      <w:r w:rsidR="000B0FD4" w:rsidRPr="009D0A4A">
        <w:t xml:space="preserve">number of cases of the </w:t>
      </w:r>
      <w:r w:rsidR="00DC481B" w:rsidRPr="009D0A4A">
        <w:t xml:space="preserve">other </w:t>
      </w:r>
      <w:r w:rsidR="000B0FD4" w:rsidRPr="009D0A4A">
        <w:t xml:space="preserve">silica related </w:t>
      </w:r>
      <w:r w:rsidR="00294ADA" w:rsidRPr="009D0A4A">
        <w:t>diseases</w:t>
      </w:r>
      <w:r w:rsidR="0008697A" w:rsidRPr="009D0A4A">
        <w:t xml:space="preserve"> </w:t>
      </w:r>
      <w:r w:rsidR="007B1584" w:rsidRPr="009D0A4A">
        <w:t xml:space="preserve">that could be </w:t>
      </w:r>
      <w:r w:rsidR="0008697A" w:rsidRPr="009D0A4A">
        <w:t>attributed to exposure to RCS</w:t>
      </w:r>
      <w:r w:rsidR="00294ADA" w:rsidRPr="009D0A4A">
        <w:t xml:space="preserve">. </w:t>
      </w:r>
      <w:r w:rsidR="007B1584" w:rsidRPr="009D0A4A">
        <w:t xml:space="preserve">These numbers </w:t>
      </w:r>
      <w:r w:rsidR="00294ADA" w:rsidRPr="009D0A4A">
        <w:t>cannot be estimated directly</w:t>
      </w:r>
      <w:r w:rsidR="004F152B" w:rsidRPr="009D0A4A">
        <w:t xml:space="preserve"> from existing </w:t>
      </w:r>
      <w:r w:rsidR="00681F6D" w:rsidRPr="009D0A4A">
        <w:t xml:space="preserve">workers’ compensation claims </w:t>
      </w:r>
      <w:r w:rsidR="004F152B" w:rsidRPr="009D0A4A">
        <w:t xml:space="preserve">data, as these conditions </w:t>
      </w:r>
      <w:r w:rsidR="007752C5" w:rsidRPr="009D0A4A">
        <w:t xml:space="preserve">can </w:t>
      </w:r>
      <w:r w:rsidR="00E6190B" w:rsidRPr="009D0A4A">
        <w:t xml:space="preserve">also </w:t>
      </w:r>
      <w:r w:rsidR="007752C5" w:rsidRPr="009D0A4A">
        <w:t xml:space="preserve">have long latency periods and </w:t>
      </w:r>
      <w:r w:rsidR="004F152B" w:rsidRPr="009D0A4A">
        <w:t xml:space="preserve">may have </w:t>
      </w:r>
      <w:r w:rsidR="00A900FC" w:rsidRPr="009D0A4A">
        <w:t>other</w:t>
      </w:r>
      <w:r w:rsidR="004F152B" w:rsidRPr="009D0A4A">
        <w:t xml:space="preserve"> causes</w:t>
      </w:r>
      <w:r w:rsidR="00681F6D" w:rsidRPr="009D0A4A">
        <w:t>.</w:t>
      </w:r>
      <w:r w:rsidR="004F152B" w:rsidRPr="009D0A4A">
        <w:t xml:space="preserve"> </w:t>
      </w:r>
      <w:r w:rsidR="008D4F75" w:rsidRPr="009D0A4A">
        <w:t xml:space="preserve">It is important to note that many </w:t>
      </w:r>
      <w:r w:rsidR="00A900FC" w:rsidRPr="009D0A4A">
        <w:t>people suffering from these conditions caused by RCS exposure will also have silicosis</w:t>
      </w:r>
      <w:r w:rsidR="00A37612" w:rsidRPr="009D0A4A">
        <w:t xml:space="preserve"> </w:t>
      </w:r>
      <w:r w:rsidR="00A37612" w:rsidRPr="009D0A4A">
        <w:fldChar w:fldCharType="begin"/>
      </w:r>
      <w:r w:rsidR="004067E3">
        <w:instrText xml:space="preserve"> ADDIN ZOTERO_ITEM CSL_CITATION {"citationID":"4a2YW05v","properties":{"formattedCitation":"(Alif et al. 2020)","plainCitation":"(Alif et al. 2020)","noteIndex":0},"citationItems":[{"id":874,"uris":["http://zotero.org/users/6230888/items/ZJC45EMY"],"itemData":{"id":874,"type":"report","page":"83","title":"Occupational lung diseases in Australia 2006 – 2019","URL":"https://www.safeworkaustralia.gov.au/doc/occupational-lung-diseases-australia-2006-2019","author":[{"family":"Alif","given":"SM"},{"family":"Glass","given":"DC"},{"family":"Abramson","given":"M"},{"family":"Hoy","given":"R"},{"family":"Sim","given":"MR"}],"accessed":{"date-parts":[["2022",6,30]]},"issued":{"date-parts":[["2020"]]}}}],"schema":"https://github.com/citation-style-language/schema/raw/master/csl-citation.json"} </w:instrText>
      </w:r>
      <w:r w:rsidR="00A37612" w:rsidRPr="009D0A4A">
        <w:fldChar w:fldCharType="separate"/>
      </w:r>
      <w:r w:rsidR="006B4A7D" w:rsidRPr="009D0A4A">
        <w:rPr>
          <w:rFonts w:ascii="Calibri" w:hAnsi="Calibri" w:cs="Calibri"/>
        </w:rPr>
        <w:t>(Alif et al. 2020)</w:t>
      </w:r>
      <w:r w:rsidR="00A37612" w:rsidRPr="009D0A4A">
        <w:fldChar w:fldCharType="end"/>
      </w:r>
      <w:r w:rsidR="00A900FC" w:rsidRPr="009D0A4A">
        <w:t xml:space="preserve">. </w:t>
      </w:r>
    </w:p>
    <w:p w14:paraId="5E405D77" w14:textId="7E930530" w:rsidR="00AB23BE" w:rsidRPr="009D0A4A" w:rsidRDefault="00235F21" w:rsidP="003801F8">
      <w:pPr>
        <w:pStyle w:val="Heading2"/>
      </w:pPr>
      <w:bookmarkStart w:id="561" w:name="_Toc100240621"/>
      <w:bookmarkStart w:id="562" w:name="_Toc100240690"/>
      <w:bookmarkStart w:id="563" w:name="_Toc100323758"/>
      <w:bookmarkStart w:id="564" w:name="_Ref102137377"/>
      <w:bookmarkStart w:id="565" w:name="_Toc107395309"/>
      <w:bookmarkEnd w:id="559"/>
      <w:bookmarkEnd w:id="560"/>
      <w:bookmarkEnd w:id="561"/>
      <w:bookmarkEnd w:id="562"/>
      <w:bookmarkEnd w:id="563"/>
      <w:r w:rsidRPr="009D0A4A">
        <w:t xml:space="preserve">Understanding of </w:t>
      </w:r>
      <w:r w:rsidR="00880680" w:rsidRPr="009D0A4A">
        <w:t>silica related</w:t>
      </w:r>
      <w:r w:rsidR="00692118" w:rsidRPr="009D0A4A">
        <w:t xml:space="preserve"> </w:t>
      </w:r>
      <w:r w:rsidRPr="009D0A4A">
        <w:t>risks and current regulatory requirements</w:t>
      </w:r>
      <w:bookmarkEnd w:id="564"/>
      <w:bookmarkEnd w:id="565"/>
    </w:p>
    <w:p w14:paraId="7B47FA52" w14:textId="216D70CC" w:rsidR="005E1D74" w:rsidRPr="009D0A4A" w:rsidRDefault="002D3EA6" w:rsidP="0087517E">
      <w:pPr>
        <w:pStyle w:val="BodyText"/>
        <w:jc w:val="both"/>
      </w:pPr>
      <w:r w:rsidRPr="009D0A4A">
        <w:t xml:space="preserve">In the preliminary consultation for this CRIS, </w:t>
      </w:r>
      <w:r w:rsidR="00342779" w:rsidRPr="009D0A4A">
        <w:t xml:space="preserve">stakeholders </w:t>
      </w:r>
      <w:r w:rsidR="0087517E" w:rsidRPr="009D0A4A">
        <w:t xml:space="preserve">identified that </w:t>
      </w:r>
      <w:r w:rsidR="00396A5D" w:rsidRPr="009D0A4A">
        <w:t>a l</w:t>
      </w:r>
      <w:r w:rsidR="002E45C1" w:rsidRPr="009D0A4A">
        <w:t xml:space="preserve">ack of awareness of </w:t>
      </w:r>
      <w:r w:rsidR="0087517E" w:rsidRPr="009D0A4A">
        <w:t xml:space="preserve">the </w:t>
      </w:r>
      <w:r w:rsidR="002E45C1" w:rsidRPr="009D0A4A">
        <w:t>risks</w:t>
      </w:r>
      <w:r w:rsidR="0087517E" w:rsidRPr="009D0A4A">
        <w:t xml:space="preserve"> associated with RCS</w:t>
      </w:r>
      <w:r w:rsidR="003F3970" w:rsidRPr="009D0A4A">
        <w:t xml:space="preserve"> and</w:t>
      </w:r>
      <w:r w:rsidR="0087517E" w:rsidRPr="009D0A4A">
        <w:t xml:space="preserve"> </w:t>
      </w:r>
      <w:r w:rsidR="00396A5D" w:rsidRPr="009D0A4A">
        <w:t xml:space="preserve">a lack </w:t>
      </w:r>
      <w:r w:rsidR="005E1D74" w:rsidRPr="009D0A4A">
        <w:t xml:space="preserve">of clarity </w:t>
      </w:r>
      <w:r w:rsidR="00396A5D" w:rsidRPr="009D0A4A">
        <w:t>on how to comply with the model WHS laws</w:t>
      </w:r>
      <w:r w:rsidR="0087517E" w:rsidRPr="009D0A4A">
        <w:t xml:space="preserve"> contribute to the </w:t>
      </w:r>
      <w:r w:rsidR="00397CB8" w:rsidRPr="009D0A4A">
        <w:t>number of cases</w:t>
      </w:r>
      <w:r w:rsidR="0087517E" w:rsidRPr="009D0A4A">
        <w:t xml:space="preserve"> of silicosis and </w:t>
      </w:r>
      <w:r w:rsidR="00880680" w:rsidRPr="009D0A4A">
        <w:t>silica related</w:t>
      </w:r>
      <w:r w:rsidR="0087517E" w:rsidRPr="009D0A4A">
        <w:t xml:space="preserve"> diseases. </w:t>
      </w:r>
    </w:p>
    <w:p w14:paraId="3650F246" w14:textId="40ABEF95" w:rsidR="00AC23BD" w:rsidRPr="009D0A4A" w:rsidRDefault="0087797E" w:rsidP="00613239">
      <w:pPr>
        <w:pStyle w:val="BodyText"/>
        <w:jc w:val="both"/>
      </w:pPr>
      <w:r w:rsidRPr="009D0A4A">
        <w:t xml:space="preserve">These issues </w:t>
      </w:r>
      <w:r w:rsidR="00AC23BD" w:rsidRPr="009D0A4A">
        <w:t>may</w:t>
      </w:r>
      <w:r w:rsidR="00B07E50" w:rsidRPr="009D0A4A">
        <w:t xml:space="preserve"> be exacerbated by the structure of </w:t>
      </w:r>
      <w:r w:rsidR="006411BA" w:rsidRPr="009D0A4A">
        <w:t xml:space="preserve">some </w:t>
      </w:r>
      <w:r w:rsidR="00B07E50" w:rsidRPr="009D0A4A">
        <w:t xml:space="preserve">industries, particularly the engineered stone </w:t>
      </w:r>
      <w:r w:rsidR="006411BA" w:rsidRPr="009D0A4A">
        <w:t>sector</w:t>
      </w:r>
      <w:r w:rsidR="008D1FE8" w:rsidRPr="009D0A4A">
        <w:t>,</w:t>
      </w:r>
      <w:r w:rsidR="00B07E50" w:rsidRPr="009D0A4A">
        <w:t xml:space="preserve"> which is characterised by small</w:t>
      </w:r>
      <w:r w:rsidR="00045390" w:rsidRPr="009D0A4A">
        <w:t>-</w:t>
      </w:r>
      <w:r w:rsidR="00B07E50" w:rsidRPr="009D0A4A">
        <w:t xml:space="preserve"> and micro</w:t>
      </w:r>
      <w:r w:rsidR="00045390" w:rsidRPr="009D0A4A">
        <w:t>-</w:t>
      </w:r>
      <w:r w:rsidR="00B07E50" w:rsidRPr="009D0A4A">
        <w:t>businesses</w:t>
      </w:r>
      <w:r w:rsidR="00EC5B0D" w:rsidRPr="009D0A4A">
        <w:t xml:space="preserve"> </w:t>
      </w:r>
      <w:r w:rsidR="00067B4C" w:rsidRPr="009D0A4A">
        <w:t xml:space="preserve">and </w:t>
      </w:r>
      <w:r w:rsidR="00912553" w:rsidRPr="009D0A4A">
        <w:t>a portion of the workforce is</w:t>
      </w:r>
      <w:r w:rsidR="00EC5B0D" w:rsidRPr="009D0A4A">
        <w:t xml:space="preserve"> </w:t>
      </w:r>
      <w:r w:rsidR="004C6CF3" w:rsidRPr="009D0A4A">
        <w:t xml:space="preserve">made up of </w:t>
      </w:r>
      <w:r w:rsidR="00EC5B0D" w:rsidRPr="009D0A4A">
        <w:t>culturally and linguistically diverse workers</w:t>
      </w:r>
      <w:r w:rsidR="00B07E50" w:rsidRPr="009D0A4A">
        <w:t xml:space="preserve">. </w:t>
      </w:r>
      <w:r w:rsidR="002E45C1" w:rsidRPr="009D0A4A">
        <w:t>M</w:t>
      </w:r>
      <w:r w:rsidR="00A3454C" w:rsidRPr="009D0A4A">
        <w:t xml:space="preserve">arket research commissioned by the </w:t>
      </w:r>
      <w:r w:rsidR="00A20E12" w:rsidRPr="009D0A4A">
        <w:t xml:space="preserve">Australian Government </w:t>
      </w:r>
      <w:r w:rsidR="00A3454C" w:rsidRPr="009D0A4A">
        <w:t>Department of Health</w:t>
      </w:r>
      <w:r w:rsidR="007752C5" w:rsidRPr="009D0A4A">
        <w:t xml:space="preserve"> in 2021</w:t>
      </w:r>
      <w:r w:rsidR="00A3454C" w:rsidRPr="009D0A4A">
        <w:t xml:space="preserve"> showed that</w:t>
      </w:r>
      <w:r w:rsidR="004D2F6D" w:rsidRPr="009D0A4A">
        <w:t xml:space="preserve"> </w:t>
      </w:r>
      <w:r w:rsidR="00BF11F4" w:rsidRPr="009D0A4A">
        <w:t>44</w:t>
      </w:r>
      <w:r w:rsidRPr="009D0A4A">
        <w:t xml:space="preserve"> per cent of businesses operating as stonemasons </w:t>
      </w:r>
      <w:r w:rsidR="00BF11F4" w:rsidRPr="009D0A4A">
        <w:t xml:space="preserve">were sole traders and a further </w:t>
      </w:r>
      <w:r w:rsidR="001A7170" w:rsidRPr="009D0A4A">
        <w:t xml:space="preserve">24 per cent </w:t>
      </w:r>
      <w:r w:rsidR="003F3970" w:rsidRPr="009D0A4A">
        <w:t>had</w:t>
      </w:r>
      <w:r w:rsidRPr="009D0A4A">
        <w:t xml:space="preserve"> five employees or less, and </w:t>
      </w:r>
      <w:r w:rsidR="00272749" w:rsidRPr="009D0A4A">
        <w:t>42</w:t>
      </w:r>
      <w:r w:rsidR="008F574C" w:rsidRPr="009D0A4A">
        <w:t xml:space="preserve"> per cent </w:t>
      </w:r>
      <w:r w:rsidRPr="009D0A4A">
        <w:t xml:space="preserve">of </w:t>
      </w:r>
      <w:r w:rsidR="00681F6D" w:rsidRPr="009D0A4A">
        <w:t xml:space="preserve">other </w:t>
      </w:r>
      <w:r w:rsidRPr="009D0A4A">
        <w:t>trades employ</w:t>
      </w:r>
      <w:r w:rsidR="003F3970" w:rsidRPr="009D0A4A">
        <w:t>ed</w:t>
      </w:r>
      <w:r w:rsidRPr="009D0A4A">
        <w:t xml:space="preserve"> 20 employees or less</w:t>
      </w:r>
      <w:r w:rsidR="00237A1C" w:rsidRPr="009D0A4A">
        <w:t xml:space="preserve"> </w:t>
      </w:r>
      <w:r w:rsidR="00237A1C" w:rsidRPr="009D0A4A">
        <w:fldChar w:fldCharType="begin"/>
      </w:r>
      <w:r w:rsidR="004067E3">
        <w:instrText xml:space="preserve"> ADDIN ZOTERO_ITEM CSL_CITATION {"citationID":"bGW37YRJ","properties":{"formattedCitation":"(Quantum Market Research 2021)","plainCitation":"(Quantum Market Research 2021)","noteIndex":0},"citationItems":[{"id":877,"uris":["http://zotero.org/users/6230888/items/DFNH6KWI"],"itemData":{"id":877,"type":"article-journal","language":"en","page":"92","source":"Zotero","title":"Dust Disease Research Update","author":[{"literal":"Quantum Market Research"}],"issued":{"date-parts":[["2021"]]}}}],"schema":"https://github.com/citation-style-language/schema/raw/master/csl-citation.json"} </w:instrText>
      </w:r>
      <w:r w:rsidR="00237A1C" w:rsidRPr="009D0A4A">
        <w:fldChar w:fldCharType="separate"/>
      </w:r>
      <w:r w:rsidR="006B4A7D" w:rsidRPr="009D0A4A">
        <w:rPr>
          <w:rFonts w:ascii="Calibri" w:hAnsi="Calibri" w:cs="Calibri"/>
        </w:rPr>
        <w:t>(Quantum Market Research 2021)</w:t>
      </w:r>
      <w:r w:rsidR="00237A1C" w:rsidRPr="009D0A4A">
        <w:fldChar w:fldCharType="end"/>
      </w:r>
      <w:r w:rsidRPr="009D0A4A">
        <w:t>.</w:t>
      </w:r>
      <w:r w:rsidR="00801996" w:rsidRPr="009D0A4A">
        <w:t xml:space="preserve"> </w:t>
      </w:r>
    </w:p>
    <w:p w14:paraId="0D4259E4" w14:textId="2F2C0219" w:rsidR="00302AB7" w:rsidRPr="009D0A4A" w:rsidRDefault="00A900FC" w:rsidP="000F019A">
      <w:pPr>
        <w:pStyle w:val="Heading3"/>
        <w:jc w:val="both"/>
      </w:pPr>
      <w:bookmarkStart w:id="566" w:name="_Toc92873045"/>
      <w:r w:rsidRPr="009D0A4A">
        <w:t>Lack of a</w:t>
      </w:r>
      <w:r w:rsidR="002E45C1" w:rsidRPr="009D0A4A">
        <w:t xml:space="preserve">wareness of </w:t>
      </w:r>
      <w:r w:rsidR="00880680" w:rsidRPr="009D0A4A">
        <w:t>silica related</w:t>
      </w:r>
      <w:r w:rsidR="002E45C1" w:rsidRPr="009D0A4A">
        <w:t xml:space="preserve"> risks</w:t>
      </w:r>
    </w:p>
    <w:p w14:paraId="72C6FA07" w14:textId="177BD1F2" w:rsidR="00A900FC" w:rsidRPr="009D0A4A" w:rsidRDefault="0087517E" w:rsidP="00FA48E5">
      <w:pPr>
        <w:pStyle w:val="BodyText"/>
        <w:jc w:val="both"/>
      </w:pPr>
      <w:r w:rsidRPr="009D0A4A">
        <w:t xml:space="preserve">Despite several awareness campaigns being undertaken since 2018 at the national and state and territory levels, awareness of </w:t>
      </w:r>
      <w:r w:rsidR="00880680" w:rsidRPr="009D0A4A">
        <w:t>silica related</w:t>
      </w:r>
      <w:r w:rsidRPr="009D0A4A">
        <w:t xml:space="preserve"> risks remains sub-optimal. </w:t>
      </w:r>
      <w:r w:rsidR="003F3970" w:rsidRPr="009D0A4A">
        <w:t>M</w:t>
      </w:r>
      <w:r w:rsidR="007752C5" w:rsidRPr="009D0A4A">
        <w:t xml:space="preserve">arket research </w:t>
      </w:r>
      <w:r w:rsidR="003F3970" w:rsidRPr="009D0A4A">
        <w:t>in 2021</w:t>
      </w:r>
      <w:r w:rsidR="002E45C1" w:rsidRPr="009D0A4A">
        <w:t xml:space="preserve"> revealed that 94 per cent of stonemasons and 73 per cent of tradespeople interviewed had heard of silica dust</w:t>
      </w:r>
      <w:r w:rsidR="00237A1C" w:rsidRPr="009D0A4A">
        <w:t xml:space="preserve"> </w:t>
      </w:r>
      <w:r w:rsidR="00237A1C" w:rsidRPr="009D0A4A">
        <w:fldChar w:fldCharType="begin"/>
      </w:r>
      <w:r w:rsidR="004067E3">
        <w:instrText xml:space="preserve"> ADDIN ZOTERO_ITEM CSL_CITATION {"citationID":"1W4RxRxe","properties":{"formattedCitation":"(Quantum Market Research 2021)","plainCitation":"(Quantum Market Research 2021)","noteIndex":0},"citationItems":[{"id":877,"uris":["http://zotero.org/users/6230888/items/DFNH6KWI"],"itemData":{"id":877,"type":"article-journal","language":"en","page":"92","source":"Zotero","title":"Dust Disease Research Update","author":[{"literal":"Quantum Market Research"}],"issued":{"date-parts":[["2021"]]}}}],"schema":"https://github.com/citation-style-language/schema/raw/master/csl-citation.json"} </w:instrText>
      </w:r>
      <w:r w:rsidR="00237A1C" w:rsidRPr="009D0A4A">
        <w:fldChar w:fldCharType="separate"/>
      </w:r>
      <w:r w:rsidR="006B4A7D" w:rsidRPr="009D0A4A">
        <w:rPr>
          <w:rFonts w:ascii="Calibri" w:hAnsi="Calibri" w:cs="Calibri"/>
        </w:rPr>
        <w:t>(Quantum Market Research 2021)</w:t>
      </w:r>
      <w:r w:rsidR="00237A1C" w:rsidRPr="009D0A4A">
        <w:fldChar w:fldCharType="end"/>
      </w:r>
      <w:r w:rsidR="002E45C1" w:rsidRPr="009D0A4A">
        <w:t>.</w:t>
      </w:r>
      <w:r w:rsidR="007752C5" w:rsidRPr="009D0A4A">
        <w:t xml:space="preserve"> </w:t>
      </w:r>
      <w:r w:rsidR="002E45C1" w:rsidRPr="009D0A4A">
        <w:t xml:space="preserve">Stonemasons </w:t>
      </w:r>
      <w:r w:rsidR="003F3970" w:rsidRPr="009D0A4A">
        <w:t xml:space="preserve">reported that they </w:t>
      </w:r>
      <w:r w:rsidR="002E45C1" w:rsidRPr="009D0A4A">
        <w:t>were very familiar with the risks of silica dust (73 per cent)</w:t>
      </w:r>
      <w:r w:rsidR="007F561C" w:rsidRPr="009D0A4A">
        <w:t>, with</w:t>
      </w:r>
      <w:r w:rsidR="002E45C1" w:rsidRPr="009D0A4A">
        <w:t xml:space="preserve"> 94 per cent </w:t>
      </w:r>
      <w:r w:rsidR="007F561C" w:rsidRPr="009D0A4A">
        <w:t xml:space="preserve">agreeing </w:t>
      </w:r>
      <w:r w:rsidR="002E45C1" w:rsidRPr="009D0A4A">
        <w:t>that exposure to silica dust should be avoided. However, only 24 per cent of other tradespeople employed in construction industry interviewed agreed they were ‘very familiar’ with the risks of silica dust and 76 per cent agreed that exposure to silica dust should be avoided</w:t>
      </w:r>
      <w:r w:rsidR="00237A1C" w:rsidRPr="009D0A4A">
        <w:t xml:space="preserve"> </w:t>
      </w:r>
      <w:r w:rsidR="00237A1C" w:rsidRPr="009D0A4A">
        <w:fldChar w:fldCharType="begin"/>
      </w:r>
      <w:r w:rsidR="004067E3">
        <w:instrText xml:space="preserve"> ADDIN ZOTERO_ITEM CSL_CITATION {"citationID":"t7zi12Ua","properties":{"formattedCitation":"(Quantum Market Research 2021)","plainCitation":"(Quantum Market Research 2021)","noteIndex":0},"citationItems":[{"id":877,"uris":["http://zotero.org/users/6230888/items/DFNH6KWI"],"itemData":{"id":877,"type":"article-journal","language":"en","page":"92","source":"Zotero","title":"Dust Disease Research Update","author":[{"literal":"Quantum Market Research"}],"issued":{"date-parts":[["2021"]]}}}],"schema":"https://github.com/citation-style-language/schema/raw/master/csl-citation.json"} </w:instrText>
      </w:r>
      <w:r w:rsidR="00237A1C" w:rsidRPr="009D0A4A">
        <w:fldChar w:fldCharType="separate"/>
      </w:r>
      <w:r w:rsidR="006B4A7D" w:rsidRPr="009D0A4A">
        <w:rPr>
          <w:rFonts w:ascii="Calibri" w:hAnsi="Calibri" w:cs="Calibri"/>
        </w:rPr>
        <w:t>(Quantum Market Research 2021)</w:t>
      </w:r>
      <w:r w:rsidR="00237A1C" w:rsidRPr="009D0A4A">
        <w:fldChar w:fldCharType="end"/>
      </w:r>
      <w:r w:rsidR="002E45C1" w:rsidRPr="009D0A4A">
        <w:t>.</w:t>
      </w:r>
    </w:p>
    <w:p w14:paraId="2400E046" w14:textId="77777777" w:rsidR="00237A1C" w:rsidRPr="009D0A4A" w:rsidRDefault="002E45C1" w:rsidP="00237A1C">
      <w:pPr>
        <w:pStyle w:val="BodyText"/>
        <w:jc w:val="both"/>
      </w:pPr>
      <w:r w:rsidRPr="009D0A4A">
        <w:t xml:space="preserve">It is likely that </w:t>
      </w:r>
      <w:r w:rsidR="00A900FC" w:rsidRPr="009D0A4A">
        <w:t>th</w:t>
      </w:r>
      <w:r w:rsidR="00457681" w:rsidRPr="009D0A4A">
        <w:t>e</w:t>
      </w:r>
      <w:r w:rsidR="00A900FC" w:rsidRPr="009D0A4A">
        <w:t xml:space="preserve"> </w:t>
      </w:r>
      <w:r w:rsidR="00457681" w:rsidRPr="009D0A4A">
        <w:t xml:space="preserve">different levels of awareness </w:t>
      </w:r>
      <w:r w:rsidRPr="009D0A4A">
        <w:t xml:space="preserve">reflect the awareness campaigns </w:t>
      </w:r>
      <w:r w:rsidR="007752C5" w:rsidRPr="009D0A4A">
        <w:t>and media attention that occurred</w:t>
      </w:r>
      <w:r w:rsidRPr="009D0A4A">
        <w:t xml:space="preserve"> </w:t>
      </w:r>
      <w:r w:rsidR="007752C5" w:rsidRPr="009D0A4A">
        <w:t xml:space="preserve">in </w:t>
      </w:r>
      <w:r w:rsidRPr="009D0A4A">
        <w:t>response to the emergence of silicosis in the engineered stone sector</w:t>
      </w:r>
      <w:r w:rsidR="007752C5" w:rsidRPr="009D0A4A">
        <w:t>. T</w:t>
      </w:r>
      <w:r w:rsidRPr="009D0A4A">
        <w:t xml:space="preserve">he lower level of awareness of the risks of silica amongst tradespeople </w:t>
      </w:r>
      <w:r w:rsidR="007752C5" w:rsidRPr="009D0A4A">
        <w:t>outside of the engineered stone sector may reflect</w:t>
      </w:r>
      <w:r w:rsidRPr="009D0A4A">
        <w:t xml:space="preserve"> </w:t>
      </w:r>
      <w:r w:rsidR="0008774E" w:rsidRPr="009D0A4A">
        <w:t>a lack of awareness activities</w:t>
      </w:r>
      <w:r w:rsidRPr="009D0A4A">
        <w:t xml:space="preserve"> in other industries, including manufacturing, demolition, quarrying and mining. </w:t>
      </w:r>
    </w:p>
    <w:p w14:paraId="6BDCECBF" w14:textId="7D64EDB9" w:rsidR="00ED7D88" w:rsidRPr="009D0A4A" w:rsidRDefault="00ED7D88" w:rsidP="00237A1C">
      <w:pPr>
        <w:pStyle w:val="Heading3"/>
        <w:jc w:val="both"/>
      </w:pPr>
      <w:r w:rsidRPr="009D0A4A">
        <w:t xml:space="preserve">Lack of clarity </w:t>
      </w:r>
      <w:r w:rsidR="00E44777" w:rsidRPr="009D0A4A">
        <w:t>on how to comply with the model WHS laws</w:t>
      </w:r>
      <w:bookmarkEnd w:id="566"/>
    </w:p>
    <w:p w14:paraId="1433753E" w14:textId="39E94C70" w:rsidR="006E672C" w:rsidRPr="009D0A4A" w:rsidRDefault="006E672C" w:rsidP="00FA48E5">
      <w:pPr>
        <w:pStyle w:val="BodyText"/>
        <w:jc w:val="both"/>
      </w:pPr>
      <w:r w:rsidRPr="009D0A4A">
        <w:t xml:space="preserve">The National Dust Disease Taskforce </w:t>
      </w:r>
      <w:r w:rsidR="00E369C6" w:rsidRPr="009D0A4A">
        <w:t>noted that in their consultations, stakeholders identified issues with the complexity of existing WHS regulations and a lack of clarity around regulatory requirements</w:t>
      </w:r>
      <w:r w:rsidR="000440B9" w:rsidRPr="009D0A4A">
        <w:t xml:space="preserve"> </w:t>
      </w:r>
      <w:r w:rsidR="000440B9" w:rsidRPr="009D0A4A">
        <w:fldChar w:fldCharType="begin"/>
      </w:r>
      <w:r w:rsidR="004067E3">
        <w:instrText xml:space="preserve"> ADDIN ZOTERO_ITEM CSL_CITATION {"citationID":"CNTRDsHr","properties":{"formattedCitation":"(Department of Health 2021)","plainCitation":"(Department of Health 2021)","noteIndex":0},"citationItems":[{"id":806,"uris":["http://zotero.org/users/6230888/items/NWNXT6NL"],"itemData":{"id":806,"type":"article-journal","language":"en","page":"80","source":"Zotero","title":"National Dust Disease Taskforce Final Report to Minister for Health and Aged Care","author":[{"literal":"Department of Health"}],"issued":{"date-parts":[["2021"]]}}}],"schema":"https://github.com/citation-style-language/schema/raw/master/csl-citation.json"} </w:instrText>
      </w:r>
      <w:r w:rsidR="000440B9" w:rsidRPr="009D0A4A">
        <w:fldChar w:fldCharType="separate"/>
      </w:r>
      <w:r w:rsidR="006B4A7D" w:rsidRPr="009D0A4A">
        <w:rPr>
          <w:rFonts w:ascii="Calibri" w:hAnsi="Calibri" w:cs="Calibri"/>
        </w:rPr>
        <w:t>(Department of Health 2021)</w:t>
      </w:r>
      <w:r w:rsidR="000440B9" w:rsidRPr="009D0A4A">
        <w:fldChar w:fldCharType="end"/>
      </w:r>
      <w:r w:rsidR="00E369C6" w:rsidRPr="009D0A4A">
        <w:t xml:space="preserve">. </w:t>
      </w:r>
    </w:p>
    <w:p w14:paraId="13F25AED" w14:textId="61E930B1" w:rsidR="00396A5D" w:rsidRPr="009D0A4A" w:rsidRDefault="00E369C6" w:rsidP="00FA48E5">
      <w:pPr>
        <w:pStyle w:val="BodyText"/>
        <w:jc w:val="both"/>
      </w:pPr>
      <w:r w:rsidRPr="009D0A4A">
        <w:t>In preliminary consultations undertaken for this CRIS,</w:t>
      </w:r>
      <w:r w:rsidR="003F3970" w:rsidRPr="009D0A4A">
        <w:t xml:space="preserve"> some</w:t>
      </w:r>
      <w:r w:rsidRPr="009D0A4A">
        <w:t xml:space="preserve"> s</w:t>
      </w:r>
      <w:r w:rsidR="00AC13A4" w:rsidRPr="009D0A4A">
        <w:t xml:space="preserve">takeholders </w:t>
      </w:r>
      <w:r w:rsidR="003F3970" w:rsidRPr="009D0A4A">
        <w:t xml:space="preserve">said </w:t>
      </w:r>
      <w:r w:rsidRPr="009D0A4A">
        <w:t xml:space="preserve">that the </w:t>
      </w:r>
      <w:r w:rsidR="003F3970" w:rsidRPr="009D0A4A">
        <w:t>requirements of the model WHS laws are</w:t>
      </w:r>
      <w:r w:rsidR="0082083F" w:rsidRPr="009D0A4A">
        <w:t xml:space="preserve"> </w:t>
      </w:r>
      <w:r w:rsidR="000D5E20" w:rsidRPr="009D0A4A">
        <w:t>difficult to understand</w:t>
      </w:r>
      <w:r w:rsidR="00B71C00" w:rsidRPr="009D0A4A">
        <w:t xml:space="preserve"> for those without regulatory expertise</w:t>
      </w:r>
      <w:r w:rsidRPr="009D0A4A">
        <w:t>, particularly for</w:t>
      </w:r>
      <w:r w:rsidR="00253F02" w:rsidRPr="009D0A4A">
        <w:t xml:space="preserve"> workers and </w:t>
      </w:r>
      <w:r w:rsidRPr="009D0A4A">
        <w:t xml:space="preserve">PCBUs around </w:t>
      </w:r>
      <w:r w:rsidR="00BB4B32" w:rsidRPr="009D0A4A">
        <w:t xml:space="preserve">the </w:t>
      </w:r>
      <w:r w:rsidR="00B61508" w:rsidRPr="009D0A4A">
        <w:t xml:space="preserve">requirements </w:t>
      </w:r>
      <w:r w:rsidR="00A5276E" w:rsidRPr="009D0A4A">
        <w:t xml:space="preserve">regarding </w:t>
      </w:r>
      <w:r w:rsidR="00B61508" w:rsidRPr="009D0A4A">
        <w:t xml:space="preserve">the </w:t>
      </w:r>
      <w:r w:rsidR="000D5E20" w:rsidRPr="009D0A4A">
        <w:t>WES</w:t>
      </w:r>
      <w:r w:rsidR="00BB4B32" w:rsidRPr="009D0A4A">
        <w:t xml:space="preserve">, appropriate </w:t>
      </w:r>
      <w:r w:rsidR="00A5276E" w:rsidRPr="009D0A4A">
        <w:t xml:space="preserve">risk </w:t>
      </w:r>
      <w:r w:rsidR="00BB4B32" w:rsidRPr="009D0A4A">
        <w:t>controls,</w:t>
      </w:r>
      <w:r w:rsidRPr="009D0A4A">
        <w:t xml:space="preserve"> air monitoring and health monitoring</w:t>
      </w:r>
      <w:r w:rsidR="00253F02" w:rsidRPr="009D0A4A">
        <w:t>.</w:t>
      </w:r>
      <w:r w:rsidR="00A058B0" w:rsidRPr="009D0A4A">
        <w:t xml:space="preserve"> </w:t>
      </w:r>
      <w:r w:rsidR="00B61508" w:rsidRPr="009D0A4A">
        <w:t>Although Safe Work Australia and state and territory WHS regulators have published relevant</w:t>
      </w:r>
      <w:r w:rsidRPr="009D0A4A">
        <w:t xml:space="preserve"> Codes of Practice, </w:t>
      </w:r>
      <w:r w:rsidR="006E3906" w:rsidRPr="009D0A4A">
        <w:t>guides,</w:t>
      </w:r>
      <w:r w:rsidRPr="009D0A4A">
        <w:t xml:space="preserve"> and other information, </w:t>
      </w:r>
      <w:r w:rsidR="00CE5F05" w:rsidRPr="009D0A4A">
        <w:t xml:space="preserve">further </w:t>
      </w:r>
      <w:r w:rsidR="00B61508" w:rsidRPr="009D0A4A">
        <w:t xml:space="preserve">work could be undertaken to explain </w:t>
      </w:r>
      <w:r w:rsidRPr="009D0A4A">
        <w:t xml:space="preserve">the requirements of model WHS laws </w:t>
      </w:r>
      <w:r w:rsidR="00B61508" w:rsidRPr="009D0A4A">
        <w:t xml:space="preserve">in accessible formats that are suitable for </w:t>
      </w:r>
      <w:r w:rsidR="00E752D5" w:rsidRPr="009D0A4A">
        <w:t xml:space="preserve">the range of different </w:t>
      </w:r>
      <w:r w:rsidR="00B61508" w:rsidRPr="009D0A4A">
        <w:t>PCBUs, workers and other duty holders</w:t>
      </w:r>
      <w:r w:rsidR="00CE5F05" w:rsidRPr="009D0A4A">
        <w:t xml:space="preserve">. </w:t>
      </w:r>
    </w:p>
    <w:p w14:paraId="2F9F2FF2" w14:textId="2A7FF2DF" w:rsidR="00E96183" w:rsidRPr="009D0A4A" w:rsidRDefault="00BB4B32" w:rsidP="000F019A">
      <w:pPr>
        <w:autoSpaceDE w:val="0"/>
        <w:autoSpaceDN w:val="0"/>
        <w:adjustRightInd w:val="0"/>
        <w:spacing w:after="0" w:line="240" w:lineRule="auto"/>
        <w:jc w:val="both"/>
      </w:pPr>
      <w:r w:rsidRPr="009D0A4A">
        <w:lastRenderedPageBreak/>
        <w:t>In a 20</w:t>
      </w:r>
      <w:r w:rsidR="00E44777" w:rsidRPr="009D0A4A">
        <w:t>21</w:t>
      </w:r>
      <w:r w:rsidRPr="009D0A4A">
        <w:t xml:space="preserve"> submission to the NSW Dust Disease Scheme, </w:t>
      </w:r>
      <w:bookmarkStart w:id="567" w:name="_Toc92873047"/>
      <w:r w:rsidRPr="009D0A4A">
        <w:t>the AIOH noted</w:t>
      </w:r>
      <w:r w:rsidR="00B61508" w:rsidRPr="009D0A4A">
        <w:t xml:space="preserve"> they</w:t>
      </w:r>
      <w:r w:rsidRPr="009D0A4A">
        <w:t xml:space="preserve"> “</w:t>
      </w:r>
      <w:bookmarkEnd w:id="567"/>
      <w:r w:rsidRPr="009D0A4A">
        <w:t>…</w:t>
      </w:r>
      <w:r w:rsidR="00E96183" w:rsidRPr="009D0A4A">
        <w:t>believe that</w:t>
      </w:r>
      <w:r w:rsidRPr="009D0A4A">
        <w:t xml:space="preserve"> </w:t>
      </w:r>
      <w:r w:rsidR="00E96183" w:rsidRPr="009D0A4A">
        <w:t>the sad cases of silicosis and progressive massive fibrosis seen in the engineered stone</w:t>
      </w:r>
      <w:r w:rsidRPr="009D0A4A">
        <w:t xml:space="preserve"> </w:t>
      </w:r>
      <w:r w:rsidR="00E96183" w:rsidRPr="009D0A4A">
        <w:t xml:space="preserve">benchtop industry of recent times would not have occurred if the </w:t>
      </w:r>
      <w:r w:rsidR="00B61508" w:rsidRPr="009D0A4A">
        <w:t xml:space="preserve">[current] </w:t>
      </w:r>
      <w:r w:rsidR="00E96183" w:rsidRPr="009D0A4A">
        <w:t xml:space="preserve">RCS </w:t>
      </w:r>
      <w:r w:rsidRPr="009D0A4A">
        <w:t>[</w:t>
      </w:r>
      <w:r w:rsidR="000D5E20" w:rsidRPr="009D0A4A">
        <w:t>WES</w:t>
      </w:r>
      <w:r w:rsidRPr="009D0A4A">
        <w:t>]</w:t>
      </w:r>
      <w:r w:rsidR="00E96183" w:rsidRPr="009D0A4A">
        <w:t xml:space="preserve"> had been complied with</w:t>
      </w:r>
      <w:r w:rsidRPr="009D0A4A">
        <w:t xml:space="preserve"> </w:t>
      </w:r>
      <w:r w:rsidR="00E96183" w:rsidRPr="009D0A4A">
        <w:t>by employers and enforced by regulators, and workers had been made aware of the health hazard of</w:t>
      </w:r>
      <w:r w:rsidRPr="009D0A4A">
        <w:t xml:space="preserve"> </w:t>
      </w:r>
      <w:r w:rsidR="00E96183" w:rsidRPr="009D0A4A">
        <w:t>RCS over exposure and complied with the relevant control strategies both in the factory manufacturing</w:t>
      </w:r>
      <w:r w:rsidRPr="009D0A4A">
        <w:t xml:space="preserve"> </w:t>
      </w:r>
      <w:r w:rsidR="00E96183" w:rsidRPr="009D0A4A">
        <w:t>process and installation and fitting on customer premises</w:t>
      </w:r>
      <w:r w:rsidR="000440B9" w:rsidRPr="009D0A4A">
        <w:t xml:space="preserve">” </w:t>
      </w:r>
      <w:r w:rsidR="000440B9" w:rsidRPr="009D0A4A">
        <w:fldChar w:fldCharType="begin"/>
      </w:r>
      <w:r w:rsidR="004067E3">
        <w:instrText xml:space="preserve"> ADDIN ZOTERO_ITEM CSL_CITATION {"citationID":"hdTn55ft","properties":{"formattedCitation":"(AIOH 2021)","plainCitation":"(AIOH 2021)","noteIndex":0},"citationItems":[{"id":846,"uris":["http://zotero.org/users/6230888/items/5PX8HGNY"],"itemData":{"id":846,"type":"report","language":"en-AU","page":"14","title":"AIOH Submission to the 2021 NSW Dust Diseases Scheme","URL":"https://www.aioh.org.au/media/2014/06/AIOH_SUB_NSWDustDiseasesReview_2021.pdf","author":[{"literal":"AIOH"}],"accessed":{"date-parts":[["2022",6,30]]},"issued":{"date-parts":[["2021"]]}}}],"schema":"https://github.com/citation-style-language/schema/raw/master/csl-citation.json"} </w:instrText>
      </w:r>
      <w:r w:rsidR="000440B9" w:rsidRPr="009D0A4A">
        <w:fldChar w:fldCharType="separate"/>
      </w:r>
      <w:r w:rsidR="006B4A7D" w:rsidRPr="009D0A4A">
        <w:rPr>
          <w:rFonts w:ascii="Calibri" w:hAnsi="Calibri" w:cs="Calibri"/>
        </w:rPr>
        <w:t>(AIOH 2021)</w:t>
      </w:r>
      <w:r w:rsidR="000440B9" w:rsidRPr="009D0A4A">
        <w:fldChar w:fldCharType="end"/>
      </w:r>
      <w:r w:rsidR="000440B9" w:rsidRPr="009D0A4A">
        <w:t>.</w:t>
      </w:r>
    </w:p>
    <w:p w14:paraId="0AC3730D" w14:textId="4F7891C4" w:rsidR="00BB4B32" w:rsidRPr="009D0A4A" w:rsidRDefault="00BB4B32" w:rsidP="0087517E">
      <w:pPr>
        <w:autoSpaceDE w:val="0"/>
        <w:autoSpaceDN w:val="0"/>
        <w:adjustRightInd w:val="0"/>
        <w:spacing w:after="0" w:line="240" w:lineRule="auto"/>
        <w:jc w:val="both"/>
      </w:pPr>
    </w:p>
    <w:p w14:paraId="447635F0" w14:textId="68F62779" w:rsidR="005C43AA" w:rsidRPr="009D0A4A" w:rsidRDefault="00BB4B32" w:rsidP="00FA48E5">
      <w:pPr>
        <w:pStyle w:val="BodyText"/>
        <w:jc w:val="both"/>
      </w:pPr>
      <w:r w:rsidRPr="009D0A4A">
        <w:t>In preliminary consultations,</w:t>
      </w:r>
      <w:r w:rsidR="003F3970" w:rsidRPr="009D0A4A">
        <w:t xml:space="preserve"> some government and industry </w:t>
      </w:r>
      <w:r w:rsidR="0646965F" w:rsidRPr="009D0A4A">
        <w:t>s</w:t>
      </w:r>
      <w:r w:rsidR="32315995" w:rsidRPr="009D0A4A">
        <w:t>takeholders expressed</w:t>
      </w:r>
      <w:r w:rsidRPr="009D0A4A">
        <w:t xml:space="preserve"> concerns</w:t>
      </w:r>
      <w:r w:rsidR="32315995" w:rsidRPr="009D0A4A">
        <w:t xml:space="preserve"> that</w:t>
      </w:r>
      <w:r w:rsidR="041F52BE" w:rsidRPr="009D0A4A">
        <w:t xml:space="preserve"> campaigns focusing solely on awareness, without an explicit behavioural change element, have limited effectiveness in increasing worker safety</w:t>
      </w:r>
      <w:r w:rsidR="0087517E" w:rsidRPr="009D0A4A">
        <w:t xml:space="preserve"> and that there are gaps in PCBUs</w:t>
      </w:r>
      <w:r w:rsidR="00400610" w:rsidRPr="009D0A4A">
        <w:t>’</w:t>
      </w:r>
      <w:r w:rsidR="0087517E" w:rsidRPr="009D0A4A">
        <w:t xml:space="preserve"> capabilities to undertake risk assessments in some industries</w:t>
      </w:r>
      <w:r w:rsidR="041F52BE" w:rsidRPr="009D0A4A">
        <w:t xml:space="preserve">. </w:t>
      </w:r>
    </w:p>
    <w:p w14:paraId="6D07C033" w14:textId="3D1E0953" w:rsidR="00AB23BE" w:rsidRPr="009D0A4A" w:rsidRDefault="00160DD1" w:rsidP="003801F8">
      <w:pPr>
        <w:pStyle w:val="Heading2"/>
      </w:pPr>
      <w:bookmarkStart w:id="568" w:name="_Toc92873049"/>
      <w:bookmarkStart w:id="569" w:name="_Toc92873125"/>
      <w:bookmarkStart w:id="570" w:name="_Toc107395310"/>
      <w:r w:rsidRPr="009D0A4A">
        <w:t xml:space="preserve">Inadequate </w:t>
      </w:r>
      <w:r w:rsidR="004B7C82" w:rsidRPr="009D0A4A">
        <w:t xml:space="preserve">levels of </w:t>
      </w:r>
      <w:r w:rsidRPr="009D0A4A">
        <w:t>c</w:t>
      </w:r>
      <w:r w:rsidR="00AB23BE" w:rsidRPr="009D0A4A">
        <w:t>ompliance and enforcement</w:t>
      </w:r>
      <w:bookmarkEnd w:id="568"/>
      <w:bookmarkEnd w:id="569"/>
      <w:r w:rsidR="00AB23BE" w:rsidRPr="009D0A4A">
        <w:t xml:space="preserve"> </w:t>
      </w:r>
      <w:r w:rsidR="004B7C82" w:rsidRPr="009D0A4A">
        <w:t>of current regulations</w:t>
      </w:r>
      <w:bookmarkEnd w:id="570"/>
    </w:p>
    <w:p w14:paraId="55042035" w14:textId="5F9BE851" w:rsidR="00D1181A" w:rsidRPr="009D0A4A" w:rsidRDefault="004B7C82" w:rsidP="00FE17BF">
      <w:pPr>
        <w:pStyle w:val="Heading3"/>
      </w:pPr>
      <w:r w:rsidRPr="009D0A4A">
        <w:t>Lack of compliance with current regulatory requirements</w:t>
      </w:r>
    </w:p>
    <w:p w14:paraId="7B1BCA54" w14:textId="37BF28B9" w:rsidR="003F3970" w:rsidRPr="009D0A4A" w:rsidRDefault="003F3970" w:rsidP="00B07C23">
      <w:pPr>
        <w:pStyle w:val="BodyText"/>
        <w:jc w:val="both"/>
      </w:pPr>
      <w:r w:rsidRPr="009D0A4A">
        <w:t xml:space="preserve">State and territory regulators indicated in the preliminary consultations that they have observed a general improvement in compliance in the engineered stone sector </w:t>
      </w:r>
      <w:r w:rsidR="00B61508" w:rsidRPr="009D0A4A">
        <w:t>since 2018</w:t>
      </w:r>
      <w:r w:rsidRPr="009D0A4A">
        <w:t>, which aligns with the greater focus on workplace inspections.</w:t>
      </w:r>
      <w:r w:rsidR="00AA0CCA" w:rsidRPr="009D0A4A">
        <w:t xml:space="preserve"> This is evidenced by the outcomes of </w:t>
      </w:r>
      <w:r w:rsidR="00B07C23" w:rsidRPr="009D0A4A">
        <w:t xml:space="preserve">consecutive </w:t>
      </w:r>
      <w:r w:rsidR="00AA0CCA" w:rsidRPr="009D0A4A">
        <w:t xml:space="preserve">South Australian compliance programs </w:t>
      </w:r>
      <w:r w:rsidR="00271BB9">
        <w:t xml:space="preserve">in </w:t>
      </w:r>
      <w:r w:rsidR="0047326B" w:rsidRPr="009D0A4A">
        <w:t xml:space="preserve">Table </w:t>
      </w:r>
      <w:r w:rsidR="003F5102" w:rsidRPr="009D0A4A">
        <w:t>8</w:t>
      </w:r>
      <w:r w:rsidR="00271BB9">
        <w:t>,</w:t>
      </w:r>
      <w:r w:rsidR="003F5102" w:rsidRPr="009D0A4A">
        <w:t xml:space="preserve"> </w:t>
      </w:r>
      <w:r w:rsidR="00B07C23" w:rsidRPr="009D0A4A">
        <w:t>which demonstrated</w:t>
      </w:r>
      <w:r w:rsidR="00AA0CCA" w:rsidRPr="009D0A4A">
        <w:t xml:space="preserve"> a 42</w:t>
      </w:r>
      <w:r w:rsidR="00D8094B" w:rsidRPr="009D0A4A">
        <w:t xml:space="preserve"> per cent</w:t>
      </w:r>
      <w:r w:rsidR="00AA0CCA" w:rsidRPr="009D0A4A">
        <w:t xml:space="preserve"> reduction in improvement notices</w:t>
      </w:r>
      <w:r w:rsidR="00355725" w:rsidRPr="009D0A4A">
        <w:t xml:space="preserve"> and 12</w:t>
      </w:r>
      <w:r w:rsidR="00D8094B" w:rsidRPr="009D0A4A">
        <w:t xml:space="preserve"> per cent</w:t>
      </w:r>
      <w:r w:rsidR="00355725" w:rsidRPr="009D0A4A">
        <w:t xml:space="preserve"> reduction in prohibition notices</w:t>
      </w:r>
      <w:r w:rsidR="00AA0CCA" w:rsidRPr="009D0A4A">
        <w:t xml:space="preserve"> issued in their 2020-21 </w:t>
      </w:r>
      <w:r w:rsidR="00B07C23" w:rsidRPr="009D0A4A">
        <w:t xml:space="preserve">compliance </w:t>
      </w:r>
      <w:r w:rsidR="00AA0CCA" w:rsidRPr="009D0A4A">
        <w:t>campaign compared to their 2019 campaign</w:t>
      </w:r>
      <w:r w:rsidR="00BA3EB9" w:rsidRPr="009D0A4A">
        <w:t xml:space="preserve"> </w:t>
      </w:r>
      <w:r w:rsidR="00BA3EB9" w:rsidRPr="009D0A4A">
        <w:fldChar w:fldCharType="begin"/>
      </w:r>
      <w:r w:rsidR="004067E3">
        <w:instrText xml:space="preserve"> ADDIN ZOTERO_ITEM CSL_CITATION {"citationID":"Q7B0uiRu","properties":{"formattedCitation":"(SafeWork SA 2021)","plainCitation":"(SafeWork SA 2021)","noteIndex":0},"citationItems":[{"id":879,"uris":["http://zotero.org/users/6230888/items/DKBHJC4X"],"itemData":{"id":879,"type":"report","page":"18","title":"Respirable Crystalline Silica Campaign Report 2020-21","URL":"https://www.safework.sa.gov.au/__data/assets/pdf_file/0006/469833/Respirable-Crystalline-Silica-Campaign-Report-2020-21.pdf","author":[{"literal":"SafeWork SA"}],"accessed":{"date-parts":[["2022",6,30]]},"issued":{"date-parts":[["2021"]]}}}],"schema":"https://github.com/citation-style-language/schema/raw/master/csl-citation.json"} </w:instrText>
      </w:r>
      <w:r w:rsidR="00BA3EB9" w:rsidRPr="009D0A4A">
        <w:fldChar w:fldCharType="separate"/>
      </w:r>
      <w:r w:rsidR="006B4A7D" w:rsidRPr="009D0A4A">
        <w:rPr>
          <w:rFonts w:ascii="Calibri" w:hAnsi="Calibri" w:cs="Calibri"/>
        </w:rPr>
        <w:t>(SafeWork SA 2021)</w:t>
      </w:r>
      <w:r w:rsidR="00BA3EB9" w:rsidRPr="009D0A4A">
        <w:fldChar w:fldCharType="end"/>
      </w:r>
      <w:r w:rsidR="00AA0CCA" w:rsidRPr="009D0A4A">
        <w:t xml:space="preserve">. This was despite </w:t>
      </w:r>
      <w:r w:rsidR="00D8094B" w:rsidRPr="009D0A4A">
        <w:t>an over</w:t>
      </w:r>
      <w:r w:rsidR="00355725" w:rsidRPr="009D0A4A">
        <w:t xml:space="preserve"> 500</w:t>
      </w:r>
      <w:r w:rsidR="00493C34" w:rsidRPr="009D0A4A">
        <w:t xml:space="preserve"> per cent </w:t>
      </w:r>
      <w:r w:rsidR="00355725" w:rsidRPr="009D0A4A">
        <w:t>increase</w:t>
      </w:r>
      <w:r w:rsidR="00AA0CCA" w:rsidRPr="009D0A4A">
        <w:t xml:space="preserve"> in</w:t>
      </w:r>
      <w:r w:rsidR="00B07C23" w:rsidRPr="009D0A4A">
        <w:t xml:space="preserve"> the number of workplace visits</w:t>
      </w:r>
      <w:r w:rsidR="00355725" w:rsidRPr="009D0A4A">
        <w:t xml:space="preserve"> as a result of their greater focus on workplace inspections</w:t>
      </w:r>
      <w:r w:rsidR="00B07C23" w:rsidRPr="009D0A4A">
        <w:t xml:space="preserve">. The South Australian report also noted </w:t>
      </w:r>
      <w:r w:rsidR="00E52182" w:rsidRPr="009D0A4A">
        <w:t>“</w:t>
      </w:r>
      <w:r w:rsidR="00B07C23" w:rsidRPr="009D0A4A">
        <w:t>25 fabricators of engineered stone had increased compliance, with most maintaining safe systems of work that were implemented as a result of the 2019 campaign</w:t>
      </w:r>
      <w:r w:rsidR="00E52182" w:rsidRPr="009D0A4A">
        <w:t xml:space="preserve">”. </w:t>
      </w:r>
      <w:r w:rsidRPr="009D0A4A">
        <w:t xml:space="preserve">However, </w:t>
      </w:r>
      <w:r w:rsidR="00355725" w:rsidRPr="009D0A4A">
        <w:t xml:space="preserve">as </w:t>
      </w:r>
      <w:r w:rsidR="00D8094B" w:rsidRPr="009D0A4A">
        <w:t xml:space="preserve">Table </w:t>
      </w:r>
      <w:r w:rsidR="003F5102" w:rsidRPr="009D0A4A">
        <w:t>8</w:t>
      </w:r>
      <w:r w:rsidR="00D8094B" w:rsidRPr="009D0A4A">
        <w:t xml:space="preserve"> shows</w:t>
      </w:r>
      <w:r w:rsidR="00355725" w:rsidRPr="009D0A4A">
        <w:t xml:space="preserve">, </w:t>
      </w:r>
      <w:r w:rsidRPr="009D0A4A">
        <w:t>many notices are still being issued which indicate</w:t>
      </w:r>
      <w:r w:rsidR="00355725" w:rsidRPr="009D0A4A">
        <w:t>s</w:t>
      </w:r>
      <w:r w:rsidRPr="009D0A4A">
        <w:t xml:space="preserve"> that employers </w:t>
      </w:r>
      <w:r w:rsidR="007369ED" w:rsidRPr="009D0A4A">
        <w:t xml:space="preserve">possibly </w:t>
      </w:r>
      <w:r w:rsidRPr="009D0A4A">
        <w:t xml:space="preserve">continue to find it difficult to comply or </w:t>
      </w:r>
      <w:r w:rsidR="00C35E30" w:rsidRPr="009D0A4A">
        <w:t>choose not to</w:t>
      </w:r>
      <w:r w:rsidRPr="009D0A4A">
        <w:t xml:space="preserve"> comply</w:t>
      </w:r>
      <w:r w:rsidR="00587778" w:rsidRPr="009D0A4A">
        <w:t>.</w:t>
      </w:r>
      <w:r w:rsidRPr="009D0A4A">
        <w:t xml:space="preserve"> </w:t>
      </w:r>
    </w:p>
    <w:p w14:paraId="2547EAF3" w14:textId="1AAFDDC6" w:rsidR="002E41D3" w:rsidRPr="009D0A4A" w:rsidRDefault="002E41D3" w:rsidP="002E41D3">
      <w:pPr>
        <w:jc w:val="both"/>
      </w:pPr>
      <w:r w:rsidRPr="009D0A4A">
        <w:t xml:space="preserve">In addition to a lack of awareness of the requirements of the model WHS laws, financial costs of complying with the current regulations, such as providing health monitoring and undertaking air monitoring, may be driving the low levels of compliance seen amongst PCBUs, particularly for small and micro businesses. Workplace culture may also contribute to low compliance levels. Pressure to avoid delays, take on or finish a job can lead to the adoption of poor techniques and a lack of consideration for personal safety </w:t>
      </w:r>
      <w:r w:rsidRPr="009D0A4A">
        <w:fldChar w:fldCharType="begin"/>
      </w:r>
      <w:r w:rsidR="004067E3">
        <w:instrText xml:space="preserve"> ADDIN ZOTERO_ITEM CSL_CITATION {"citationID":"MpwcaL7c","properties":{"formattedCitation":"(ThinkPlace 2018)","plainCitation":"(ThinkPlace 2018)","noteIndex":0},"citationItems":[{"id":887,"uris":["http://zotero.org/users/6230888/items/WY24XA5C"],"itemData":{"id":887,"type":"report","page":"32","title":"Insights report: Exploring dust exposure in the stone industry","URL":"https://www.safeworkaustralia.gov.au/system/files/documents/1903/insights-report-exploring-dust-exposure-stone-industry.pdf","author":[{"literal":"ThinkPlace"}],"accessed":{"date-parts":[["2022",6,30]]},"issued":{"date-parts":[["2018"]]}}}],"schema":"https://github.com/citation-style-language/schema/raw/master/csl-citation.json"} </w:instrText>
      </w:r>
      <w:r w:rsidRPr="009D0A4A">
        <w:fldChar w:fldCharType="separate"/>
      </w:r>
      <w:r w:rsidRPr="009D0A4A">
        <w:rPr>
          <w:rFonts w:ascii="Calibri" w:hAnsi="Calibri" w:cs="Calibri"/>
        </w:rPr>
        <w:t>(ThinkPlace 2018)</w:t>
      </w:r>
      <w:r w:rsidRPr="009D0A4A">
        <w:fldChar w:fldCharType="end"/>
      </w:r>
      <w:r w:rsidRPr="009D0A4A">
        <w:t xml:space="preserve">. In preliminary consultation, some stakeholders said that these non-compliant practices become embedded as a matter of workplace culture, with newer employees following the example of more established employees, leading to unsafe practices becoming more widespread. Additionally, the lack of access to persons with specific competency for conducting health and air monitoring may result in inadequate assessments. Air monitoring conducted by persons who are lacking in knowledge and understanding of the proper procedures results in some workplaces being non-compliant with regulatory requirements, even where air monitoring is being carried out </w:t>
      </w:r>
      <w:r w:rsidRPr="009D0A4A">
        <w:fldChar w:fldCharType="begin"/>
      </w:r>
      <w:r w:rsidR="004067E3">
        <w:instrText xml:space="preserve"> ADDIN ZOTERO_ITEM CSL_CITATION {"citationID":"W32vSJHm","properties":{"formattedCitation":"(Cole 2017)","plainCitation":"(Cole 2017)","noteIndex":0},"citationItems":[{"id":889,"uris":["http://zotero.org/users/6230888/items/LP5XWRL2"],"itemData":{"id":889,"type":"report","abstract":"This report highlights the true \"health\" in the health and safety of the tunnel construction industry.","note":"publisher: Winston Churchill Memorial Trust of Australia","page":"142","title":"Investigating best practice to prevent illness and disease in tunnel construction workers","URL":"https://apo.org.au/node/100921","author":[{"family":"Cole","given":"K"}],"accessed":{"date-parts":[["2022",6,30]]},"issued":{"date-parts":[["2017"]]}}}],"schema":"https://github.com/citation-style-language/schema/raw/master/csl-citation.json"} </w:instrText>
      </w:r>
      <w:r w:rsidRPr="009D0A4A">
        <w:fldChar w:fldCharType="separate"/>
      </w:r>
      <w:r w:rsidRPr="009D0A4A">
        <w:rPr>
          <w:rFonts w:ascii="Calibri" w:hAnsi="Calibri" w:cs="Calibri"/>
        </w:rPr>
        <w:t>(Cole 2017)</w:t>
      </w:r>
      <w:r w:rsidRPr="009D0A4A">
        <w:fldChar w:fldCharType="end"/>
      </w:r>
      <w:r w:rsidRPr="009D0A4A">
        <w:t xml:space="preserve">. Furthermore, the costs of air monitoring can be a barrier for some PCBUs to engage an expert to undertake the air monitoring. At the 2019 NSW Standing Committee on Law and Justice 2019 Review of the Dust Diseases Scheme, SafeWork NSW noted that the majority of the cost comes from hiring an occupational hygienist to undertake the monitoring, estimating that “… regular air monitoring can take some businesses one to two weeks. In terms of the cost, it can be $10,000 to $20,000 per experience” </w:t>
      </w:r>
      <w:r w:rsidRPr="009D0A4A">
        <w:fldChar w:fldCharType="begin"/>
      </w:r>
      <w:r w:rsidR="004067E3">
        <w:instrText xml:space="preserve"> ADDIN ZOTERO_ITEM CSL_CITATION {"citationID":"fhoe0xmk","properties":{"formattedCitation":"(NSW Legislative Council Standing Committee on Law and Justice 2020)","plainCitation":"(NSW Legislative Council Standing Committee on Law and Justice 2020)","noteIndex":0},"citationItems":[{"id":890,"uris":["http://zotero.org/users/6230888/items/DCIM4MBH"],"itemData":{"id":890,"type":"report","title":"2019 Review of the Dust Diseases Scheme","URL":"https://www.parliament.nsw.gov.au/lcdocs/inquiries/2538/Report%2073%20%E2%80%93%20%202019%20Review%20of%20the%20Dust%20Diseases%20Scheme%20%E2%80%93%2024%20March%202020.pdf","author":[{"family":"NSW Legislative Council Standing Committee on Law and Justice","given":""}],"accessed":{"date-parts":[["2022",6,30]]},"issued":{"date-parts":[["2020"]]}}}],"schema":"https://github.com/citation-style-language/schema/raw/master/csl-citation.json"} </w:instrText>
      </w:r>
      <w:r w:rsidRPr="009D0A4A">
        <w:fldChar w:fldCharType="separate"/>
      </w:r>
      <w:r w:rsidRPr="009D0A4A">
        <w:rPr>
          <w:rFonts w:ascii="Calibri" w:hAnsi="Calibri" w:cs="Calibri"/>
        </w:rPr>
        <w:t>(NSW Legislative Council Standing Committee on Law and Justice 2020)</w:t>
      </w:r>
      <w:r w:rsidRPr="009D0A4A">
        <w:fldChar w:fldCharType="end"/>
      </w:r>
      <w:r w:rsidRPr="009D0A4A">
        <w:t>.</w:t>
      </w:r>
    </w:p>
    <w:p w14:paraId="66CC6D48" w14:textId="77777777" w:rsidR="00E403F0" w:rsidRPr="009D0A4A" w:rsidRDefault="00E403F0">
      <w:pPr>
        <w:rPr>
          <w:rFonts w:asciiTheme="majorHAnsi" w:hAnsiTheme="majorHAnsi"/>
          <w:b/>
          <w:iCs/>
          <w:color w:val="014463" w:themeColor="text2"/>
          <w:szCs w:val="18"/>
        </w:rPr>
      </w:pPr>
      <w:bookmarkStart w:id="571" w:name="_Ref92898364"/>
      <w:r w:rsidRPr="009D0A4A">
        <w:br w:type="page"/>
      </w:r>
    </w:p>
    <w:p w14:paraId="0F2B0F4B" w14:textId="57976A0E" w:rsidR="008C65B4" w:rsidRPr="009D0A4A" w:rsidRDefault="009B0C67" w:rsidP="00271BB9">
      <w:pPr>
        <w:pStyle w:val="Caption"/>
        <w:ind w:left="0" w:firstLine="0"/>
        <w:jc w:val="both"/>
      </w:pPr>
      <w:r w:rsidRPr="009D0A4A">
        <w:lastRenderedPageBreak/>
        <w:t>Table</w:t>
      </w:r>
      <w:r w:rsidR="00B61508" w:rsidRPr="009D0A4A">
        <w:t xml:space="preserve"> </w:t>
      </w:r>
      <w:r w:rsidR="003F5102" w:rsidRPr="009D0A4A">
        <w:t>8</w:t>
      </w:r>
      <w:bookmarkEnd w:id="571"/>
      <w:r w:rsidR="008C65B4" w:rsidRPr="009D0A4A">
        <w:t>: State and territory compliance program outcomes (excluding Victoria)</w:t>
      </w:r>
    </w:p>
    <w:tbl>
      <w:tblPr>
        <w:tblStyle w:val="PMCDefaultTableStyle"/>
        <w:tblpPr w:leftFromText="180" w:rightFromText="180" w:vertAnchor="text" w:tblpXSpec="center" w:tblpY="1"/>
        <w:tblOverlap w:val="never"/>
        <w:tblW w:w="5071" w:type="pct"/>
        <w:tblLook w:val="04A0" w:firstRow="1" w:lastRow="0" w:firstColumn="1" w:lastColumn="0" w:noHBand="0" w:noVBand="1"/>
      </w:tblPr>
      <w:tblGrid>
        <w:gridCol w:w="1188"/>
        <w:gridCol w:w="1336"/>
        <w:gridCol w:w="871"/>
        <w:gridCol w:w="1167"/>
        <w:gridCol w:w="1390"/>
        <w:gridCol w:w="1314"/>
        <w:gridCol w:w="1124"/>
        <w:gridCol w:w="1279"/>
        <w:gridCol w:w="861"/>
      </w:tblGrid>
      <w:tr w:rsidR="00E403F0" w:rsidRPr="009D0A4A" w14:paraId="7981AD48" w14:textId="77777777" w:rsidTr="00CD446F">
        <w:trPr>
          <w:cnfStyle w:val="100000000000" w:firstRow="1" w:lastRow="0" w:firstColumn="0" w:lastColumn="0" w:oddVBand="0" w:evenVBand="0" w:oddHBand="0" w:evenHBand="0" w:firstRowFirstColumn="0" w:firstRowLastColumn="0" w:lastRowFirstColumn="0" w:lastRowLastColumn="0"/>
        </w:trPr>
        <w:tc>
          <w:tcPr>
            <w:tcW w:w="556" w:type="pct"/>
          </w:tcPr>
          <w:p w14:paraId="6172A71E" w14:textId="77777777" w:rsidR="00E403F0" w:rsidRPr="009D0A4A" w:rsidRDefault="00E403F0" w:rsidP="00CD446F">
            <w:pPr>
              <w:jc w:val="both"/>
            </w:pPr>
            <w:r w:rsidRPr="009D0A4A">
              <w:t xml:space="preserve">Jurisdiction </w:t>
            </w:r>
          </w:p>
        </w:tc>
        <w:tc>
          <w:tcPr>
            <w:tcW w:w="625" w:type="pct"/>
          </w:tcPr>
          <w:p w14:paraId="0682253C" w14:textId="77777777" w:rsidR="00E403F0" w:rsidRPr="009D0A4A" w:rsidRDefault="00E403F0" w:rsidP="00CD446F">
            <w:pPr>
              <w:jc w:val="both"/>
            </w:pPr>
            <w:r w:rsidRPr="009D0A4A">
              <w:t xml:space="preserve">Industry </w:t>
            </w:r>
          </w:p>
        </w:tc>
        <w:tc>
          <w:tcPr>
            <w:tcW w:w="409" w:type="pct"/>
          </w:tcPr>
          <w:p w14:paraId="49DB2186" w14:textId="77777777" w:rsidR="00E403F0" w:rsidRPr="009D0A4A" w:rsidRDefault="00E403F0" w:rsidP="00CD446F">
            <w:pPr>
              <w:jc w:val="both"/>
            </w:pPr>
            <w:r w:rsidRPr="009D0A4A">
              <w:t>Period</w:t>
            </w:r>
          </w:p>
        </w:tc>
        <w:tc>
          <w:tcPr>
            <w:tcW w:w="546" w:type="pct"/>
          </w:tcPr>
          <w:p w14:paraId="76A1EA64" w14:textId="77777777" w:rsidR="00E403F0" w:rsidRPr="009D0A4A" w:rsidRDefault="00E403F0" w:rsidP="00CD446F">
            <w:pPr>
              <w:jc w:val="both"/>
            </w:pPr>
            <w:r w:rsidRPr="009D0A4A">
              <w:t>Workplace visits</w:t>
            </w:r>
          </w:p>
        </w:tc>
        <w:tc>
          <w:tcPr>
            <w:tcW w:w="650" w:type="pct"/>
          </w:tcPr>
          <w:p w14:paraId="3CAA00EE" w14:textId="34272591" w:rsidR="00E403F0" w:rsidRPr="009D0A4A" w:rsidRDefault="00E403F0" w:rsidP="00CD446F">
            <w:pPr>
              <w:jc w:val="both"/>
            </w:pPr>
            <w:r w:rsidRPr="009D0A4A">
              <w:t>Improvement notices</w:t>
            </w:r>
            <w:r w:rsidRPr="009D0A4A">
              <w:rPr>
                <w:rStyle w:val="FootnoteReference"/>
              </w:rPr>
              <w:footnoteReference w:id="6"/>
            </w:r>
          </w:p>
        </w:tc>
        <w:tc>
          <w:tcPr>
            <w:tcW w:w="615" w:type="pct"/>
          </w:tcPr>
          <w:p w14:paraId="60F27503" w14:textId="77777777" w:rsidR="00E403F0" w:rsidRPr="009D0A4A" w:rsidRDefault="00E403F0" w:rsidP="00CD446F">
            <w:pPr>
              <w:jc w:val="both"/>
            </w:pPr>
            <w:r w:rsidRPr="009D0A4A">
              <w:t>Infringement notices</w:t>
            </w:r>
          </w:p>
        </w:tc>
        <w:tc>
          <w:tcPr>
            <w:tcW w:w="527" w:type="pct"/>
          </w:tcPr>
          <w:p w14:paraId="507FEA07" w14:textId="77777777" w:rsidR="00E403F0" w:rsidRPr="009D0A4A" w:rsidRDefault="00E403F0" w:rsidP="00CD446F">
            <w:pPr>
              <w:jc w:val="both"/>
            </w:pPr>
            <w:r w:rsidRPr="009D0A4A">
              <w:t>Prohibition notices</w:t>
            </w:r>
          </w:p>
        </w:tc>
        <w:tc>
          <w:tcPr>
            <w:tcW w:w="599" w:type="pct"/>
          </w:tcPr>
          <w:p w14:paraId="5641E4A2" w14:textId="77777777" w:rsidR="00E403F0" w:rsidRPr="009D0A4A" w:rsidRDefault="00E403F0" w:rsidP="00CD446F">
            <w:pPr>
              <w:jc w:val="both"/>
            </w:pPr>
            <w:r w:rsidRPr="009D0A4A">
              <w:t>Immediate compliance</w:t>
            </w:r>
          </w:p>
        </w:tc>
        <w:tc>
          <w:tcPr>
            <w:tcW w:w="474" w:type="pct"/>
          </w:tcPr>
          <w:p w14:paraId="38ED0FBE" w14:textId="77777777" w:rsidR="00E403F0" w:rsidRPr="009D0A4A" w:rsidRDefault="00E403F0" w:rsidP="00CD446F">
            <w:pPr>
              <w:jc w:val="both"/>
            </w:pPr>
            <w:r w:rsidRPr="009D0A4A">
              <w:t>Penalty notices</w:t>
            </w:r>
          </w:p>
        </w:tc>
      </w:tr>
      <w:tr w:rsidR="00E403F0" w:rsidRPr="009D0A4A" w14:paraId="19E5A810" w14:textId="77777777" w:rsidTr="00CD446F">
        <w:trPr>
          <w:cnfStyle w:val="000000100000" w:firstRow="0" w:lastRow="0" w:firstColumn="0" w:lastColumn="0" w:oddVBand="0" w:evenVBand="0" w:oddHBand="1" w:evenHBand="0" w:firstRowFirstColumn="0" w:firstRowLastColumn="0" w:lastRowFirstColumn="0" w:lastRowLastColumn="0"/>
        </w:trPr>
        <w:tc>
          <w:tcPr>
            <w:tcW w:w="556" w:type="pct"/>
          </w:tcPr>
          <w:p w14:paraId="7EE1AB5F" w14:textId="77777777" w:rsidR="00E403F0" w:rsidRPr="009D0A4A" w:rsidRDefault="00E403F0" w:rsidP="00CD446F">
            <w:r w:rsidRPr="009D0A4A">
              <w:t>Queensland</w:t>
            </w:r>
            <w:r w:rsidRPr="009D0A4A">
              <w:rPr>
                <w:rStyle w:val="FootnoteReference"/>
              </w:rPr>
              <w:footnoteReference w:id="7"/>
            </w:r>
          </w:p>
        </w:tc>
        <w:tc>
          <w:tcPr>
            <w:tcW w:w="625" w:type="pct"/>
          </w:tcPr>
          <w:p w14:paraId="32786468" w14:textId="77777777" w:rsidR="00E403F0" w:rsidRPr="009D0A4A" w:rsidRDefault="00E403F0" w:rsidP="00CD446F">
            <w:r w:rsidRPr="009D0A4A">
              <w:t>Natural and engineered stone benchtop industries</w:t>
            </w:r>
          </w:p>
        </w:tc>
        <w:tc>
          <w:tcPr>
            <w:tcW w:w="409" w:type="pct"/>
          </w:tcPr>
          <w:p w14:paraId="4FB0BE3A" w14:textId="77777777" w:rsidR="00E403F0" w:rsidRPr="009D0A4A" w:rsidRDefault="00E403F0" w:rsidP="00CD446F">
            <w:r w:rsidRPr="009D0A4A">
              <w:t>August 2020-May 2021</w:t>
            </w:r>
          </w:p>
        </w:tc>
        <w:tc>
          <w:tcPr>
            <w:tcW w:w="546" w:type="pct"/>
          </w:tcPr>
          <w:p w14:paraId="4A7E85BF" w14:textId="77777777" w:rsidR="00E403F0" w:rsidRPr="009D0A4A" w:rsidRDefault="00E403F0" w:rsidP="00CD446F">
            <w:r w:rsidRPr="009D0A4A">
              <w:t>230</w:t>
            </w:r>
          </w:p>
        </w:tc>
        <w:tc>
          <w:tcPr>
            <w:tcW w:w="650" w:type="pct"/>
          </w:tcPr>
          <w:p w14:paraId="72DDBF95" w14:textId="77777777" w:rsidR="00E403F0" w:rsidRPr="009D0A4A" w:rsidRDefault="00E403F0" w:rsidP="00CD446F">
            <w:r w:rsidRPr="009D0A4A">
              <w:t>302</w:t>
            </w:r>
          </w:p>
        </w:tc>
        <w:tc>
          <w:tcPr>
            <w:tcW w:w="615" w:type="pct"/>
          </w:tcPr>
          <w:p w14:paraId="400BB71B" w14:textId="37599955" w:rsidR="00E403F0" w:rsidRPr="009D0A4A" w:rsidRDefault="003C0FF6" w:rsidP="00CD446F">
            <w:r w:rsidRPr="009D0A4A">
              <w:t>27</w:t>
            </w:r>
          </w:p>
        </w:tc>
        <w:tc>
          <w:tcPr>
            <w:tcW w:w="527" w:type="pct"/>
          </w:tcPr>
          <w:p w14:paraId="1C7C69F1" w14:textId="035C2C19" w:rsidR="00E403F0" w:rsidRPr="009D0A4A" w:rsidRDefault="003C0FF6" w:rsidP="00CD446F">
            <w:r w:rsidRPr="009D0A4A">
              <w:t>24</w:t>
            </w:r>
          </w:p>
        </w:tc>
        <w:tc>
          <w:tcPr>
            <w:tcW w:w="599" w:type="pct"/>
          </w:tcPr>
          <w:p w14:paraId="6BF901F0" w14:textId="021462E0" w:rsidR="00E403F0" w:rsidRPr="009D0A4A" w:rsidRDefault="003C0FF6" w:rsidP="00CD446F">
            <w:r w:rsidRPr="009D0A4A">
              <w:t>12</w:t>
            </w:r>
          </w:p>
        </w:tc>
        <w:tc>
          <w:tcPr>
            <w:tcW w:w="474" w:type="pct"/>
          </w:tcPr>
          <w:p w14:paraId="4ACC47A7" w14:textId="77777777" w:rsidR="00E403F0" w:rsidRPr="009D0A4A" w:rsidRDefault="00E403F0" w:rsidP="00CD446F">
            <w:r w:rsidRPr="009D0A4A">
              <w:t>-</w:t>
            </w:r>
          </w:p>
        </w:tc>
      </w:tr>
      <w:tr w:rsidR="00E403F0" w:rsidRPr="009D0A4A" w14:paraId="359BEAD2" w14:textId="77777777" w:rsidTr="00CD446F">
        <w:trPr>
          <w:cnfStyle w:val="000000010000" w:firstRow="0" w:lastRow="0" w:firstColumn="0" w:lastColumn="0" w:oddVBand="0" w:evenVBand="0" w:oddHBand="0" w:evenHBand="1" w:firstRowFirstColumn="0" w:firstRowLastColumn="0" w:lastRowFirstColumn="0" w:lastRowLastColumn="0"/>
        </w:trPr>
        <w:tc>
          <w:tcPr>
            <w:tcW w:w="556" w:type="pct"/>
          </w:tcPr>
          <w:p w14:paraId="1A6D31DA" w14:textId="24EE0B79" w:rsidR="00E403F0" w:rsidRPr="009D0A4A" w:rsidRDefault="00E403F0" w:rsidP="00CD446F">
            <w:r w:rsidRPr="009D0A4A">
              <w:t xml:space="preserve">NT </w:t>
            </w:r>
            <w:r w:rsidRPr="009D0A4A">
              <w:fldChar w:fldCharType="begin"/>
            </w:r>
            <w:r w:rsidR="004067E3">
              <w:instrText xml:space="preserve"> ADDIN ZOTERO_ITEM CSL_CITATION {"citationID":"mivQU9Tj","properties":{"formattedCitation":"(Australian Government 2022)","plainCitation":"(Australian Government 2022)","noteIndex":0},"citationItems":[{"id":881,"uris":["http://zotero.org/users/6230888/items/MBL8JFFI"],"itemData":{"id":881,"type":"report","page":"64","title":"All of governments’ response to the National Dust Disease Taskforce Final Report","URL":"https://www1.health.gov.au/internet/main/publishing.nsf/Content/45748C2442F5BA74CA2587E4000F8600/$File/All-Govt-Response-Final-Report-Dust-Disease-Taskforce.pdf","author":[{"literal":"Australian Government"}],"accessed":{"date-parts":[["2022",6,30]]},"issued":{"date-parts":[["2022"]]}}}],"schema":"https://github.com/citation-style-language/schema/raw/master/csl-citation.json"} </w:instrText>
            </w:r>
            <w:r w:rsidRPr="009D0A4A">
              <w:fldChar w:fldCharType="separate"/>
            </w:r>
            <w:r w:rsidRPr="009D0A4A">
              <w:rPr>
                <w:rFonts w:ascii="Calibri" w:hAnsi="Calibri" w:cs="Calibri"/>
              </w:rPr>
              <w:t>(Australian Government 2022)</w:t>
            </w:r>
            <w:r w:rsidRPr="009D0A4A">
              <w:fldChar w:fldCharType="end"/>
            </w:r>
            <w:r w:rsidRPr="009D0A4A">
              <w:t xml:space="preserve"> </w:t>
            </w:r>
          </w:p>
        </w:tc>
        <w:tc>
          <w:tcPr>
            <w:tcW w:w="625" w:type="pct"/>
          </w:tcPr>
          <w:p w14:paraId="6A1E28F9" w14:textId="77777777" w:rsidR="00E403F0" w:rsidRPr="009D0A4A" w:rsidRDefault="00E403F0" w:rsidP="00CD446F">
            <w:r w:rsidRPr="009D0A4A">
              <w:t>Engineered stone workshops</w:t>
            </w:r>
          </w:p>
        </w:tc>
        <w:tc>
          <w:tcPr>
            <w:tcW w:w="409" w:type="pct"/>
          </w:tcPr>
          <w:p w14:paraId="2216BBD0" w14:textId="77777777" w:rsidR="00E403F0" w:rsidRPr="009D0A4A" w:rsidRDefault="00E403F0" w:rsidP="00CD446F">
            <w:r w:rsidRPr="009D0A4A">
              <w:t>2019-20</w:t>
            </w:r>
          </w:p>
        </w:tc>
        <w:tc>
          <w:tcPr>
            <w:tcW w:w="546" w:type="pct"/>
          </w:tcPr>
          <w:p w14:paraId="5D2FEEDB" w14:textId="77777777" w:rsidR="00E403F0" w:rsidRPr="009D0A4A" w:rsidRDefault="00E403F0" w:rsidP="00CD446F">
            <w:r w:rsidRPr="009D0A4A">
              <w:t>35</w:t>
            </w:r>
          </w:p>
        </w:tc>
        <w:tc>
          <w:tcPr>
            <w:tcW w:w="650" w:type="pct"/>
          </w:tcPr>
          <w:p w14:paraId="12EB2EAA" w14:textId="77777777" w:rsidR="00E403F0" w:rsidRPr="009D0A4A" w:rsidRDefault="00E403F0" w:rsidP="00CD446F">
            <w:r w:rsidRPr="009D0A4A">
              <w:t>3</w:t>
            </w:r>
          </w:p>
        </w:tc>
        <w:tc>
          <w:tcPr>
            <w:tcW w:w="615" w:type="pct"/>
          </w:tcPr>
          <w:p w14:paraId="6369E0D6" w14:textId="77777777" w:rsidR="00E403F0" w:rsidRPr="009D0A4A" w:rsidRDefault="00E403F0" w:rsidP="00CD446F"/>
        </w:tc>
        <w:tc>
          <w:tcPr>
            <w:tcW w:w="527" w:type="pct"/>
          </w:tcPr>
          <w:p w14:paraId="6FE34A9B" w14:textId="77777777" w:rsidR="00E403F0" w:rsidRPr="009D0A4A" w:rsidRDefault="00E403F0" w:rsidP="00CD446F">
            <w:r w:rsidRPr="009D0A4A">
              <w:t>0</w:t>
            </w:r>
          </w:p>
        </w:tc>
        <w:tc>
          <w:tcPr>
            <w:tcW w:w="599" w:type="pct"/>
          </w:tcPr>
          <w:p w14:paraId="7DB2067B" w14:textId="77777777" w:rsidR="00E403F0" w:rsidRPr="009D0A4A" w:rsidRDefault="00E403F0" w:rsidP="00CD446F"/>
        </w:tc>
        <w:tc>
          <w:tcPr>
            <w:tcW w:w="474" w:type="pct"/>
          </w:tcPr>
          <w:p w14:paraId="31AF855C" w14:textId="77777777" w:rsidR="00E403F0" w:rsidRPr="009D0A4A" w:rsidRDefault="00E403F0" w:rsidP="00CD446F">
            <w:r w:rsidRPr="009D0A4A">
              <w:t>0</w:t>
            </w:r>
          </w:p>
        </w:tc>
      </w:tr>
      <w:tr w:rsidR="00E403F0" w:rsidRPr="009D0A4A" w14:paraId="074494C0" w14:textId="77777777" w:rsidTr="00CD446F">
        <w:trPr>
          <w:cnfStyle w:val="000000100000" w:firstRow="0" w:lastRow="0" w:firstColumn="0" w:lastColumn="0" w:oddVBand="0" w:evenVBand="0" w:oddHBand="1" w:evenHBand="0" w:firstRowFirstColumn="0" w:firstRowLastColumn="0" w:lastRowFirstColumn="0" w:lastRowLastColumn="0"/>
        </w:trPr>
        <w:tc>
          <w:tcPr>
            <w:tcW w:w="556" w:type="pct"/>
          </w:tcPr>
          <w:p w14:paraId="398C504F" w14:textId="001D4983" w:rsidR="00E403F0" w:rsidRPr="009D0A4A" w:rsidRDefault="00E403F0" w:rsidP="00CD446F">
            <w:r w:rsidRPr="009D0A4A">
              <w:t xml:space="preserve">NSW </w:t>
            </w:r>
            <w:r w:rsidRPr="009D0A4A">
              <w:rPr>
                <w:rStyle w:val="FootnoteReference"/>
              </w:rPr>
              <w:t xml:space="preserve"> </w:t>
            </w:r>
            <w:r w:rsidRPr="009D0A4A">
              <w:fldChar w:fldCharType="begin"/>
            </w:r>
            <w:r w:rsidR="004067E3">
              <w:instrText xml:space="preserve"> ADDIN ZOTERO_ITEM CSL_CITATION {"citationID":"FtY9ip4j","properties":{"formattedCitation":"(NSW Government 2022)","plainCitation":"(NSW Government 2022)","noteIndex":0},"citationItems":[{"id":882,"uris":["http://zotero.org/users/6230888/items/MRPWREDL"],"itemData":{"id":882,"type":"webpage","abstract":"Silica dust is a major hazard for workers in NSW and can lead to the serious and often fatal lung disease silicosis. Our silica dashboard shows what is being done.","container-title":"NSW Government","genre":"Landing Page","note":"Last Modified: 2022-05-19\npublisher: NSW Government","title":"Silica dashboard","URL":"https://www.nsw.gov.au/customer-service/publications-and-reports/silica-dashboard","author":[{"literal":"NSW Government"}],"accessed":{"date-parts":[["2022",6,30]]},"issued":{"date-parts":[["2022"]]}}}],"schema":"https://github.com/citation-style-language/schema/raw/master/csl-citation.json"} </w:instrText>
            </w:r>
            <w:r w:rsidRPr="009D0A4A">
              <w:fldChar w:fldCharType="separate"/>
            </w:r>
            <w:r w:rsidRPr="009D0A4A">
              <w:rPr>
                <w:rFonts w:ascii="Calibri" w:hAnsi="Calibri" w:cs="Calibri"/>
              </w:rPr>
              <w:t>(NSW Government 2022)</w:t>
            </w:r>
            <w:r w:rsidRPr="009D0A4A">
              <w:fldChar w:fldCharType="end"/>
            </w:r>
          </w:p>
        </w:tc>
        <w:tc>
          <w:tcPr>
            <w:tcW w:w="625" w:type="pct"/>
          </w:tcPr>
          <w:p w14:paraId="56F1AE41" w14:textId="77777777" w:rsidR="00E403F0" w:rsidRPr="009D0A4A" w:rsidRDefault="00E403F0" w:rsidP="00CD446F">
            <w:r w:rsidRPr="009D0A4A">
              <w:t>Engineered stone, construction, tunnelling, manufacturing, foundries and stonemason industries</w:t>
            </w:r>
          </w:p>
        </w:tc>
        <w:tc>
          <w:tcPr>
            <w:tcW w:w="409" w:type="pct"/>
          </w:tcPr>
          <w:p w14:paraId="10B6DF5D" w14:textId="77777777" w:rsidR="00E403F0" w:rsidRPr="009D0A4A" w:rsidRDefault="00E403F0" w:rsidP="00CD446F">
            <w:r w:rsidRPr="009D0A4A">
              <w:t>2018 to 31 March 2022</w:t>
            </w:r>
          </w:p>
        </w:tc>
        <w:tc>
          <w:tcPr>
            <w:tcW w:w="546" w:type="pct"/>
          </w:tcPr>
          <w:p w14:paraId="52A3ADE7" w14:textId="77777777" w:rsidR="00E403F0" w:rsidRPr="009D0A4A" w:rsidRDefault="00E403F0" w:rsidP="00CD446F">
            <w:r w:rsidRPr="009D0A4A">
              <w:t>2082</w:t>
            </w:r>
          </w:p>
        </w:tc>
        <w:tc>
          <w:tcPr>
            <w:tcW w:w="650" w:type="pct"/>
          </w:tcPr>
          <w:p w14:paraId="6C535CD1" w14:textId="77777777" w:rsidR="00E403F0" w:rsidRPr="009D0A4A" w:rsidRDefault="00E403F0" w:rsidP="00CD446F">
            <w:r w:rsidRPr="009D0A4A">
              <w:t>1271</w:t>
            </w:r>
          </w:p>
        </w:tc>
        <w:tc>
          <w:tcPr>
            <w:tcW w:w="615" w:type="pct"/>
          </w:tcPr>
          <w:p w14:paraId="551CBF53" w14:textId="77777777" w:rsidR="00E403F0" w:rsidRPr="009D0A4A" w:rsidRDefault="00E403F0" w:rsidP="00CD446F"/>
        </w:tc>
        <w:tc>
          <w:tcPr>
            <w:tcW w:w="527" w:type="pct"/>
          </w:tcPr>
          <w:p w14:paraId="4AE4C7AA" w14:textId="77777777" w:rsidR="00E403F0" w:rsidRPr="009D0A4A" w:rsidRDefault="00E403F0" w:rsidP="00CD446F">
            <w:r w:rsidRPr="009D0A4A">
              <w:t>47</w:t>
            </w:r>
          </w:p>
        </w:tc>
        <w:tc>
          <w:tcPr>
            <w:tcW w:w="599" w:type="pct"/>
          </w:tcPr>
          <w:p w14:paraId="45CCAFE8" w14:textId="77777777" w:rsidR="00E403F0" w:rsidRPr="009D0A4A" w:rsidRDefault="00E403F0" w:rsidP="00CD446F"/>
        </w:tc>
        <w:tc>
          <w:tcPr>
            <w:tcW w:w="474" w:type="pct"/>
          </w:tcPr>
          <w:p w14:paraId="58852761" w14:textId="77777777" w:rsidR="00E403F0" w:rsidRPr="009D0A4A" w:rsidRDefault="00E403F0" w:rsidP="00CD446F">
            <w:r w:rsidRPr="009D0A4A">
              <w:t>2</w:t>
            </w:r>
          </w:p>
        </w:tc>
      </w:tr>
      <w:tr w:rsidR="00E403F0" w:rsidRPr="009D0A4A" w14:paraId="497D982C" w14:textId="77777777" w:rsidTr="00CD446F">
        <w:trPr>
          <w:cnfStyle w:val="000000010000" w:firstRow="0" w:lastRow="0" w:firstColumn="0" w:lastColumn="0" w:oddVBand="0" w:evenVBand="0" w:oddHBand="0" w:evenHBand="1" w:firstRowFirstColumn="0" w:firstRowLastColumn="0" w:lastRowFirstColumn="0" w:lastRowLastColumn="0"/>
        </w:trPr>
        <w:tc>
          <w:tcPr>
            <w:tcW w:w="556" w:type="pct"/>
          </w:tcPr>
          <w:p w14:paraId="6D0B3B6D" w14:textId="1A1D2F7D" w:rsidR="00E403F0" w:rsidRPr="009D0A4A" w:rsidRDefault="00E403F0" w:rsidP="00CD446F">
            <w:r w:rsidRPr="009D0A4A">
              <w:t xml:space="preserve">SA </w:t>
            </w:r>
            <w:r w:rsidRPr="009D0A4A">
              <w:fldChar w:fldCharType="begin"/>
            </w:r>
            <w:r w:rsidR="004067E3">
              <w:instrText xml:space="preserve"> ADDIN ZOTERO_ITEM CSL_CITATION {"citationID":"aEXGswDj","properties":{"formattedCitation":"(SafeWork SA 2019)","plainCitation":"(SafeWork SA 2019)","noteIndex":0},"citationItems":[{"id":884,"uris":["http://zotero.org/users/6230888/items/XAX8CMBR"],"itemData":{"id":884,"type":"report","page":"15","title":"Respirable Crystalline Silica Compliance Program - 2019 Audit Report","URL":"https://www.safework.sa.gov.au/__data/assets/pdf_file/0010/187624/rcs_compliance_audit_report_2019.pdf","author":[{"literal":"SafeWork SA"}],"accessed":{"date-parts":[["2022",6,30]]},"issued":{"date-parts":[["2019"]]}}}],"schema":"https://github.com/citation-style-language/schema/raw/master/csl-citation.json"} </w:instrText>
            </w:r>
            <w:r w:rsidRPr="009D0A4A">
              <w:fldChar w:fldCharType="separate"/>
            </w:r>
            <w:r w:rsidRPr="009D0A4A">
              <w:rPr>
                <w:rFonts w:ascii="Calibri" w:hAnsi="Calibri" w:cs="Calibri"/>
              </w:rPr>
              <w:t>(SafeWork SA 2019)</w:t>
            </w:r>
            <w:r w:rsidRPr="009D0A4A">
              <w:fldChar w:fldCharType="end"/>
            </w:r>
          </w:p>
        </w:tc>
        <w:tc>
          <w:tcPr>
            <w:tcW w:w="625" w:type="pct"/>
          </w:tcPr>
          <w:p w14:paraId="62F3AED8" w14:textId="77777777" w:rsidR="00E403F0" w:rsidRPr="009D0A4A" w:rsidRDefault="00E403F0" w:rsidP="00CD446F">
            <w:r w:rsidRPr="009D0A4A">
              <w:t>Fabricators and installers of engineered stone</w:t>
            </w:r>
          </w:p>
        </w:tc>
        <w:tc>
          <w:tcPr>
            <w:tcW w:w="409" w:type="pct"/>
          </w:tcPr>
          <w:p w14:paraId="39878430" w14:textId="77777777" w:rsidR="00E403F0" w:rsidRPr="009D0A4A" w:rsidRDefault="00E403F0" w:rsidP="00CD446F">
            <w:r w:rsidRPr="009D0A4A">
              <w:t>From 25 February 2019 to 21 May 2019</w:t>
            </w:r>
          </w:p>
        </w:tc>
        <w:tc>
          <w:tcPr>
            <w:tcW w:w="546" w:type="pct"/>
          </w:tcPr>
          <w:p w14:paraId="1EE6F89C" w14:textId="77777777" w:rsidR="00E403F0" w:rsidRPr="009D0A4A" w:rsidRDefault="00E403F0" w:rsidP="00CD446F">
            <w:r w:rsidRPr="009D0A4A">
              <w:t>26</w:t>
            </w:r>
          </w:p>
        </w:tc>
        <w:tc>
          <w:tcPr>
            <w:tcW w:w="650" w:type="pct"/>
          </w:tcPr>
          <w:p w14:paraId="1DDC43FA" w14:textId="77777777" w:rsidR="00E403F0" w:rsidRPr="009D0A4A" w:rsidRDefault="00E403F0" w:rsidP="00CD446F">
            <w:r w:rsidRPr="009D0A4A">
              <w:t>103</w:t>
            </w:r>
          </w:p>
        </w:tc>
        <w:tc>
          <w:tcPr>
            <w:tcW w:w="615" w:type="pct"/>
          </w:tcPr>
          <w:p w14:paraId="2628965A" w14:textId="77777777" w:rsidR="00E403F0" w:rsidRPr="009D0A4A" w:rsidRDefault="00E403F0" w:rsidP="00CD446F"/>
        </w:tc>
        <w:tc>
          <w:tcPr>
            <w:tcW w:w="527" w:type="pct"/>
          </w:tcPr>
          <w:p w14:paraId="7E1CCDF0" w14:textId="77777777" w:rsidR="00E403F0" w:rsidRPr="009D0A4A" w:rsidRDefault="00E403F0" w:rsidP="00CD446F">
            <w:r w:rsidRPr="009D0A4A">
              <w:t>8</w:t>
            </w:r>
          </w:p>
        </w:tc>
        <w:tc>
          <w:tcPr>
            <w:tcW w:w="599" w:type="pct"/>
          </w:tcPr>
          <w:p w14:paraId="321568D3" w14:textId="77777777" w:rsidR="00E403F0" w:rsidRPr="009D0A4A" w:rsidRDefault="00E403F0" w:rsidP="00CD446F"/>
        </w:tc>
        <w:tc>
          <w:tcPr>
            <w:tcW w:w="474" w:type="pct"/>
          </w:tcPr>
          <w:p w14:paraId="7A632B35" w14:textId="77777777" w:rsidR="00E403F0" w:rsidRPr="009D0A4A" w:rsidRDefault="00E403F0" w:rsidP="00CD446F">
            <w:r w:rsidRPr="009D0A4A">
              <w:t>0</w:t>
            </w:r>
          </w:p>
        </w:tc>
      </w:tr>
      <w:tr w:rsidR="00E403F0" w:rsidRPr="009D0A4A" w14:paraId="3D3A5C54" w14:textId="77777777" w:rsidTr="00CD446F">
        <w:trPr>
          <w:cnfStyle w:val="000000100000" w:firstRow="0" w:lastRow="0" w:firstColumn="0" w:lastColumn="0" w:oddVBand="0" w:evenVBand="0" w:oddHBand="1" w:evenHBand="0" w:firstRowFirstColumn="0" w:firstRowLastColumn="0" w:lastRowFirstColumn="0" w:lastRowLastColumn="0"/>
        </w:trPr>
        <w:tc>
          <w:tcPr>
            <w:tcW w:w="556" w:type="pct"/>
          </w:tcPr>
          <w:p w14:paraId="7243BD01" w14:textId="77777777" w:rsidR="00E403F0" w:rsidRPr="009D0A4A" w:rsidRDefault="00E403F0" w:rsidP="00CD446F">
            <w:r w:rsidRPr="009D0A4A">
              <w:t xml:space="preserve">SA </w:t>
            </w:r>
            <w:r w:rsidRPr="009D0A4A">
              <w:rPr>
                <w:rFonts w:ascii="Calibri" w:hAnsi="Calibri" w:cs="Calibri"/>
              </w:rPr>
              <w:t>(SafeWork SA 2019</w:t>
            </w:r>
          </w:p>
        </w:tc>
        <w:tc>
          <w:tcPr>
            <w:tcW w:w="625" w:type="pct"/>
          </w:tcPr>
          <w:p w14:paraId="2BB6B438" w14:textId="77777777" w:rsidR="00E403F0" w:rsidRPr="009D0A4A" w:rsidRDefault="00E403F0" w:rsidP="00CD446F">
            <w:r w:rsidRPr="009D0A4A">
              <w:t>Construction industry</w:t>
            </w:r>
          </w:p>
        </w:tc>
        <w:tc>
          <w:tcPr>
            <w:tcW w:w="409" w:type="pct"/>
          </w:tcPr>
          <w:p w14:paraId="1B2C8EB4" w14:textId="77777777" w:rsidR="00E403F0" w:rsidRPr="009D0A4A" w:rsidRDefault="00E403F0" w:rsidP="00CD446F">
            <w:r w:rsidRPr="009D0A4A">
              <w:t>From 9 April 2019 to 14 May 2019</w:t>
            </w:r>
          </w:p>
        </w:tc>
        <w:tc>
          <w:tcPr>
            <w:tcW w:w="546" w:type="pct"/>
          </w:tcPr>
          <w:p w14:paraId="176B5860" w14:textId="77777777" w:rsidR="00E403F0" w:rsidRPr="009D0A4A" w:rsidRDefault="00E403F0" w:rsidP="00CD446F">
            <w:r w:rsidRPr="009D0A4A">
              <w:t>12</w:t>
            </w:r>
          </w:p>
        </w:tc>
        <w:tc>
          <w:tcPr>
            <w:tcW w:w="650" w:type="pct"/>
          </w:tcPr>
          <w:p w14:paraId="0C2A0B35" w14:textId="77777777" w:rsidR="00E403F0" w:rsidRPr="009D0A4A" w:rsidRDefault="00E403F0" w:rsidP="00CD446F">
            <w:r w:rsidRPr="009D0A4A">
              <w:t>62</w:t>
            </w:r>
          </w:p>
        </w:tc>
        <w:tc>
          <w:tcPr>
            <w:tcW w:w="615" w:type="pct"/>
          </w:tcPr>
          <w:p w14:paraId="43FCA9CD" w14:textId="77777777" w:rsidR="00E403F0" w:rsidRPr="009D0A4A" w:rsidRDefault="00E403F0" w:rsidP="00CD446F"/>
        </w:tc>
        <w:tc>
          <w:tcPr>
            <w:tcW w:w="527" w:type="pct"/>
          </w:tcPr>
          <w:p w14:paraId="4F0AE421" w14:textId="77777777" w:rsidR="00E403F0" w:rsidRPr="009D0A4A" w:rsidRDefault="00E403F0" w:rsidP="00CD446F">
            <w:r w:rsidRPr="009D0A4A">
              <w:t>0</w:t>
            </w:r>
          </w:p>
        </w:tc>
        <w:tc>
          <w:tcPr>
            <w:tcW w:w="599" w:type="pct"/>
          </w:tcPr>
          <w:p w14:paraId="6FDEAAD7" w14:textId="77777777" w:rsidR="00E403F0" w:rsidRPr="009D0A4A" w:rsidRDefault="00E403F0" w:rsidP="00CD446F"/>
        </w:tc>
        <w:tc>
          <w:tcPr>
            <w:tcW w:w="474" w:type="pct"/>
          </w:tcPr>
          <w:p w14:paraId="4C4CE6AD" w14:textId="77777777" w:rsidR="00E403F0" w:rsidRPr="009D0A4A" w:rsidRDefault="00E403F0" w:rsidP="00CD446F">
            <w:r w:rsidRPr="009D0A4A">
              <w:t>0</w:t>
            </w:r>
          </w:p>
        </w:tc>
      </w:tr>
      <w:tr w:rsidR="00E403F0" w:rsidRPr="009D0A4A" w14:paraId="6F0E91C5" w14:textId="77777777" w:rsidTr="00CD446F">
        <w:trPr>
          <w:cnfStyle w:val="000000010000" w:firstRow="0" w:lastRow="0" w:firstColumn="0" w:lastColumn="0" w:oddVBand="0" w:evenVBand="0" w:oddHBand="0" w:evenHBand="1" w:firstRowFirstColumn="0" w:firstRowLastColumn="0" w:lastRowFirstColumn="0" w:lastRowLastColumn="0"/>
        </w:trPr>
        <w:tc>
          <w:tcPr>
            <w:tcW w:w="556" w:type="pct"/>
          </w:tcPr>
          <w:p w14:paraId="02F4E86C" w14:textId="79B73395" w:rsidR="00E403F0" w:rsidRPr="009D0A4A" w:rsidRDefault="00E403F0" w:rsidP="00CD446F">
            <w:r w:rsidRPr="009D0A4A">
              <w:t xml:space="preserve">SA </w:t>
            </w:r>
            <w:r w:rsidRPr="009D0A4A">
              <w:fldChar w:fldCharType="begin"/>
            </w:r>
            <w:r w:rsidR="004067E3">
              <w:instrText xml:space="preserve"> ADDIN ZOTERO_ITEM CSL_CITATION {"citationID":"OP7YnohL","properties":{"formattedCitation":"(SafeWork SA 2021)","plainCitation":"(SafeWork SA 2021)","noteIndex":0},"citationItems":[{"id":879,"uris":["http://zotero.org/users/6230888/items/DKBHJC4X"],"itemData":{"id":879,"type":"report","page":"18","title":"Respirable Crystalline Silica Campaign Report 2020-21","URL":"https://www.safework.sa.gov.au/__data/assets/pdf_file/0006/469833/Respirable-Crystalline-Silica-Campaign-Report-2020-21.pdf","author":[{"literal":"SafeWork SA"}],"accessed":{"date-parts":[["2022",6,30]]},"issued":{"date-parts":[["2021"]]}}}],"schema":"https://github.com/citation-style-language/schema/raw/master/csl-citation.json"} </w:instrText>
            </w:r>
            <w:r w:rsidRPr="009D0A4A">
              <w:fldChar w:fldCharType="separate"/>
            </w:r>
            <w:r w:rsidRPr="009D0A4A">
              <w:rPr>
                <w:rFonts w:ascii="Calibri" w:hAnsi="Calibri" w:cs="Calibri"/>
              </w:rPr>
              <w:t>(SafeWork SA 2021)</w:t>
            </w:r>
            <w:r w:rsidRPr="009D0A4A">
              <w:fldChar w:fldCharType="end"/>
            </w:r>
          </w:p>
        </w:tc>
        <w:tc>
          <w:tcPr>
            <w:tcW w:w="625" w:type="pct"/>
          </w:tcPr>
          <w:p w14:paraId="08852BEA" w14:textId="77777777" w:rsidR="00E403F0" w:rsidRPr="009D0A4A" w:rsidRDefault="00E403F0" w:rsidP="00CD446F">
            <w:r w:rsidRPr="009D0A4A">
              <w:t>Fabrication of stone benchtops, monumental stone, construction and mining industries</w:t>
            </w:r>
          </w:p>
        </w:tc>
        <w:tc>
          <w:tcPr>
            <w:tcW w:w="409" w:type="pct"/>
          </w:tcPr>
          <w:p w14:paraId="77F257B8" w14:textId="77777777" w:rsidR="00E403F0" w:rsidRPr="009D0A4A" w:rsidRDefault="00E403F0" w:rsidP="00CD446F">
            <w:r w:rsidRPr="009D0A4A">
              <w:t>From 1 October 2020 to 1 April 2021</w:t>
            </w:r>
          </w:p>
        </w:tc>
        <w:tc>
          <w:tcPr>
            <w:tcW w:w="546" w:type="pct"/>
          </w:tcPr>
          <w:p w14:paraId="271C2905" w14:textId="77777777" w:rsidR="00E403F0" w:rsidRPr="009D0A4A" w:rsidRDefault="00E403F0" w:rsidP="00CD446F">
            <w:r w:rsidRPr="009D0A4A">
              <w:t>199 and 71 compliance audits</w:t>
            </w:r>
          </w:p>
        </w:tc>
        <w:tc>
          <w:tcPr>
            <w:tcW w:w="650" w:type="pct"/>
          </w:tcPr>
          <w:p w14:paraId="7E5E60D5" w14:textId="77777777" w:rsidR="00E403F0" w:rsidRPr="009D0A4A" w:rsidRDefault="00E403F0" w:rsidP="00CD446F">
            <w:r w:rsidRPr="009D0A4A">
              <w:t>95</w:t>
            </w:r>
          </w:p>
        </w:tc>
        <w:tc>
          <w:tcPr>
            <w:tcW w:w="615" w:type="pct"/>
          </w:tcPr>
          <w:p w14:paraId="05B5B82E" w14:textId="77777777" w:rsidR="00E403F0" w:rsidRPr="009D0A4A" w:rsidRDefault="00E403F0" w:rsidP="00CD446F"/>
        </w:tc>
        <w:tc>
          <w:tcPr>
            <w:tcW w:w="527" w:type="pct"/>
          </w:tcPr>
          <w:p w14:paraId="2767664C" w14:textId="77777777" w:rsidR="00E403F0" w:rsidRPr="009D0A4A" w:rsidRDefault="00E403F0" w:rsidP="00CD446F">
            <w:r w:rsidRPr="009D0A4A">
              <w:t>7</w:t>
            </w:r>
          </w:p>
        </w:tc>
        <w:tc>
          <w:tcPr>
            <w:tcW w:w="599" w:type="pct"/>
          </w:tcPr>
          <w:p w14:paraId="44CC442E" w14:textId="77777777" w:rsidR="00E403F0" w:rsidRPr="009D0A4A" w:rsidRDefault="00E403F0" w:rsidP="00CD446F"/>
        </w:tc>
        <w:tc>
          <w:tcPr>
            <w:tcW w:w="474" w:type="pct"/>
          </w:tcPr>
          <w:p w14:paraId="6B6078FE" w14:textId="77777777" w:rsidR="00E403F0" w:rsidRPr="009D0A4A" w:rsidRDefault="00E403F0" w:rsidP="00CD446F">
            <w:r w:rsidRPr="009D0A4A">
              <w:t>N/A</w:t>
            </w:r>
          </w:p>
        </w:tc>
      </w:tr>
      <w:tr w:rsidR="00E403F0" w:rsidRPr="009D0A4A" w14:paraId="391CEE10" w14:textId="77777777" w:rsidTr="00CD446F">
        <w:trPr>
          <w:cnfStyle w:val="000000100000" w:firstRow="0" w:lastRow="0" w:firstColumn="0" w:lastColumn="0" w:oddVBand="0" w:evenVBand="0" w:oddHBand="1" w:evenHBand="0" w:firstRowFirstColumn="0" w:firstRowLastColumn="0" w:lastRowFirstColumn="0" w:lastRowLastColumn="0"/>
        </w:trPr>
        <w:tc>
          <w:tcPr>
            <w:tcW w:w="556" w:type="pct"/>
          </w:tcPr>
          <w:p w14:paraId="1CFB292E" w14:textId="2D406CCC" w:rsidR="00E403F0" w:rsidRPr="009D0A4A" w:rsidRDefault="00E403F0" w:rsidP="00CD446F">
            <w:r w:rsidRPr="009D0A4A">
              <w:t xml:space="preserve">WA </w:t>
            </w:r>
            <w:r w:rsidRPr="009D0A4A">
              <w:rPr>
                <w:rStyle w:val="FootnoteReference"/>
              </w:rPr>
              <w:fldChar w:fldCharType="begin"/>
            </w:r>
            <w:r w:rsidR="004067E3">
              <w:instrText xml:space="preserve"> ADDIN ZOTERO_ITEM CSL_CITATION {"citationID":"FggH3r2u","properties":{"formattedCitation":"(WorkSafe Western Australia 2021)","plainCitation":"(WorkSafe Western Australia 2021)","noteIndex":0},"citationItems":[{"id":871,"uris":["http://zotero.org/users/6230888/items/TA8RQVKK"],"itemData":{"id":871,"type":"report","abstract":"Between July 2018 and May 2021, WorkSafe WA undertook a proactive compliance project into engineered stone benchtop fabrication and installation to investigate respirable crystalline silica (RCS) e","language":"en","page":"8","title":"WorkSafe Western Australia silica compliance project - report","URL":"https://www.commerce.wa.gov.au/sites/default/files/atoms/files/silica_compliance_report.pdf","author":[{"literal":"WorkSafe Western Australia"}],"accessed":{"date-parts":[["2022",6,30]]},"issued":{"date-parts":[["2021",7,14]]}}}],"schema":"https://github.com/citation-style-language/schema/raw/master/csl-citation.json"} </w:instrText>
            </w:r>
            <w:r w:rsidRPr="009D0A4A">
              <w:rPr>
                <w:rStyle w:val="FootnoteReference"/>
              </w:rPr>
              <w:fldChar w:fldCharType="separate"/>
            </w:r>
            <w:r w:rsidRPr="009D0A4A">
              <w:rPr>
                <w:rFonts w:ascii="Calibri" w:hAnsi="Calibri" w:cs="Calibri"/>
              </w:rPr>
              <w:t>(WorkSafe Western Australia 2021)</w:t>
            </w:r>
            <w:r w:rsidRPr="009D0A4A">
              <w:rPr>
                <w:rStyle w:val="FootnoteReference"/>
              </w:rPr>
              <w:fldChar w:fldCharType="end"/>
            </w:r>
          </w:p>
        </w:tc>
        <w:tc>
          <w:tcPr>
            <w:tcW w:w="625" w:type="pct"/>
          </w:tcPr>
          <w:p w14:paraId="6A6791DD" w14:textId="77777777" w:rsidR="00E403F0" w:rsidRPr="009D0A4A" w:rsidRDefault="00E403F0" w:rsidP="00CD446F">
            <w:r w:rsidRPr="009D0A4A">
              <w:t>Engineered stone benchtop fabrication and installation</w:t>
            </w:r>
          </w:p>
        </w:tc>
        <w:tc>
          <w:tcPr>
            <w:tcW w:w="409" w:type="pct"/>
          </w:tcPr>
          <w:p w14:paraId="2253C86B" w14:textId="77777777" w:rsidR="00E403F0" w:rsidRPr="009D0A4A" w:rsidRDefault="00E403F0" w:rsidP="00CD446F">
            <w:r w:rsidRPr="009D0A4A">
              <w:t>July 2018 – May 2021</w:t>
            </w:r>
          </w:p>
        </w:tc>
        <w:tc>
          <w:tcPr>
            <w:tcW w:w="546" w:type="pct"/>
          </w:tcPr>
          <w:p w14:paraId="033C7163" w14:textId="77777777" w:rsidR="00E403F0" w:rsidRPr="009D0A4A" w:rsidRDefault="00E403F0" w:rsidP="00CD446F">
            <w:r w:rsidRPr="009D0A4A">
              <w:t>150</w:t>
            </w:r>
          </w:p>
        </w:tc>
        <w:tc>
          <w:tcPr>
            <w:tcW w:w="650" w:type="pct"/>
          </w:tcPr>
          <w:p w14:paraId="40D6A580" w14:textId="77777777" w:rsidR="00E403F0" w:rsidRPr="009D0A4A" w:rsidRDefault="00E403F0" w:rsidP="00CD446F">
            <w:r w:rsidRPr="009D0A4A">
              <w:t>Over 1000</w:t>
            </w:r>
          </w:p>
        </w:tc>
        <w:tc>
          <w:tcPr>
            <w:tcW w:w="615" w:type="pct"/>
          </w:tcPr>
          <w:p w14:paraId="059804BC" w14:textId="77777777" w:rsidR="00E403F0" w:rsidRPr="009D0A4A" w:rsidRDefault="00E403F0" w:rsidP="00CD446F"/>
        </w:tc>
        <w:tc>
          <w:tcPr>
            <w:tcW w:w="527" w:type="pct"/>
          </w:tcPr>
          <w:p w14:paraId="33FA53A0" w14:textId="77777777" w:rsidR="00E403F0" w:rsidRPr="009D0A4A" w:rsidRDefault="00E403F0" w:rsidP="00CD446F"/>
        </w:tc>
        <w:tc>
          <w:tcPr>
            <w:tcW w:w="599" w:type="pct"/>
          </w:tcPr>
          <w:p w14:paraId="2566E4DD" w14:textId="77777777" w:rsidR="00E403F0" w:rsidRPr="009D0A4A" w:rsidRDefault="00E403F0" w:rsidP="00CD446F"/>
        </w:tc>
        <w:tc>
          <w:tcPr>
            <w:tcW w:w="474" w:type="pct"/>
          </w:tcPr>
          <w:p w14:paraId="7766AD8D" w14:textId="77777777" w:rsidR="00E403F0" w:rsidRPr="009D0A4A" w:rsidRDefault="00E403F0" w:rsidP="00CD446F"/>
        </w:tc>
      </w:tr>
    </w:tbl>
    <w:p w14:paraId="4717BA48" w14:textId="74523757" w:rsidR="00E403F0" w:rsidRPr="009D0A4A" w:rsidRDefault="00E403F0" w:rsidP="00E403F0"/>
    <w:p w14:paraId="112206FC" w14:textId="082CFC1C" w:rsidR="00E403F0" w:rsidRPr="009D0A4A" w:rsidRDefault="00E403F0" w:rsidP="00E403F0"/>
    <w:p w14:paraId="40D0650F" w14:textId="77777777" w:rsidR="003C0FF6" w:rsidRPr="009D0A4A" w:rsidRDefault="003C0FF6" w:rsidP="00E403F0"/>
    <w:p w14:paraId="304D5296" w14:textId="3A9EE572" w:rsidR="0063713B" w:rsidRPr="009D0A4A" w:rsidRDefault="00AE7C41" w:rsidP="00FA48E5">
      <w:pPr>
        <w:pStyle w:val="EmphasisPanelHeading"/>
        <w:jc w:val="both"/>
        <w:rPr>
          <w:sz w:val="20"/>
          <w:szCs w:val="20"/>
        </w:rPr>
      </w:pPr>
      <w:r w:rsidRPr="009D0A4A">
        <w:rPr>
          <w:sz w:val="20"/>
          <w:szCs w:val="20"/>
        </w:rPr>
        <w:lastRenderedPageBreak/>
        <w:t xml:space="preserve">Case study: </w:t>
      </w:r>
      <w:r w:rsidR="0063713B" w:rsidRPr="009D0A4A">
        <w:rPr>
          <w:sz w:val="20"/>
          <w:szCs w:val="20"/>
        </w:rPr>
        <w:t>WorkSafe WA silica compliance project</w:t>
      </w:r>
      <w:r w:rsidR="00BC70A2" w:rsidRPr="009D0A4A">
        <w:rPr>
          <w:sz w:val="20"/>
          <w:szCs w:val="20"/>
        </w:rPr>
        <w:t xml:space="preserve"> </w:t>
      </w:r>
      <w:r w:rsidR="00BC70A2" w:rsidRPr="009D0A4A">
        <w:rPr>
          <w:sz w:val="20"/>
          <w:szCs w:val="20"/>
        </w:rPr>
        <w:fldChar w:fldCharType="begin"/>
      </w:r>
      <w:r w:rsidR="004067E3">
        <w:rPr>
          <w:sz w:val="20"/>
          <w:szCs w:val="20"/>
        </w:rPr>
        <w:instrText xml:space="preserve"> ADDIN ZOTERO_ITEM CSL_CITATION {"citationID":"e7nAd9IS","properties":{"formattedCitation":"(WorkSafe Western Australia 2021)","plainCitation":"(WorkSafe Western Australia 2021)","noteIndex":0},"citationItems":[{"id":871,"uris":["http://zotero.org/users/6230888/items/TA8RQVKK"],"itemData":{"id":871,"type":"report","abstract":"Between July 2018 and May 2021, WorkSafe WA undertook a proactive compliance project into engineered stone benchtop fabrication and installation to investigate respirable crystalline silica (RCS) e","language":"en","page":"8","title":"WorkSafe Western Australia silica compliance project - report","URL":"https://www.commerce.wa.gov.au/sites/default/files/atoms/files/silica_compliance_report.pdf","author":[{"literal":"WorkSafe Western Australia"}],"accessed":{"date-parts":[["2022",6,30]]},"issued":{"date-parts":[["2021",7,14]]}}}],"schema":"https://github.com/citation-style-language/schema/raw/master/csl-citation.json"} </w:instrText>
      </w:r>
      <w:r w:rsidR="00BC70A2" w:rsidRPr="009D0A4A">
        <w:rPr>
          <w:sz w:val="20"/>
          <w:szCs w:val="20"/>
        </w:rPr>
        <w:fldChar w:fldCharType="separate"/>
      </w:r>
      <w:r w:rsidR="006B4A7D" w:rsidRPr="009D0A4A">
        <w:rPr>
          <w:rFonts w:ascii="Century Gothic" w:hAnsi="Century Gothic"/>
          <w:sz w:val="20"/>
        </w:rPr>
        <w:t>(WorkSafe Western Australia 2021)</w:t>
      </w:r>
      <w:r w:rsidR="00BC70A2" w:rsidRPr="009D0A4A">
        <w:rPr>
          <w:sz w:val="20"/>
          <w:szCs w:val="20"/>
        </w:rPr>
        <w:fldChar w:fldCharType="end"/>
      </w:r>
    </w:p>
    <w:p w14:paraId="21660B00" w14:textId="650E58A2" w:rsidR="0063713B" w:rsidRPr="009D0A4A" w:rsidRDefault="0063713B" w:rsidP="007306C8">
      <w:pPr>
        <w:pStyle w:val="EmphasisPanelBullet"/>
        <w:numPr>
          <w:ilvl w:val="0"/>
          <w:numId w:val="0"/>
        </w:numPr>
        <w:ind w:left="198"/>
        <w:jc w:val="both"/>
      </w:pPr>
      <w:r w:rsidRPr="009D0A4A">
        <w:t>Between July 2018 and May 2021, WorkSafe WA undertook a proactive compliance project into engineered stone benchtop fabrication and installation to investigate silica dust exposure risks and controls.  The WorkSafe WA silica compliance project found that silica controls were inadequate in many WA workplaces. The results included:</w:t>
      </w:r>
    </w:p>
    <w:p w14:paraId="62C0D5EA" w14:textId="4575FA39" w:rsidR="0063713B" w:rsidRPr="009D0A4A" w:rsidRDefault="0063713B" w:rsidP="007306C8">
      <w:pPr>
        <w:pStyle w:val="EmphasisPanelBullet"/>
        <w:jc w:val="both"/>
      </w:pPr>
      <w:r w:rsidRPr="009D0A4A">
        <w:t>150 workplace inspections with over 1</w:t>
      </w:r>
      <w:r w:rsidR="0069395D" w:rsidRPr="009D0A4A">
        <w:t>,</w:t>
      </w:r>
      <w:r w:rsidRPr="009D0A4A">
        <w:t xml:space="preserve">000 enforcement notices issued. Common compliance issues where inadequate controls, no risk assessment conducted, lack of health surveillance, inadequate respiratory protective equipment and poor hygiene practices. </w:t>
      </w:r>
    </w:p>
    <w:p w14:paraId="1ADB66D3" w14:textId="0013866B" w:rsidR="0063713B" w:rsidRPr="009D0A4A" w:rsidRDefault="0063713B" w:rsidP="007306C8">
      <w:pPr>
        <w:pStyle w:val="EmphasisPanelBullet"/>
        <w:jc w:val="both"/>
      </w:pPr>
      <w:r w:rsidRPr="009D0A4A">
        <w:t>Air monitoring was conducted at 38 workplaces with 75</w:t>
      </w:r>
      <w:r w:rsidR="00E00C39" w:rsidRPr="009D0A4A">
        <w:t xml:space="preserve"> per cent</w:t>
      </w:r>
      <w:r w:rsidRPr="009D0A4A">
        <w:t xml:space="preserve"> recording silica dust levels above action levels</w:t>
      </w:r>
      <w:r w:rsidR="00FD738B" w:rsidRPr="009D0A4A">
        <w:t xml:space="preserve"> (i.e. half of the WES)</w:t>
      </w:r>
      <w:r w:rsidRPr="009D0A4A">
        <w:t>.</w:t>
      </w:r>
    </w:p>
    <w:p w14:paraId="6E0466F2" w14:textId="15595CF5" w:rsidR="0063713B" w:rsidRPr="009D0A4A" w:rsidRDefault="0063713B" w:rsidP="007306C8">
      <w:pPr>
        <w:pStyle w:val="EmphasisPanelBullet"/>
        <w:jc w:val="both"/>
      </w:pPr>
      <w:r w:rsidRPr="009D0A4A">
        <w:t>The results of air monitoring (117 samples) indicate</w:t>
      </w:r>
      <w:r w:rsidR="000F711F" w:rsidRPr="009D0A4A">
        <w:t>d</w:t>
      </w:r>
      <w:r w:rsidRPr="009D0A4A">
        <w:t xml:space="preserve"> that the current work practices of fabricating engineered stone benchtops generate elevated levels of silica dust in the workplace, i.e. </w:t>
      </w:r>
      <w:r w:rsidR="00FD738B" w:rsidRPr="009D0A4A">
        <w:t xml:space="preserve">current </w:t>
      </w:r>
      <w:r w:rsidRPr="009D0A4A">
        <w:t>workplace engineering and process controls are not sufficiently effective. This presents a significant risk to worker health and places reliance on correct and consistent use of respiratory protective equipment</w:t>
      </w:r>
      <w:r w:rsidR="00FD738B" w:rsidRPr="009D0A4A">
        <w:t xml:space="preserve"> to manage remaining risks</w:t>
      </w:r>
      <w:r w:rsidRPr="009D0A4A">
        <w:t>.</w:t>
      </w:r>
    </w:p>
    <w:p w14:paraId="39EE37E4" w14:textId="78E8F381" w:rsidR="0063713B" w:rsidRPr="009D0A4A" w:rsidRDefault="0063713B" w:rsidP="007306C8">
      <w:pPr>
        <w:pStyle w:val="EmphasisPanelBullet"/>
        <w:jc w:val="both"/>
      </w:pPr>
      <w:r w:rsidRPr="009D0A4A">
        <w:t>Generally, stonemasons in fabrication workshops recorded higher silica dust exposure than benchtop installers.</w:t>
      </w:r>
    </w:p>
    <w:p w14:paraId="3D212B52" w14:textId="25C2AA52" w:rsidR="008D6993" w:rsidRPr="009D0A4A" w:rsidRDefault="00D9706A" w:rsidP="00FE17BF">
      <w:pPr>
        <w:pStyle w:val="Heading3"/>
      </w:pPr>
      <w:r w:rsidRPr="009D0A4A">
        <w:t xml:space="preserve">The model WHS laws may be </w:t>
      </w:r>
      <w:r w:rsidR="008D6993" w:rsidRPr="009D0A4A">
        <w:t xml:space="preserve">insufficient to </w:t>
      </w:r>
      <w:r w:rsidR="00A42628" w:rsidRPr="009D0A4A">
        <w:t>manage exposure</w:t>
      </w:r>
      <w:r w:rsidR="008D6993" w:rsidRPr="009D0A4A">
        <w:t xml:space="preserve"> to silica dust</w:t>
      </w:r>
    </w:p>
    <w:p w14:paraId="3F69222F" w14:textId="21A4A2EC" w:rsidR="008D6993" w:rsidRPr="009D0A4A" w:rsidRDefault="008D6993" w:rsidP="00FA48E5">
      <w:pPr>
        <w:pStyle w:val="BodyText"/>
        <w:jc w:val="both"/>
      </w:pPr>
      <w:r w:rsidRPr="009D0A4A">
        <w:t>There are general duties under the model WHS laws for duty holders to manage health and safety risks by eliminating or minimising those risks so far as is reasonably practicable.</w:t>
      </w:r>
      <w:r w:rsidR="006235CA" w:rsidRPr="009D0A4A">
        <w:t xml:space="preserve"> </w:t>
      </w:r>
      <w:r w:rsidR="005A5B2D" w:rsidRPr="009D0A4A">
        <w:t>However, s</w:t>
      </w:r>
      <w:r w:rsidR="006235CA" w:rsidRPr="009D0A4A">
        <w:t>ome s</w:t>
      </w:r>
      <w:r w:rsidRPr="009D0A4A">
        <w:t xml:space="preserve">takeholders have indicated that </w:t>
      </w:r>
      <w:r w:rsidR="005006DA" w:rsidRPr="009D0A4A">
        <w:t xml:space="preserve">the general duties are insufficient and </w:t>
      </w:r>
      <w:r w:rsidRPr="009D0A4A">
        <w:t xml:space="preserve">targeted regulation of work involving materials containing crystalline silica is required to address the problem. </w:t>
      </w:r>
      <w:r w:rsidR="000F79AD" w:rsidRPr="009D0A4A">
        <w:t>For instance, the Australian Council of Trade Unions has called for specific regulation of RCS exposure, in a similar manner to lead, as has been implemented in the Victorian Occupational Health and Safety Regulations 2021</w:t>
      </w:r>
      <w:r w:rsidR="00BC70A2" w:rsidRPr="009D0A4A">
        <w:t xml:space="preserve"> </w:t>
      </w:r>
      <w:r w:rsidR="00BC70A2" w:rsidRPr="009D0A4A">
        <w:fldChar w:fldCharType="begin"/>
      </w:r>
      <w:r w:rsidR="004067E3">
        <w:instrText xml:space="preserve"> ADDIN ZOTERO_ITEM CSL_CITATION {"citationID":"r0ol6QA9","properties":{"formattedCitation":"(Australian Council of Trade Unions 2021)","plainCitation":"(Australian Council of Trade Unions 2021)","noteIndex":0},"citationItems":[{"id":892,"uris":["http://zotero.org/users/6230888/items/BMM4JWXQ"],"itemData":{"id":892,"type":"webpage","abstract":"Safe Work Australia will meet on Thursday to decide whether to expand regulations protecting workers from dust diseases like silicosis beyond those working directly with engineered stone which is used in the manufacture of benchtops. It is essential that Safe Work Australia ensures that all workers are protected from deadly dust diseases.","language":"en","title":"We must not leave workers behind on dust disease prevention","URL":"https://www.actu.org.au/actu-media/media-releases/2021/we-must-not-leave-workers-behind-on-dust-disease-prevention","author":[{"literal":"Australian Council of Trade Unions"}],"accessed":{"date-parts":[["2022",6,30]]},"issued":{"date-parts":[["2021"]]}}}],"schema":"https://github.com/citation-style-language/schema/raw/master/csl-citation.json"} </w:instrText>
      </w:r>
      <w:r w:rsidR="00BC70A2" w:rsidRPr="009D0A4A">
        <w:fldChar w:fldCharType="separate"/>
      </w:r>
      <w:r w:rsidR="006B4A7D" w:rsidRPr="009D0A4A">
        <w:rPr>
          <w:rFonts w:ascii="Calibri" w:hAnsi="Calibri" w:cs="Calibri"/>
        </w:rPr>
        <w:t>(Australian Council of Trade Unions 2021)</w:t>
      </w:r>
      <w:r w:rsidR="00BC70A2" w:rsidRPr="009D0A4A">
        <w:fldChar w:fldCharType="end"/>
      </w:r>
      <w:r w:rsidR="000F79AD" w:rsidRPr="009D0A4A">
        <w:t>.</w:t>
      </w:r>
    </w:p>
    <w:p w14:paraId="24837E6B" w14:textId="61D7F80F" w:rsidR="00A41427" w:rsidRPr="009D0A4A" w:rsidRDefault="003A565B" w:rsidP="00FA48E5">
      <w:pPr>
        <w:pStyle w:val="BodyText"/>
        <w:jc w:val="both"/>
      </w:pPr>
      <w:r w:rsidRPr="009D0A4A">
        <w:t>T</w:t>
      </w:r>
      <w:r w:rsidR="000479D4" w:rsidRPr="009D0A4A">
        <w:t xml:space="preserve">he National Dust Disease Taskforce </w:t>
      </w:r>
      <w:r w:rsidR="00A41427" w:rsidRPr="009D0A4A">
        <w:t>considered a licensing scheme for PCBUs working with engineered stone would improve compliance in that sector by “… restricting access to the product to those businesses able to demonstrate that they can eliminate or minimise risks associated with engineered stone</w:t>
      </w:r>
      <w:r w:rsidR="00BC70A2" w:rsidRPr="009D0A4A">
        <w:t xml:space="preserve">” </w:t>
      </w:r>
      <w:r w:rsidR="00BC70A2" w:rsidRPr="009D0A4A">
        <w:fldChar w:fldCharType="begin"/>
      </w:r>
      <w:r w:rsidR="004067E3">
        <w:instrText xml:space="preserve"> ADDIN ZOTERO_ITEM CSL_CITATION {"citationID":"g3Efz2m9","properties":{"formattedCitation":"(Australian Government 2022)","plainCitation":"(Australian Government 2022)","noteIndex":0},"citationItems":[{"id":881,"uris":["http://zotero.org/users/6230888/items/MBL8JFFI"],"itemData":{"id":881,"type":"report","page":"64","title":"All of governments’ response to the National Dust Disease Taskforce Final Report","URL":"https://www1.health.gov.au/internet/main/publishing.nsf/Content/45748C2442F5BA74CA2587E4000F8600/$File/All-Govt-Response-Final-Report-Dust-Disease-Taskforce.pdf","author":[{"literal":"Australian Government"}],"accessed":{"date-parts":[["2022",6,30]]},"issued":{"date-parts":[["2022"]]}}}],"schema":"https://github.com/citation-style-language/schema/raw/master/csl-citation.json"} </w:instrText>
      </w:r>
      <w:r w:rsidR="00BC70A2" w:rsidRPr="009D0A4A">
        <w:fldChar w:fldCharType="separate"/>
      </w:r>
      <w:r w:rsidR="006B4A7D" w:rsidRPr="009D0A4A">
        <w:rPr>
          <w:rFonts w:ascii="Calibri" w:hAnsi="Calibri" w:cs="Calibri"/>
        </w:rPr>
        <w:t>(Australian Government 2022)</w:t>
      </w:r>
      <w:r w:rsidR="00BC70A2" w:rsidRPr="009D0A4A">
        <w:fldChar w:fldCharType="end"/>
      </w:r>
      <w:r w:rsidR="00A41427" w:rsidRPr="009D0A4A">
        <w:t>.</w:t>
      </w:r>
    </w:p>
    <w:p w14:paraId="3C179FAE" w14:textId="449816F0" w:rsidR="002A2A5C" w:rsidRPr="009D0A4A" w:rsidRDefault="00AD51E7" w:rsidP="00FE17BF">
      <w:pPr>
        <w:pStyle w:val="Heading3"/>
      </w:pPr>
      <w:r w:rsidRPr="009D0A4A">
        <w:t xml:space="preserve">Regulators </w:t>
      </w:r>
      <w:r w:rsidR="00C13621" w:rsidRPr="009D0A4A">
        <w:t>may be</w:t>
      </w:r>
      <w:r w:rsidRPr="009D0A4A">
        <w:t xml:space="preserve"> unable to</w:t>
      </w:r>
      <w:r w:rsidR="009B3FE9" w:rsidRPr="009D0A4A">
        <w:t xml:space="preserve"> adequately </w:t>
      </w:r>
      <w:r w:rsidR="00FD738B" w:rsidRPr="009D0A4A">
        <w:t xml:space="preserve">ensure compliance </w:t>
      </w:r>
      <w:r w:rsidR="00335972" w:rsidRPr="009D0A4A">
        <w:t xml:space="preserve">with the model </w:t>
      </w:r>
      <w:r w:rsidR="00C13621" w:rsidRPr="009D0A4A">
        <w:t>WHS</w:t>
      </w:r>
      <w:r w:rsidR="00846EFE" w:rsidRPr="009D0A4A">
        <w:t xml:space="preserve"> </w:t>
      </w:r>
      <w:r w:rsidR="00335972" w:rsidRPr="009D0A4A">
        <w:t>laws</w:t>
      </w:r>
    </w:p>
    <w:p w14:paraId="7EF37B53" w14:textId="3B43D701" w:rsidR="402C01A9" w:rsidRPr="009D0A4A" w:rsidRDefault="000479D4" w:rsidP="007306C8">
      <w:pPr>
        <w:pStyle w:val="BodyText"/>
        <w:jc w:val="both"/>
      </w:pPr>
      <w:r w:rsidRPr="009D0A4A">
        <w:t xml:space="preserve">In the preliminary consultations for this CRIS, some </w:t>
      </w:r>
      <w:r w:rsidR="00B35A53" w:rsidRPr="009D0A4A">
        <w:t xml:space="preserve">stakeholders have </w:t>
      </w:r>
      <w:r w:rsidR="00BB021E" w:rsidRPr="009D0A4A">
        <w:t xml:space="preserve">expressed </w:t>
      </w:r>
      <w:r w:rsidR="00B35A53" w:rsidRPr="009D0A4A">
        <w:t xml:space="preserve">that the current regulations are appropriate to deal with the problem, but greater effort is required to </w:t>
      </w:r>
      <w:r w:rsidR="00DD0AC0" w:rsidRPr="009D0A4A">
        <w:t xml:space="preserve">ensure compliance with the </w:t>
      </w:r>
      <w:r w:rsidR="002C28F4" w:rsidRPr="009D0A4A">
        <w:t>WHS</w:t>
      </w:r>
      <w:r w:rsidR="00B35A53" w:rsidRPr="009D0A4A">
        <w:t xml:space="preserve"> </w:t>
      </w:r>
      <w:r w:rsidR="00DD0AC0" w:rsidRPr="009D0A4A">
        <w:t>laws</w:t>
      </w:r>
      <w:r w:rsidR="00B35A53" w:rsidRPr="009D0A4A">
        <w:t>.</w:t>
      </w:r>
      <w:r w:rsidR="003F4412" w:rsidRPr="009D0A4A">
        <w:t xml:space="preserve"> </w:t>
      </w:r>
      <w:r w:rsidR="00076CA2" w:rsidRPr="009D0A4A">
        <w:t>Government</w:t>
      </w:r>
      <w:r w:rsidR="1379D4E1" w:rsidRPr="009D0A4A">
        <w:t xml:space="preserve"> and industry stakeholders indicated that there are differing levels of capability, resources and enforcement activity amongst jurisdictions. </w:t>
      </w:r>
      <w:r w:rsidR="37F81883" w:rsidRPr="009D0A4A">
        <w:t>S</w:t>
      </w:r>
      <w:r w:rsidRPr="009D0A4A">
        <w:t>ome s</w:t>
      </w:r>
      <w:r w:rsidR="37F81883" w:rsidRPr="009D0A4A">
        <w:t>takeholders also noted that a lack of in-house knowledge of relevant industries may hinder the ability</w:t>
      </w:r>
      <w:r w:rsidR="00F2771B" w:rsidRPr="009D0A4A">
        <w:t xml:space="preserve"> of regulators</w:t>
      </w:r>
      <w:r w:rsidR="37F81883" w:rsidRPr="009D0A4A">
        <w:t xml:space="preserve"> to </w:t>
      </w:r>
      <w:r w:rsidR="00F2771B" w:rsidRPr="009D0A4A">
        <w:t xml:space="preserve">determine compliance </w:t>
      </w:r>
      <w:r w:rsidR="00E752D5" w:rsidRPr="009D0A4A">
        <w:t>with the model</w:t>
      </w:r>
      <w:r w:rsidR="37F81883" w:rsidRPr="009D0A4A">
        <w:t xml:space="preserve"> WHS laws. </w:t>
      </w:r>
      <w:r w:rsidR="1379D4E1" w:rsidRPr="009D0A4A">
        <w:t xml:space="preserve">This indicates that the problem of </w:t>
      </w:r>
      <w:r w:rsidR="00335972" w:rsidRPr="009D0A4A">
        <w:t xml:space="preserve">compliance </w:t>
      </w:r>
      <w:r w:rsidR="1379D4E1" w:rsidRPr="009D0A4A">
        <w:t xml:space="preserve">exists to varying degrees across jurisdictions, and successful prosecutions in some jurisdictions do not necessarily indicate that enforcement has been adequate across all jurisdictions. </w:t>
      </w:r>
    </w:p>
    <w:p w14:paraId="2942F8B8" w14:textId="3000922A" w:rsidR="00721636" w:rsidRPr="009D0A4A" w:rsidRDefault="00721636" w:rsidP="003801F8">
      <w:pPr>
        <w:pStyle w:val="Heading2"/>
      </w:pPr>
      <w:bookmarkStart w:id="572" w:name="_Toc107395311"/>
      <w:r w:rsidRPr="009D0A4A">
        <w:t>Consultation questions</w:t>
      </w:r>
      <w:bookmarkEnd w:id="572"/>
    </w:p>
    <w:p w14:paraId="70E0C4FC" w14:textId="03C470A8" w:rsidR="00721636" w:rsidRPr="009D0A4A" w:rsidRDefault="00721636" w:rsidP="00721636">
      <w:pPr>
        <w:pStyle w:val="BodyText"/>
      </w:pPr>
      <w:r w:rsidRPr="009D0A4A">
        <w:t>Safe Work Australia is seeking feedback on the following consultation questions related to the problem statement:</w:t>
      </w:r>
    </w:p>
    <w:p w14:paraId="4A90DD52" w14:textId="10E3C9E2" w:rsidR="00721636" w:rsidRDefault="00721636" w:rsidP="00721636">
      <w:pPr>
        <w:pStyle w:val="BodyText"/>
      </w:pPr>
      <w:r w:rsidRPr="009D0A4A">
        <w:t>2.1 Do you agree with the identified problem? Has the entirety of the problem been identified? Please provide evidence to support your position.</w:t>
      </w:r>
    </w:p>
    <w:p w14:paraId="0DC4AB56" w14:textId="04A46EA4" w:rsidR="007A241C" w:rsidRPr="009D0A4A" w:rsidRDefault="007A241C" w:rsidP="00721636">
      <w:pPr>
        <w:pStyle w:val="BodyText"/>
      </w:pPr>
      <w:bookmarkStart w:id="573" w:name="_Hlk107387353"/>
      <w:r>
        <w:t xml:space="preserve">2.2 </w:t>
      </w:r>
      <w:r w:rsidRPr="007A241C">
        <w:t>Do you have further information, analysis or data that will help measure the impact of the problem identified?</w:t>
      </w:r>
    </w:p>
    <w:p w14:paraId="73C04C64" w14:textId="7976EEF9" w:rsidR="00C40E1E" w:rsidRPr="009D0A4A" w:rsidRDefault="00C40E1E" w:rsidP="007A241C">
      <w:pPr>
        <w:pStyle w:val="Heading1"/>
      </w:pPr>
      <w:bookmarkStart w:id="574" w:name="_Toc107395312"/>
      <w:bookmarkEnd w:id="573"/>
      <w:r w:rsidRPr="009D0A4A">
        <w:lastRenderedPageBreak/>
        <w:t xml:space="preserve">Why is Government action </w:t>
      </w:r>
      <w:r w:rsidRPr="007A241C">
        <w:t>needed</w:t>
      </w:r>
      <w:r w:rsidRPr="009D0A4A">
        <w:t>?</w:t>
      </w:r>
      <w:bookmarkEnd w:id="574"/>
    </w:p>
    <w:p w14:paraId="4D7ADBBF" w14:textId="47BD5B78" w:rsidR="009A09CF" w:rsidRPr="009D0A4A" w:rsidRDefault="009A09CF" w:rsidP="003801F8">
      <w:pPr>
        <w:pStyle w:val="Heading2"/>
      </w:pPr>
      <w:bookmarkStart w:id="575" w:name="_Toc92873054"/>
      <w:bookmarkStart w:id="576" w:name="_Toc92873127"/>
      <w:bookmarkStart w:id="577" w:name="_Toc106613227"/>
      <w:bookmarkStart w:id="578" w:name="_Toc107395313"/>
      <w:r w:rsidRPr="009D0A4A">
        <w:t>The case for government intervention</w:t>
      </w:r>
      <w:bookmarkEnd w:id="575"/>
      <w:bookmarkEnd w:id="576"/>
      <w:bookmarkEnd w:id="577"/>
      <w:bookmarkEnd w:id="578"/>
    </w:p>
    <w:p w14:paraId="7D4CFBB6" w14:textId="77777777" w:rsidR="009A09CF" w:rsidRPr="009D0A4A" w:rsidRDefault="009A09CF" w:rsidP="009A09CF">
      <w:pPr>
        <w:jc w:val="both"/>
      </w:pPr>
      <w:r w:rsidRPr="009D0A4A">
        <w:t>The primary case for government intervention is that silicosis and silica related diseases pose an unacceptable health risk to workers. There are significant financial and non-financial costs associated with diagnosis of silicosis and other silica related disease, including significant physical and emotional harm, reduced ability to work, reduced quality of life and premature death of workers. There are also significant costs to the public health system, including for health screening, diagnosis, treatment and disease management.</w:t>
      </w:r>
    </w:p>
    <w:p w14:paraId="0D616058" w14:textId="36D43021" w:rsidR="009A09CF" w:rsidRPr="009D0A4A" w:rsidRDefault="009A09CF" w:rsidP="009A09CF">
      <w:pPr>
        <w:jc w:val="both"/>
      </w:pPr>
      <w:r w:rsidRPr="009D0A4A">
        <w:t xml:space="preserve">The recent and significant increase in the number of cases of these preventable diseases and the impacts on workers, their families and communities present an urgent case for government intervention to reduce exposure to RCS </w:t>
      </w:r>
      <w:r w:rsidR="00E752D5" w:rsidRPr="009D0A4A">
        <w:t>at work</w:t>
      </w:r>
      <w:r w:rsidRPr="009D0A4A">
        <w:t xml:space="preserve"> and subsequently reduce the </w:t>
      </w:r>
      <w:r w:rsidR="00397CB8" w:rsidRPr="009D0A4A">
        <w:t>number of cases</w:t>
      </w:r>
      <w:r w:rsidRPr="009D0A4A">
        <w:t xml:space="preserve"> of these diseases. </w:t>
      </w:r>
    </w:p>
    <w:p w14:paraId="6BB9C0BF" w14:textId="77777777" w:rsidR="009A09CF" w:rsidRPr="009D0A4A" w:rsidRDefault="009A09CF" w:rsidP="009A09CF">
      <w:pPr>
        <w:pStyle w:val="Heading3"/>
        <w:jc w:val="both"/>
      </w:pPr>
      <w:bookmarkStart w:id="579" w:name="_Toc92873055"/>
      <w:r w:rsidRPr="009D0A4A">
        <w:t>Alternatives to government action</w:t>
      </w:r>
      <w:bookmarkEnd w:id="579"/>
    </w:p>
    <w:p w14:paraId="502442BE" w14:textId="120A92D1" w:rsidR="009A09CF" w:rsidRPr="009D0A4A" w:rsidRDefault="009A09CF" w:rsidP="009A09CF">
      <w:pPr>
        <w:jc w:val="both"/>
      </w:pPr>
      <w:r w:rsidRPr="009D0A4A">
        <w:t>A range of non-government stakeholders</w:t>
      </w:r>
      <w:r w:rsidR="008C381C" w:rsidRPr="009D0A4A">
        <w:t>,</w:t>
      </w:r>
      <w:r w:rsidRPr="009D0A4A">
        <w:t xml:space="preserve"> including trade unions and peak health bodies</w:t>
      </w:r>
      <w:r w:rsidR="008C381C" w:rsidRPr="009D0A4A">
        <w:t>,</w:t>
      </w:r>
      <w:r w:rsidRPr="009D0A4A">
        <w:t xml:space="preserve"> have undertaken activities and initiatives in recent years to raise awareness of the risks of exposure to RCS, particularly in the engineered stone sector. These stakeholders may continue and even enhance these activities. However, they are unlikely </w:t>
      </w:r>
      <w:r w:rsidR="00A710A9" w:rsidRPr="009D0A4A">
        <w:t xml:space="preserve">on their own </w:t>
      </w:r>
      <w:r w:rsidRPr="009D0A4A">
        <w:t xml:space="preserve">to result in the level of prevention of silicosis and silica related diseases that is needed. </w:t>
      </w:r>
    </w:p>
    <w:p w14:paraId="1A214778" w14:textId="77777777" w:rsidR="009A09CF" w:rsidRPr="009D0A4A" w:rsidRDefault="009A09CF" w:rsidP="000C20A5">
      <w:pPr>
        <w:jc w:val="both"/>
      </w:pPr>
      <w:r w:rsidRPr="009D0A4A">
        <w:t>There is a diverse range of markets where workers are exposed to RCS. To have viable alternatives to government action, these markets would need to either adopt substitute products, develop new approaches to eliminate or minimise the risks, or incentivise a broad range of businesses to self-regulate. Given the range of industries utilising silica-containing materials, the large numbers of workers estimated to be exposed, and the broad range of silica-containing materials (including manufactured and natural materials), this is unlikely to occur in the short or medium term.</w:t>
      </w:r>
    </w:p>
    <w:p w14:paraId="09BF9546" w14:textId="6895A3D7" w:rsidR="009A09CF" w:rsidRPr="009D0A4A" w:rsidRDefault="009A09CF" w:rsidP="003801F8">
      <w:pPr>
        <w:pStyle w:val="Heading2"/>
      </w:pPr>
      <w:bookmarkStart w:id="580" w:name="_Toc92873056"/>
      <w:bookmarkStart w:id="581" w:name="_Toc92873128"/>
      <w:bookmarkStart w:id="582" w:name="_Toc106613228"/>
      <w:bookmarkStart w:id="583" w:name="_Toc107395314"/>
      <w:r w:rsidRPr="009D0A4A">
        <w:t>Objectives of government intervention</w:t>
      </w:r>
      <w:bookmarkEnd w:id="580"/>
      <w:bookmarkEnd w:id="581"/>
      <w:bookmarkEnd w:id="582"/>
      <w:bookmarkEnd w:id="583"/>
    </w:p>
    <w:p w14:paraId="15CE4745" w14:textId="5CD90BF5" w:rsidR="009A09CF" w:rsidRPr="009D0A4A" w:rsidRDefault="009A09CF" w:rsidP="009A09CF">
      <w:pPr>
        <w:pStyle w:val="BodyText"/>
        <w:jc w:val="both"/>
      </w:pPr>
      <w:r w:rsidRPr="009D0A4A">
        <w:t xml:space="preserve">The primary objective of government intervention is </w:t>
      </w:r>
      <w:r w:rsidR="00873990">
        <w:t xml:space="preserve">to </w:t>
      </w:r>
      <w:r w:rsidR="00D02902" w:rsidRPr="009D0A4A">
        <w:t xml:space="preserve">reduce workplace </w:t>
      </w:r>
      <w:r w:rsidRPr="009D0A4A">
        <w:t xml:space="preserve">exposure to RCS and the </w:t>
      </w:r>
      <w:r w:rsidR="00397CB8" w:rsidRPr="009D0A4A">
        <w:t>number</w:t>
      </w:r>
      <w:r w:rsidRPr="009D0A4A">
        <w:t xml:space="preserve"> of </w:t>
      </w:r>
      <w:r w:rsidR="00397CB8" w:rsidRPr="009D0A4A">
        <w:t>cases of</w:t>
      </w:r>
      <w:r w:rsidRPr="009D0A4A">
        <w:t xml:space="preserve"> silicosis and silica related diseases, and premature invalidity or death of workers. </w:t>
      </w:r>
    </w:p>
    <w:p w14:paraId="2590D552" w14:textId="70222FED" w:rsidR="009A09CF" w:rsidRPr="009D0A4A" w:rsidRDefault="009A09CF" w:rsidP="003801F8">
      <w:pPr>
        <w:pStyle w:val="Heading2"/>
      </w:pPr>
      <w:bookmarkStart w:id="584" w:name="_Toc106613229"/>
      <w:bookmarkStart w:id="585" w:name="_Toc107395315"/>
      <w:r w:rsidRPr="009D0A4A">
        <w:t>Consultation questions</w:t>
      </w:r>
      <w:bookmarkEnd w:id="584"/>
      <w:bookmarkEnd w:id="585"/>
    </w:p>
    <w:p w14:paraId="4054678E" w14:textId="77777777" w:rsidR="009A09CF" w:rsidRPr="009D0A4A" w:rsidRDefault="009A09CF" w:rsidP="009A09CF">
      <w:pPr>
        <w:pStyle w:val="BodyText"/>
      </w:pPr>
      <w:r w:rsidRPr="009D0A4A">
        <w:t>Safe Work Australia is seeking feedback on the following questions related to the justification for government action:</w:t>
      </w:r>
    </w:p>
    <w:p w14:paraId="01159858" w14:textId="77777777" w:rsidR="009A09CF" w:rsidRPr="009D0A4A" w:rsidRDefault="009A09CF" w:rsidP="009A09CF">
      <w:pPr>
        <w:pStyle w:val="BodyText"/>
      </w:pPr>
      <w:bookmarkStart w:id="586" w:name="_Hlk107387313"/>
      <w:r w:rsidRPr="009D0A4A">
        <w:t>3.1 Do you agree with the case for government intervention? Please provide evidence to support your position.</w:t>
      </w:r>
    </w:p>
    <w:p w14:paraId="34820EB5" w14:textId="70C8CC59" w:rsidR="009A09CF" w:rsidRPr="009D0A4A" w:rsidRDefault="009A09CF" w:rsidP="009A09CF">
      <w:pPr>
        <w:pStyle w:val="BodyText"/>
      </w:pPr>
      <w:r w:rsidRPr="009D0A4A">
        <w:t>3.2 Do you agree with the objectives of government intervention? Please provide evidence to support your position.</w:t>
      </w:r>
    </w:p>
    <w:bookmarkEnd w:id="586"/>
    <w:p w14:paraId="786A58FE" w14:textId="46E37744" w:rsidR="00DF79DA" w:rsidRPr="009D0A4A" w:rsidRDefault="00DF79DA" w:rsidP="006D603A">
      <w:pPr>
        <w:pStyle w:val="BodyText"/>
        <w:jc w:val="both"/>
      </w:pPr>
    </w:p>
    <w:p w14:paraId="1B99CE0D" w14:textId="335AEEF4" w:rsidR="008E698E" w:rsidRPr="009D0A4A" w:rsidRDefault="008E698E" w:rsidP="00041D73">
      <w:pPr>
        <w:pStyle w:val="Heading1"/>
      </w:pPr>
      <w:bookmarkStart w:id="587" w:name="_Toc92958863"/>
      <w:bookmarkStart w:id="588" w:name="_Toc107395316"/>
      <w:r w:rsidRPr="009D0A4A">
        <w:lastRenderedPageBreak/>
        <w:t xml:space="preserve">What policy options are </w:t>
      </w:r>
      <w:r w:rsidR="008314B7" w:rsidRPr="009D0A4A">
        <w:t>being considered</w:t>
      </w:r>
      <w:r w:rsidRPr="009D0A4A">
        <w:t>?</w:t>
      </w:r>
      <w:bookmarkEnd w:id="587"/>
      <w:bookmarkEnd w:id="588"/>
    </w:p>
    <w:p w14:paraId="76828A35" w14:textId="3EE403C0" w:rsidR="008E698E" w:rsidRPr="009D0A4A" w:rsidRDefault="008E698E" w:rsidP="003801F8">
      <w:pPr>
        <w:pStyle w:val="Heading2"/>
      </w:pPr>
      <w:bookmarkStart w:id="589" w:name="_Toc92958864"/>
      <w:bookmarkStart w:id="590" w:name="_Toc107395317"/>
      <w:r w:rsidRPr="009D0A4A">
        <w:t>Overview</w:t>
      </w:r>
      <w:bookmarkEnd w:id="589"/>
      <w:bookmarkEnd w:id="590"/>
    </w:p>
    <w:p w14:paraId="27821113" w14:textId="6C713F29" w:rsidR="00EC06FD" w:rsidRPr="009D0A4A" w:rsidRDefault="00EC06FD" w:rsidP="007306C8">
      <w:pPr>
        <w:pStyle w:val="BodyText"/>
        <w:jc w:val="both"/>
      </w:pPr>
      <w:bookmarkStart w:id="591" w:name="_Ref92897966"/>
      <w:r w:rsidRPr="009D0A4A">
        <w:t xml:space="preserve">Five regulatory and non-regulatory options have been developed to reduce workplace exposures to RCS and the </w:t>
      </w:r>
      <w:r w:rsidR="00397CB8" w:rsidRPr="009D0A4A">
        <w:t>number of cases</w:t>
      </w:r>
      <w:r w:rsidRPr="009D0A4A">
        <w:t xml:space="preserve"> of silicosis and </w:t>
      </w:r>
      <w:r w:rsidR="00880680" w:rsidRPr="009D0A4A">
        <w:t>silica related</w:t>
      </w:r>
      <w:r w:rsidRPr="009D0A4A">
        <w:t xml:space="preserve"> diseases (</w:t>
      </w:r>
      <w:r w:rsidR="0047326B" w:rsidRPr="009D0A4A">
        <w:t xml:space="preserve">Table </w:t>
      </w:r>
      <w:r w:rsidR="003F5102" w:rsidRPr="009D0A4A">
        <w:t>9</w:t>
      </w:r>
      <w:r w:rsidRPr="009D0A4A">
        <w:t>). These options are consistent with the Regulatory Impact Analysis Guide for Ministers’ Meetings and National Standard Setting Bodies, which advises that the base case and at least one non-regulatory option should be included</w:t>
      </w:r>
      <w:r w:rsidR="00675685" w:rsidRPr="009D0A4A">
        <w:t xml:space="preserve"> </w:t>
      </w:r>
      <w:r w:rsidR="00675685" w:rsidRPr="009D0A4A">
        <w:fldChar w:fldCharType="begin"/>
      </w:r>
      <w:r w:rsidR="004067E3">
        <w:instrText xml:space="preserve"> ADDIN ZOTERO_ITEM CSL_CITATION {"citationID":"xqccqpz8","properties":{"formattedCitation":"(Department of Prime Minister and Cabinet 2021a)","plainCitation":"(Department of Prime Minister and Cabinet 2021a)","noteIndex":0},"citationItems":[{"id":837,"uris":["http://zotero.org/users/6230888/items/QGN7XAW3"],"itemData":{"id":837,"type":"report","page":"34","title":"Regulatory Impact Analysis Guide for Ministers’ Meetings and National Standard Setting Bodies | OBPR","URL":"https://obpr.pmc.gov.au/resources/guidance-impact-analysis/regulatory-impact-analysis-guide-ministers-meetings-and-national","author":[{"literal":"Department of Prime Minister and Cabinet"}],"accessed":{"date-parts":[["2022",6,24]]},"issued":{"date-parts":[["2021"]]}}}],"schema":"https://github.com/citation-style-language/schema/raw/master/csl-citation.json"} </w:instrText>
      </w:r>
      <w:r w:rsidR="00675685" w:rsidRPr="009D0A4A">
        <w:fldChar w:fldCharType="separate"/>
      </w:r>
      <w:r w:rsidR="00D45D04" w:rsidRPr="009D0A4A">
        <w:rPr>
          <w:rFonts w:ascii="Calibri" w:hAnsi="Calibri" w:cs="Calibri"/>
        </w:rPr>
        <w:t>(Department of Prime Minister and Cabinet 2021a)</w:t>
      </w:r>
      <w:r w:rsidR="00675685" w:rsidRPr="009D0A4A">
        <w:fldChar w:fldCharType="end"/>
      </w:r>
      <w:r w:rsidRPr="009D0A4A">
        <w:t xml:space="preserve">. </w:t>
      </w:r>
    </w:p>
    <w:p w14:paraId="43D5C13F" w14:textId="77560D4B" w:rsidR="00EC06FD" w:rsidRPr="009D0A4A" w:rsidRDefault="007A65F0" w:rsidP="007012B9">
      <w:pPr>
        <w:pStyle w:val="Caption"/>
      </w:pPr>
      <w:bookmarkStart w:id="592" w:name="_Ref102129361"/>
      <w:bookmarkStart w:id="593" w:name="_Ref92897976"/>
      <w:r w:rsidRPr="009D0A4A">
        <w:t>Table</w:t>
      </w:r>
      <w:r w:rsidR="000165C1" w:rsidRPr="009D0A4A">
        <w:t xml:space="preserve"> </w:t>
      </w:r>
      <w:r w:rsidR="003F5102" w:rsidRPr="009D0A4A">
        <w:t>9</w:t>
      </w:r>
      <w:bookmarkEnd w:id="591"/>
      <w:bookmarkEnd w:id="592"/>
      <w:bookmarkEnd w:id="593"/>
      <w:r w:rsidR="00EC06FD" w:rsidRPr="009D0A4A">
        <w:t xml:space="preserve">: </w:t>
      </w:r>
      <w:r w:rsidR="007A493B" w:rsidRPr="009D0A4A">
        <w:t>R</w:t>
      </w:r>
      <w:r w:rsidR="00EC06FD" w:rsidRPr="009D0A4A">
        <w:t>egulatory</w:t>
      </w:r>
      <w:r w:rsidR="007A493B" w:rsidRPr="009D0A4A">
        <w:t xml:space="preserve"> and non-regulatory</w:t>
      </w:r>
      <w:r w:rsidR="00EC06FD" w:rsidRPr="009D0A4A">
        <w:t xml:space="preserve"> options</w:t>
      </w:r>
    </w:p>
    <w:tbl>
      <w:tblPr>
        <w:tblStyle w:val="PMCDefaultTableStyle"/>
        <w:tblW w:w="10206" w:type="dxa"/>
        <w:tblLook w:val="04A0" w:firstRow="1" w:lastRow="0" w:firstColumn="1" w:lastColumn="0" w:noHBand="0" w:noVBand="1"/>
      </w:tblPr>
      <w:tblGrid>
        <w:gridCol w:w="950"/>
        <w:gridCol w:w="2286"/>
        <w:gridCol w:w="1349"/>
        <w:gridCol w:w="5621"/>
      </w:tblGrid>
      <w:tr w:rsidR="00EC06FD" w:rsidRPr="009D0A4A" w14:paraId="4DC814C3" w14:textId="77777777" w:rsidTr="000823EF">
        <w:trPr>
          <w:cnfStyle w:val="100000000000" w:firstRow="1" w:lastRow="0" w:firstColumn="0" w:lastColumn="0" w:oddVBand="0" w:evenVBand="0" w:oddHBand="0" w:evenHBand="0" w:firstRowFirstColumn="0" w:firstRowLastColumn="0" w:lastRowFirstColumn="0" w:lastRowLastColumn="0"/>
        </w:trPr>
        <w:tc>
          <w:tcPr>
            <w:tcW w:w="950" w:type="dxa"/>
            <w:tcBorders>
              <w:top w:val="nil"/>
              <w:left w:val="nil"/>
              <w:bottom w:val="single" w:sz="4" w:space="0" w:color="D1D1D1" w:themeColor="background2"/>
              <w:right w:val="nil"/>
            </w:tcBorders>
            <w:hideMark/>
          </w:tcPr>
          <w:p w14:paraId="7A636254" w14:textId="6932BF26" w:rsidR="00EC06FD" w:rsidRPr="009D0A4A" w:rsidRDefault="003E717F" w:rsidP="00FA48E5">
            <w:pPr>
              <w:pStyle w:val="BodyText"/>
              <w:jc w:val="both"/>
              <w:rPr>
                <w:rFonts w:asciiTheme="minorHAnsi" w:hAnsiTheme="minorHAnsi" w:cstheme="minorHAnsi"/>
                <w:lang w:val="en-US"/>
              </w:rPr>
            </w:pPr>
            <w:r w:rsidRPr="009D0A4A">
              <w:rPr>
                <w:rFonts w:asciiTheme="minorHAnsi" w:hAnsiTheme="minorHAnsi" w:cstheme="minorHAnsi"/>
                <w:lang w:val="en-US"/>
              </w:rPr>
              <w:t>Number</w:t>
            </w:r>
          </w:p>
        </w:tc>
        <w:tc>
          <w:tcPr>
            <w:tcW w:w="2286" w:type="dxa"/>
            <w:tcBorders>
              <w:top w:val="nil"/>
              <w:left w:val="nil"/>
              <w:bottom w:val="single" w:sz="4" w:space="0" w:color="D1D1D1" w:themeColor="background2"/>
              <w:right w:val="nil"/>
            </w:tcBorders>
            <w:hideMark/>
          </w:tcPr>
          <w:p w14:paraId="51C0258E" w14:textId="77777777" w:rsidR="00EC06FD" w:rsidRPr="009D0A4A" w:rsidRDefault="00EC06FD" w:rsidP="00FA48E5">
            <w:pPr>
              <w:pStyle w:val="BodyText"/>
              <w:jc w:val="both"/>
              <w:rPr>
                <w:rFonts w:asciiTheme="minorHAnsi" w:hAnsiTheme="minorHAnsi" w:cstheme="minorHAnsi"/>
                <w:lang w:val="en-US"/>
              </w:rPr>
            </w:pPr>
            <w:r w:rsidRPr="009D0A4A">
              <w:rPr>
                <w:rFonts w:asciiTheme="minorHAnsi" w:hAnsiTheme="minorHAnsi" w:cstheme="minorHAnsi"/>
                <w:lang w:val="en-US"/>
              </w:rPr>
              <w:t>Option</w:t>
            </w:r>
          </w:p>
        </w:tc>
        <w:tc>
          <w:tcPr>
            <w:tcW w:w="1349" w:type="dxa"/>
            <w:tcBorders>
              <w:top w:val="nil"/>
              <w:left w:val="nil"/>
              <w:bottom w:val="single" w:sz="4" w:space="0" w:color="D1D1D1" w:themeColor="background2"/>
              <w:right w:val="nil"/>
            </w:tcBorders>
            <w:hideMark/>
          </w:tcPr>
          <w:p w14:paraId="536D87EF" w14:textId="77777777" w:rsidR="00EC06FD" w:rsidRPr="009D0A4A" w:rsidRDefault="00EC06FD" w:rsidP="00FA48E5">
            <w:pPr>
              <w:pStyle w:val="BodyText"/>
              <w:jc w:val="both"/>
              <w:rPr>
                <w:rFonts w:asciiTheme="minorHAnsi" w:hAnsiTheme="minorHAnsi" w:cstheme="minorHAnsi"/>
                <w:lang w:val="en-US"/>
              </w:rPr>
            </w:pPr>
            <w:r w:rsidRPr="009D0A4A">
              <w:rPr>
                <w:rFonts w:asciiTheme="minorHAnsi" w:hAnsiTheme="minorHAnsi" w:cstheme="minorHAnsi"/>
                <w:lang w:val="en-US"/>
              </w:rPr>
              <w:t>Option type</w:t>
            </w:r>
          </w:p>
        </w:tc>
        <w:tc>
          <w:tcPr>
            <w:tcW w:w="5621" w:type="dxa"/>
            <w:tcBorders>
              <w:top w:val="nil"/>
              <w:left w:val="nil"/>
              <w:bottom w:val="single" w:sz="4" w:space="0" w:color="D1D1D1" w:themeColor="background2"/>
              <w:right w:val="nil"/>
            </w:tcBorders>
            <w:hideMark/>
          </w:tcPr>
          <w:p w14:paraId="2C04C360" w14:textId="77777777" w:rsidR="00EC06FD" w:rsidRPr="009D0A4A" w:rsidRDefault="00EC06FD" w:rsidP="00FA48E5">
            <w:pPr>
              <w:pStyle w:val="BodyText"/>
              <w:jc w:val="both"/>
              <w:rPr>
                <w:rFonts w:asciiTheme="minorHAnsi" w:hAnsiTheme="minorHAnsi" w:cstheme="minorHAnsi"/>
                <w:lang w:val="en-US"/>
              </w:rPr>
            </w:pPr>
            <w:r w:rsidRPr="009D0A4A">
              <w:rPr>
                <w:rFonts w:asciiTheme="minorHAnsi" w:hAnsiTheme="minorHAnsi" w:cstheme="minorHAnsi"/>
                <w:lang w:val="en-US"/>
              </w:rPr>
              <w:t>Description</w:t>
            </w:r>
          </w:p>
        </w:tc>
      </w:tr>
      <w:tr w:rsidR="00EC06FD" w:rsidRPr="009D0A4A" w14:paraId="7E23FB35" w14:textId="77777777" w:rsidTr="000823EF">
        <w:trPr>
          <w:cnfStyle w:val="000000100000" w:firstRow="0" w:lastRow="0" w:firstColumn="0" w:lastColumn="0" w:oddVBand="0" w:evenVBand="0" w:oddHBand="1" w:evenHBand="0" w:firstRowFirstColumn="0" w:firstRowLastColumn="0" w:lastRowFirstColumn="0" w:lastRowLastColumn="0"/>
        </w:trPr>
        <w:tc>
          <w:tcPr>
            <w:tcW w:w="950" w:type="dxa"/>
            <w:tcBorders>
              <w:top w:val="single" w:sz="4" w:space="0" w:color="D1D1D1" w:themeColor="background2"/>
              <w:left w:val="nil"/>
              <w:bottom w:val="single" w:sz="4" w:space="0" w:color="D1D1D1" w:themeColor="background2"/>
              <w:right w:val="nil"/>
            </w:tcBorders>
          </w:tcPr>
          <w:p w14:paraId="0FD16358" w14:textId="77777777" w:rsidR="00EC06FD" w:rsidRPr="009D0A4A" w:rsidRDefault="00EC06FD" w:rsidP="007306C8">
            <w:pPr>
              <w:pStyle w:val="BodyText"/>
              <w:jc w:val="both"/>
              <w:rPr>
                <w:rFonts w:cstheme="minorHAnsi"/>
                <w:lang w:val="en-US"/>
              </w:rPr>
            </w:pPr>
            <w:r w:rsidRPr="009D0A4A">
              <w:rPr>
                <w:rFonts w:cstheme="minorHAnsi"/>
                <w:lang w:val="en-US"/>
              </w:rPr>
              <w:t>1</w:t>
            </w:r>
          </w:p>
          <w:p w14:paraId="6EDCED06" w14:textId="77777777" w:rsidR="00EC06FD" w:rsidRPr="009D0A4A" w:rsidRDefault="00EC06FD" w:rsidP="007306C8">
            <w:pPr>
              <w:pStyle w:val="BodyText"/>
              <w:jc w:val="both"/>
              <w:rPr>
                <w:rFonts w:cstheme="minorHAnsi"/>
                <w:lang w:val="en-US"/>
              </w:rPr>
            </w:pPr>
          </w:p>
        </w:tc>
        <w:tc>
          <w:tcPr>
            <w:tcW w:w="2286" w:type="dxa"/>
            <w:tcBorders>
              <w:top w:val="single" w:sz="4" w:space="0" w:color="D1D1D1" w:themeColor="background2"/>
              <w:left w:val="nil"/>
              <w:bottom w:val="single" w:sz="4" w:space="0" w:color="D1D1D1" w:themeColor="background2"/>
              <w:right w:val="nil"/>
            </w:tcBorders>
            <w:hideMark/>
          </w:tcPr>
          <w:p w14:paraId="2C7DF904" w14:textId="77777777" w:rsidR="00EC06FD" w:rsidRPr="009D0A4A" w:rsidRDefault="00EC06FD" w:rsidP="007012B9">
            <w:pPr>
              <w:pStyle w:val="BodyText"/>
              <w:rPr>
                <w:rFonts w:cstheme="minorHAnsi"/>
                <w:lang w:val="en-US"/>
              </w:rPr>
            </w:pPr>
            <w:r w:rsidRPr="009D0A4A">
              <w:rPr>
                <w:rFonts w:cstheme="minorHAnsi"/>
                <w:lang w:val="en-US"/>
              </w:rPr>
              <w:t>Base case</w:t>
            </w:r>
          </w:p>
        </w:tc>
        <w:tc>
          <w:tcPr>
            <w:tcW w:w="1349" w:type="dxa"/>
            <w:tcBorders>
              <w:top w:val="single" w:sz="4" w:space="0" w:color="D1D1D1" w:themeColor="background2"/>
              <w:left w:val="nil"/>
              <w:bottom w:val="single" w:sz="4" w:space="0" w:color="D1D1D1" w:themeColor="background2"/>
              <w:right w:val="nil"/>
            </w:tcBorders>
            <w:hideMark/>
          </w:tcPr>
          <w:p w14:paraId="77C6CF6A" w14:textId="77777777" w:rsidR="00EC06FD" w:rsidRPr="009D0A4A" w:rsidRDefault="00EC06FD" w:rsidP="007012B9">
            <w:pPr>
              <w:pStyle w:val="BodyText"/>
              <w:rPr>
                <w:rFonts w:cstheme="minorHAnsi"/>
                <w:lang w:val="en-US"/>
              </w:rPr>
            </w:pPr>
            <w:r w:rsidRPr="009D0A4A">
              <w:rPr>
                <w:rFonts w:cstheme="minorHAnsi"/>
                <w:lang w:val="en-US"/>
              </w:rPr>
              <w:t>N/A</w:t>
            </w:r>
          </w:p>
        </w:tc>
        <w:tc>
          <w:tcPr>
            <w:tcW w:w="5621" w:type="dxa"/>
            <w:tcBorders>
              <w:top w:val="single" w:sz="4" w:space="0" w:color="D1D1D1" w:themeColor="background2"/>
              <w:left w:val="nil"/>
              <w:bottom w:val="single" w:sz="4" w:space="0" w:color="D1D1D1" w:themeColor="background2"/>
              <w:right w:val="nil"/>
            </w:tcBorders>
            <w:hideMark/>
          </w:tcPr>
          <w:p w14:paraId="211001DB" w14:textId="002DE996" w:rsidR="00EC06FD" w:rsidRPr="009D0A4A" w:rsidRDefault="00EC06FD" w:rsidP="007012B9">
            <w:pPr>
              <w:pStyle w:val="BodyText"/>
              <w:rPr>
                <w:rFonts w:cstheme="minorHAnsi"/>
                <w:lang w:val="en-US"/>
              </w:rPr>
            </w:pPr>
            <w:r w:rsidRPr="009D0A4A">
              <w:rPr>
                <w:rFonts w:cstheme="minorHAnsi"/>
                <w:lang w:val="en-US"/>
              </w:rPr>
              <w:t xml:space="preserve">This option includes the existing requirements of the model WHS laws, as well as several </w:t>
            </w:r>
            <w:r w:rsidR="003F7445" w:rsidRPr="009D0A4A">
              <w:rPr>
                <w:rFonts w:cstheme="minorHAnsi"/>
                <w:lang w:val="en-US"/>
              </w:rPr>
              <w:t xml:space="preserve">national </w:t>
            </w:r>
            <w:r w:rsidRPr="009D0A4A">
              <w:rPr>
                <w:rFonts w:cstheme="minorHAnsi"/>
                <w:lang w:val="en-US"/>
              </w:rPr>
              <w:t>regulatory initiatives that are underway.</w:t>
            </w:r>
          </w:p>
        </w:tc>
      </w:tr>
      <w:tr w:rsidR="00EC06FD" w:rsidRPr="009D0A4A" w14:paraId="7687040B" w14:textId="77777777" w:rsidTr="000823EF">
        <w:trPr>
          <w:cnfStyle w:val="000000010000" w:firstRow="0" w:lastRow="0" w:firstColumn="0" w:lastColumn="0" w:oddVBand="0" w:evenVBand="0" w:oddHBand="0" w:evenHBand="1" w:firstRowFirstColumn="0" w:firstRowLastColumn="0" w:lastRowFirstColumn="0" w:lastRowLastColumn="0"/>
        </w:trPr>
        <w:tc>
          <w:tcPr>
            <w:tcW w:w="950" w:type="dxa"/>
            <w:tcBorders>
              <w:top w:val="single" w:sz="4" w:space="0" w:color="D1D1D1" w:themeColor="background2"/>
              <w:left w:val="nil"/>
              <w:bottom w:val="single" w:sz="4" w:space="0" w:color="D1D1D1" w:themeColor="background2"/>
              <w:right w:val="nil"/>
            </w:tcBorders>
            <w:hideMark/>
          </w:tcPr>
          <w:p w14:paraId="4569197D" w14:textId="77777777" w:rsidR="00EC06FD" w:rsidRPr="009D0A4A" w:rsidRDefault="00EC06FD" w:rsidP="007306C8">
            <w:pPr>
              <w:pStyle w:val="BodyText"/>
              <w:jc w:val="both"/>
              <w:rPr>
                <w:rFonts w:cstheme="minorHAnsi"/>
                <w:lang w:val="en-US"/>
              </w:rPr>
            </w:pPr>
            <w:r w:rsidRPr="009D0A4A">
              <w:rPr>
                <w:rFonts w:cstheme="minorHAnsi"/>
                <w:lang w:val="en-US"/>
              </w:rPr>
              <w:t>2</w:t>
            </w:r>
          </w:p>
        </w:tc>
        <w:tc>
          <w:tcPr>
            <w:tcW w:w="2286" w:type="dxa"/>
            <w:tcBorders>
              <w:top w:val="single" w:sz="4" w:space="0" w:color="D1D1D1" w:themeColor="background2"/>
              <w:left w:val="nil"/>
              <w:bottom w:val="single" w:sz="4" w:space="0" w:color="D1D1D1" w:themeColor="background2"/>
              <w:right w:val="nil"/>
            </w:tcBorders>
            <w:hideMark/>
          </w:tcPr>
          <w:p w14:paraId="6C03A65A" w14:textId="77777777" w:rsidR="00EC06FD" w:rsidRPr="009D0A4A" w:rsidRDefault="00EC06FD" w:rsidP="007012B9">
            <w:pPr>
              <w:pStyle w:val="BodyText"/>
              <w:rPr>
                <w:rFonts w:cstheme="minorHAnsi"/>
                <w:lang w:val="en-US"/>
              </w:rPr>
            </w:pPr>
            <w:r w:rsidRPr="009D0A4A">
              <w:rPr>
                <w:rFonts w:cstheme="minorHAnsi"/>
                <w:lang w:val="en-US"/>
              </w:rPr>
              <w:t>Awareness and behaviour change initiatives</w:t>
            </w:r>
          </w:p>
        </w:tc>
        <w:tc>
          <w:tcPr>
            <w:tcW w:w="1349" w:type="dxa"/>
            <w:tcBorders>
              <w:top w:val="single" w:sz="4" w:space="0" w:color="D1D1D1" w:themeColor="background2"/>
              <w:left w:val="nil"/>
              <w:bottom w:val="single" w:sz="4" w:space="0" w:color="D1D1D1" w:themeColor="background2"/>
              <w:right w:val="nil"/>
            </w:tcBorders>
            <w:hideMark/>
          </w:tcPr>
          <w:p w14:paraId="6311B1A5" w14:textId="77777777" w:rsidR="00EC06FD" w:rsidRPr="009D0A4A" w:rsidRDefault="00EC06FD" w:rsidP="007012B9">
            <w:pPr>
              <w:pStyle w:val="BodyText"/>
              <w:rPr>
                <w:rFonts w:cstheme="minorHAnsi"/>
                <w:lang w:val="en-US"/>
              </w:rPr>
            </w:pPr>
            <w:r w:rsidRPr="009D0A4A">
              <w:rPr>
                <w:rFonts w:cstheme="minorHAnsi"/>
                <w:lang w:val="en-US"/>
              </w:rPr>
              <w:t>Non-regulatory</w:t>
            </w:r>
          </w:p>
        </w:tc>
        <w:tc>
          <w:tcPr>
            <w:tcW w:w="5621" w:type="dxa"/>
            <w:tcBorders>
              <w:top w:val="single" w:sz="4" w:space="0" w:color="D1D1D1" w:themeColor="background2"/>
              <w:left w:val="nil"/>
              <w:bottom w:val="single" w:sz="4" w:space="0" w:color="D1D1D1" w:themeColor="background2"/>
              <w:right w:val="nil"/>
            </w:tcBorders>
            <w:hideMark/>
          </w:tcPr>
          <w:p w14:paraId="38D8F6F6" w14:textId="49ABE0A3" w:rsidR="00EC06FD" w:rsidRPr="009D0A4A" w:rsidRDefault="00EC06FD" w:rsidP="007012B9">
            <w:pPr>
              <w:pStyle w:val="BodyText"/>
              <w:rPr>
                <w:rFonts w:cstheme="minorHAnsi"/>
                <w:lang w:val="en-US"/>
              </w:rPr>
            </w:pPr>
            <w:r w:rsidRPr="009D0A4A">
              <w:rPr>
                <w:rFonts w:cstheme="minorHAnsi"/>
                <w:lang w:val="en-US"/>
              </w:rPr>
              <w:t xml:space="preserve">Awareness and behaviour change initiatives targeted to workers, PCBUs and other duty holders in the construction, manufacturing, demolition tunnelling, </w:t>
            </w:r>
            <w:r w:rsidR="004E3629" w:rsidRPr="009D0A4A">
              <w:rPr>
                <w:rFonts w:cstheme="minorHAnsi"/>
                <w:lang w:val="en-US"/>
              </w:rPr>
              <w:t>quarrying,</w:t>
            </w:r>
            <w:r w:rsidRPr="009D0A4A">
              <w:rPr>
                <w:rFonts w:cstheme="minorHAnsi"/>
                <w:lang w:val="en-US"/>
              </w:rPr>
              <w:t xml:space="preserve"> and mining industries.</w:t>
            </w:r>
          </w:p>
        </w:tc>
      </w:tr>
      <w:tr w:rsidR="00EC06FD" w:rsidRPr="009D0A4A" w14:paraId="6AD5F9B2" w14:textId="77777777" w:rsidTr="000823EF">
        <w:trPr>
          <w:cnfStyle w:val="000000100000" w:firstRow="0" w:lastRow="0" w:firstColumn="0" w:lastColumn="0" w:oddVBand="0" w:evenVBand="0" w:oddHBand="1" w:evenHBand="0" w:firstRowFirstColumn="0" w:firstRowLastColumn="0" w:lastRowFirstColumn="0" w:lastRowLastColumn="0"/>
        </w:trPr>
        <w:tc>
          <w:tcPr>
            <w:tcW w:w="950" w:type="dxa"/>
            <w:tcBorders>
              <w:top w:val="single" w:sz="4" w:space="0" w:color="D1D1D1" w:themeColor="background2"/>
              <w:left w:val="nil"/>
              <w:bottom w:val="single" w:sz="4" w:space="0" w:color="D1D1D1" w:themeColor="background2"/>
              <w:right w:val="nil"/>
            </w:tcBorders>
          </w:tcPr>
          <w:p w14:paraId="34B3218B" w14:textId="77777777" w:rsidR="00EC06FD" w:rsidRPr="009D0A4A" w:rsidRDefault="00EC06FD" w:rsidP="007306C8">
            <w:pPr>
              <w:pStyle w:val="BodyText"/>
              <w:jc w:val="both"/>
              <w:rPr>
                <w:rFonts w:cstheme="minorHAnsi"/>
                <w:lang w:val="en-US"/>
              </w:rPr>
            </w:pPr>
            <w:r w:rsidRPr="009D0A4A">
              <w:rPr>
                <w:rFonts w:cstheme="minorHAnsi"/>
                <w:lang w:val="en-US"/>
              </w:rPr>
              <w:t>3</w:t>
            </w:r>
          </w:p>
        </w:tc>
        <w:tc>
          <w:tcPr>
            <w:tcW w:w="2286" w:type="dxa"/>
            <w:tcBorders>
              <w:top w:val="single" w:sz="4" w:space="0" w:color="D1D1D1" w:themeColor="background2"/>
              <w:left w:val="nil"/>
              <w:bottom w:val="single" w:sz="4" w:space="0" w:color="D1D1D1" w:themeColor="background2"/>
              <w:right w:val="nil"/>
            </w:tcBorders>
          </w:tcPr>
          <w:p w14:paraId="571A9B99" w14:textId="7A5EC58C" w:rsidR="00EC06FD" w:rsidRPr="009D0A4A" w:rsidRDefault="00EC06FD" w:rsidP="007012B9">
            <w:pPr>
              <w:pStyle w:val="BodyText"/>
              <w:rPr>
                <w:rFonts w:cstheme="minorHAnsi"/>
                <w:lang w:val="en-US"/>
              </w:rPr>
            </w:pPr>
            <w:r w:rsidRPr="009D0A4A">
              <w:rPr>
                <w:rFonts w:cstheme="minorHAnsi"/>
                <w:lang w:val="en-US"/>
              </w:rPr>
              <w:t>Clarification of existing requirements in the model WHS Regulations</w:t>
            </w:r>
            <w:r w:rsidR="003F7445" w:rsidRPr="009D0A4A">
              <w:rPr>
                <w:rFonts w:cstheme="minorHAnsi"/>
                <w:lang w:val="en-US"/>
              </w:rPr>
              <w:t xml:space="preserve"> for defined high risk silica processes</w:t>
            </w:r>
          </w:p>
        </w:tc>
        <w:tc>
          <w:tcPr>
            <w:tcW w:w="1349" w:type="dxa"/>
            <w:tcBorders>
              <w:top w:val="single" w:sz="4" w:space="0" w:color="D1D1D1" w:themeColor="background2"/>
              <w:left w:val="nil"/>
              <w:bottom w:val="single" w:sz="4" w:space="0" w:color="D1D1D1" w:themeColor="background2"/>
              <w:right w:val="nil"/>
            </w:tcBorders>
          </w:tcPr>
          <w:p w14:paraId="32D02F13" w14:textId="77777777" w:rsidR="00EC06FD" w:rsidRPr="009D0A4A" w:rsidRDefault="00EC06FD" w:rsidP="007012B9">
            <w:pPr>
              <w:pStyle w:val="BodyText"/>
              <w:rPr>
                <w:rFonts w:cstheme="minorHAnsi"/>
                <w:lang w:val="en-US"/>
              </w:rPr>
            </w:pPr>
            <w:r w:rsidRPr="009D0A4A">
              <w:rPr>
                <w:rFonts w:cstheme="minorHAnsi"/>
                <w:lang w:val="en-US"/>
              </w:rPr>
              <w:t>Regulatory</w:t>
            </w:r>
          </w:p>
        </w:tc>
        <w:tc>
          <w:tcPr>
            <w:tcW w:w="5621" w:type="dxa"/>
            <w:tcBorders>
              <w:top w:val="single" w:sz="4" w:space="0" w:color="D1D1D1" w:themeColor="background2"/>
              <w:left w:val="nil"/>
              <w:bottom w:val="single" w:sz="4" w:space="0" w:color="D1D1D1" w:themeColor="background2"/>
              <w:right w:val="nil"/>
            </w:tcBorders>
          </w:tcPr>
          <w:p w14:paraId="77AAB45B" w14:textId="77777777" w:rsidR="00EC06FD" w:rsidRPr="009D0A4A" w:rsidRDefault="00EC06FD" w:rsidP="007012B9">
            <w:pPr>
              <w:pStyle w:val="BodyText"/>
              <w:rPr>
                <w:rFonts w:cstheme="minorHAnsi"/>
                <w:lang w:val="en-US"/>
              </w:rPr>
            </w:pPr>
            <w:r w:rsidRPr="009D0A4A">
              <w:rPr>
                <w:rFonts w:cstheme="minorHAnsi"/>
                <w:lang w:val="en-US"/>
              </w:rPr>
              <w:t xml:space="preserve">Amendments to the model WHS Regulations to clarify how the existing requirements apply to defined “high risk silica processes”. This would have no additional regulatory burden. </w:t>
            </w:r>
          </w:p>
        </w:tc>
      </w:tr>
      <w:tr w:rsidR="00EC06FD" w:rsidRPr="009D0A4A" w14:paraId="45A652A6" w14:textId="77777777" w:rsidTr="000823EF">
        <w:trPr>
          <w:cnfStyle w:val="000000010000" w:firstRow="0" w:lastRow="0" w:firstColumn="0" w:lastColumn="0" w:oddVBand="0" w:evenVBand="0" w:oddHBand="0" w:evenHBand="1" w:firstRowFirstColumn="0" w:firstRowLastColumn="0" w:lastRowFirstColumn="0" w:lastRowLastColumn="0"/>
        </w:trPr>
        <w:tc>
          <w:tcPr>
            <w:tcW w:w="950" w:type="dxa"/>
            <w:tcBorders>
              <w:top w:val="single" w:sz="4" w:space="0" w:color="D1D1D1" w:themeColor="background2"/>
              <w:left w:val="nil"/>
              <w:bottom w:val="single" w:sz="4" w:space="0" w:color="D1D1D1" w:themeColor="background2"/>
              <w:right w:val="nil"/>
            </w:tcBorders>
          </w:tcPr>
          <w:p w14:paraId="2DD91E92" w14:textId="77777777" w:rsidR="00EC06FD" w:rsidRPr="009D0A4A" w:rsidRDefault="00EC06FD" w:rsidP="007306C8">
            <w:pPr>
              <w:pStyle w:val="BodyText"/>
              <w:jc w:val="both"/>
              <w:rPr>
                <w:rFonts w:cstheme="minorHAnsi"/>
                <w:lang w:val="en-US"/>
              </w:rPr>
            </w:pPr>
            <w:r w:rsidRPr="009D0A4A">
              <w:rPr>
                <w:rFonts w:cstheme="minorHAnsi"/>
                <w:lang w:val="en-US"/>
              </w:rPr>
              <w:t>4</w:t>
            </w:r>
          </w:p>
        </w:tc>
        <w:tc>
          <w:tcPr>
            <w:tcW w:w="2286" w:type="dxa"/>
            <w:tcBorders>
              <w:top w:val="single" w:sz="4" w:space="0" w:color="D1D1D1" w:themeColor="background2"/>
              <w:left w:val="nil"/>
              <w:bottom w:val="single" w:sz="4" w:space="0" w:color="D1D1D1" w:themeColor="background2"/>
              <w:right w:val="nil"/>
            </w:tcBorders>
          </w:tcPr>
          <w:p w14:paraId="7D769915" w14:textId="77777777" w:rsidR="00EC06FD" w:rsidRPr="009D0A4A" w:rsidRDefault="00EC06FD" w:rsidP="007012B9">
            <w:pPr>
              <w:pStyle w:val="BodyText"/>
              <w:rPr>
                <w:rFonts w:cstheme="minorHAnsi"/>
                <w:lang w:val="en-US"/>
              </w:rPr>
            </w:pPr>
            <w:r w:rsidRPr="009D0A4A">
              <w:rPr>
                <w:rFonts w:cstheme="minorHAnsi"/>
                <w:lang w:val="en-US"/>
              </w:rPr>
              <w:t>National licensing framework for PCBUs working with engineered stone</w:t>
            </w:r>
          </w:p>
        </w:tc>
        <w:tc>
          <w:tcPr>
            <w:tcW w:w="1349" w:type="dxa"/>
            <w:tcBorders>
              <w:top w:val="single" w:sz="4" w:space="0" w:color="D1D1D1" w:themeColor="background2"/>
              <w:left w:val="nil"/>
              <w:bottom w:val="single" w:sz="4" w:space="0" w:color="D1D1D1" w:themeColor="background2"/>
              <w:right w:val="nil"/>
            </w:tcBorders>
          </w:tcPr>
          <w:p w14:paraId="49DBB6DC" w14:textId="77777777" w:rsidR="00EC06FD" w:rsidRPr="009D0A4A" w:rsidRDefault="00EC06FD" w:rsidP="007012B9">
            <w:pPr>
              <w:pStyle w:val="BodyText"/>
              <w:rPr>
                <w:rFonts w:cstheme="minorHAnsi"/>
                <w:lang w:val="en-US"/>
              </w:rPr>
            </w:pPr>
            <w:r w:rsidRPr="009D0A4A">
              <w:rPr>
                <w:rFonts w:cstheme="minorHAnsi"/>
                <w:lang w:val="en-US"/>
              </w:rPr>
              <w:t>Regulatory</w:t>
            </w:r>
          </w:p>
        </w:tc>
        <w:tc>
          <w:tcPr>
            <w:tcW w:w="5621" w:type="dxa"/>
            <w:tcBorders>
              <w:top w:val="single" w:sz="4" w:space="0" w:color="D1D1D1" w:themeColor="background2"/>
              <w:left w:val="nil"/>
              <w:bottom w:val="single" w:sz="4" w:space="0" w:color="D1D1D1" w:themeColor="background2"/>
              <w:right w:val="nil"/>
            </w:tcBorders>
          </w:tcPr>
          <w:p w14:paraId="0D02F60F" w14:textId="77777777" w:rsidR="00EC06FD" w:rsidRPr="009D0A4A" w:rsidRDefault="00EC06FD" w:rsidP="007012B9">
            <w:pPr>
              <w:pStyle w:val="BodyText"/>
              <w:rPr>
                <w:rFonts w:cstheme="minorHAnsi"/>
                <w:lang w:val="en-US"/>
              </w:rPr>
            </w:pPr>
            <w:r w:rsidRPr="009D0A4A">
              <w:rPr>
                <w:rFonts w:cstheme="minorHAnsi"/>
                <w:lang w:val="en-US"/>
              </w:rPr>
              <w:t>Implementation of a national licensing framework for PCBUs working with engineered stone through changes to the model WHS laws.</w:t>
            </w:r>
          </w:p>
        </w:tc>
      </w:tr>
      <w:tr w:rsidR="00EC06FD" w:rsidRPr="009D0A4A" w14:paraId="2B08EF44" w14:textId="77777777" w:rsidTr="000823EF">
        <w:trPr>
          <w:cnfStyle w:val="000000100000" w:firstRow="0" w:lastRow="0" w:firstColumn="0" w:lastColumn="0" w:oddVBand="0" w:evenVBand="0" w:oddHBand="1" w:evenHBand="0" w:firstRowFirstColumn="0" w:firstRowLastColumn="0" w:lastRowFirstColumn="0" w:lastRowLastColumn="0"/>
        </w:trPr>
        <w:tc>
          <w:tcPr>
            <w:tcW w:w="950" w:type="dxa"/>
            <w:tcBorders>
              <w:top w:val="single" w:sz="4" w:space="0" w:color="D1D1D1" w:themeColor="background2"/>
              <w:left w:val="nil"/>
              <w:bottom w:val="single" w:sz="4" w:space="0" w:color="D1D1D1" w:themeColor="background2"/>
              <w:right w:val="nil"/>
            </w:tcBorders>
            <w:hideMark/>
          </w:tcPr>
          <w:p w14:paraId="18BD82CC" w14:textId="77777777" w:rsidR="00EC06FD" w:rsidRPr="009D0A4A" w:rsidRDefault="00EC06FD" w:rsidP="007306C8">
            <w:pPr>
              <w:pStyle w:val="BodyText"/>
              <w:jc w:val="both"/>
              <w:rPr>
                <w:rFonts w:cstheme="minorHAnsi"/>
                <w:lang w:val="en-US"/>
              </w:rPr>
            </w:pPr>
            <w:r w:rsidRPr="009D0A4A">
              <w:rPr>
                <w:rFonts w:cstheme="minorHAnsi"/>
                <w:lang w:val="en-US"/>
              </w:rPr>
              <w:t>5a</w:t>
            </w:r>
          </w:p>
        </w:tc>
        <w:tc>
          <w:tcPr>
            <w:tcW w:w="2286" w:type="dxa"/>
            <w:tcBorders>
              <w:top w:val="single" w:sz="4" w:space="0" w:color="D1D1D1" w:themeColor="background2"/>
              <w:left w:val="nil"/>
              <w:bottom w:val="single" w:sz="4" w:space="0" w:color="D1D1D1" w:themeColor="background2"/>
              <w:right w:val="nil"/>
            </w:tcBorders>
            <w:hideMark/>
          </w:tcPr>
          <w:p w14:paraId="394F9371" w14:textId="11FC5A3E" w:rsidR="00EC06FD" w:rsidRPr="009D0A4A" w:rsidRDefault="00EC06FD" w:rsidP="007012B9">
            <w:pPr>
              <w:pStyle w:val="BodyText"/>
              <w:rPr>
                <w:rFonts w:cstheme="minorHAnsi"/>
                <w:lang w:val="en-US"/>
              </w:rPr>
            </w:pPr>
            <w:r w:rsidRPr="009D0A4A">
              <w:t xml:space="preserve">Additional regulation of defined high risk crystalline silica processes, </w:t>
            </w:r>
            <w:r w:rsidRPr="009D0A4A">
              <w:rPr>
                <w:b/>
                <w:bCs/>
              </w:rPr>
              <w:t>including</w:t>
            </w:r>
            <w:r w:rsidRPr="009D0A4A">
              <w:t xml:space="preserve"> engineered stone</w:t>
            </w:r>
          </w:p>
        </w:tc>
        <w:tc>
          <w:tcPr>
            <w:tcW w:w="1349" w:type="dxa"/>
            <w:tcBorders>
              <w:top w:val="single" w:sz="4" w:space="0" w:color="D1D1D1" w:themeColor="background2"/>
              <w:left w:val="nil"/>
              <w:bottom w:val="single" w:sz="4" w:space="0" w:color="D1D1D1" w:themeColor="background2"/>
              <w:right w:val="nil"/>
            </w:tcBorders>
            <w:hideMark/>
          </w:tcPr>
          <w:p w14:paraId="3CD82CE5" w14:textId="77777777" w:rsidR="00EC06FD" w:rsidRPr="009D0A4A" w:rsidRDefault="00EC06FD" w:rsidP="007012B9">
            <w:pPr>
              <w:pStyle w:val="BodyText"/>
              <w:rPr>
                <w:rFonts w:cstheme="minorHAnsi"/>
                <w:lang w:val="en-US"/>
              </w:rPr>
            </w:pPr>
            <w:r w:rsidRPr="009D0A4A">
              <w:rPr>
                <w:rFonts w:cstheme="minorHAnsi"/>
                <w:lang w:val="en-US"/>
              </w:rPr>
              <w:t>Regulatory</w:t>
            </w:r>
          </w:p>
        </w:tc>
        <w:tc>
          <w:tcPr>
            <w:tcW w:w="5621" w:type="dxa"/>
            <w:vMerge w:val="restart"/>
            <w:tcBorders>
              <w:top w:val="single" w:sz="4" w:space="0" w:color="D1D1D1" w:themeColor="background2"/>
              <w:left w:val="nil"/>
              <w:bottom w:val="single" w:sz="18" w:space="0" w:color="D1D1D1" w:themeColor="background2"/>
              <w:right w:val="nil"/>
            </w:tcBorders>
            <w:vAlign w:val="center"/>
            <w:hideMark/>
          </w:tcPr>
          <w:p w14:paraId="4C3F14AC" w14:textId="742371B4" w:rsidR="00EC06FD" w:rsidRPr="009D0A4A" w:rsidRDefault="003F7445" w:rsidP="007012B9">
            <w:pPr>
              <w:pStyle w:val="BodyText"/>
              <w:rPr>
                <w:rFonts w:cstheme="minorHAnsi"/>
                <w:lang w:val="en-US"/>
              </w:rPr>
            </w:pPr>
            <w:r w:rsidRPr="009D0A4A">
              <w:rPr>
                <w:rFonts w:cstheme="minorHAnsi"/>
                <w:lang w:val="en-US"/>
              </w:rPr>
              <w:t xml:space="preserve">Amendments to the model WHS Regulations for high risk silica processes (as per Option 3) with additional regulatory requirements. </w:t>
            </w:r>
          </w:p>
        </w:tc>
      </w:tr>
      <w:tr w:rsidR="00EC06FD" w:rsidRPr="009D0A4A" w14:paraId="4A00722F" w14:textId="77777777" w:rsidTr="000823EF">
        <w:trPr>
          <w:cnfStyle w:val="000000010000" w:firstRow="0" w:lastRow="0" w:firstColumn="0" w:lastColumn="0" w:oddVBand="0" w:evenVBand="0" w:oddHBand="0" w:evenHBand="1" w:firstRowFirstColumn="0" w:firstRowLastColumn="0" w:lastRowFirstColumn="0" w:lastRowLastColumn="0"/>
        </w:trPr>
        <w:tc>
          <w:tcPr>
            <w:tcW w:w="950" w:type="dxa"/>
            <w:tcBorders>
              <w:top w:val="single" w:sz="4" w:space="0" w:color="D1D1D1" w:themeColor="background2"/>
              <w:left w:val="nil"/>
              <w:bottom w:val="single" w:sz="18" w:space="0" w:color="D1D1D1" w:themeColor="background2"/>
              <w:right w:val="nil"/>
            </w:tcBorders>
            <w:hideMark/>
          </w:tcPr>
          <w:p w14:paraId="10CFC2F2" w14:textId="77777777" w:rsidR="00EC06FD" w:rsidRPr="009D0A4A" w:rsidRDefault="00EC06FD" w:rsidP="007306C8">
            <w:pPr>
              <w:pStyle w:val="BodyText"/>
              <w:jc w:val="both"/>
              <w:rPr>
                <w:rFonts w:cstheme="minorHAnsi"/>
                <w:lang w:val="en-US"/>
              </w:rPr>
            </w:pPr>
            <w:r w:rsidRPr="009D0A4A">
              <w:rPr>
                <w:rFonts w:cstheme="minorHAnsi"/>
                <w:lang w:val="en-US"/>
              </w:rPr>
              <w:t>5b</w:t>
            </w:r>
          </w:p>
        </w:tc>
        <w:tc>
          <w:tcPr>
            <w:tcW w:w="2286" w:type="dxa"/>
            <w:tcBorders>
              <w:top w:val="single" w:sz="4" w:space="0" w:color="D1D1D1" w:themeColor="background2"/>
              <w:left w:val="nil"/>
              <w:bottom w:val="single" w:sz="18" w:space="0" w:color="D1D1D1" w:themeColor="background2"/>
              <w:right w:val="nil"/>
            </w:tcBorders>
            <w:hideMark/>
          </w:tcPr>
          <w:p w14:paraId="0D767D15" w14:textId="77777777" w:rsidR="00EC06FD" w:rsidRPr="009D0A4A" w:rsidRDefault="00EC06FD" w:rsidP="007012B9">
            <w:pPr>
              <w:pStyle w:val="BodyText"/>
              <w:rPr>
                <w:rFonts w:cstheme="minorHAnsi"/>
                <w:b/>
                <w:bCs/>
                <w:lang w:val="en-US"/>
              </w:rPr>
            </w:pPr>
            <w:r w:rsidRPr="009D0A4A">
              <w:rPr>
                <w:rFonts w:cstheme="minorHAnsi"/>
                <w:lang w:val="en-US"/>
              </w:rPr>
              <w:t xml:space="preserve">Additional regulation of defined high risk crystalline silica processes, </w:t>
            </w:r>
            <w:r w:rsidRPr="009D0A4A">
              <w:rPr>
                <w:rFonts w:cstheme="minorHAnsi"/>
                <w:b/>
                <w:bCs/>
                <w:lang w:val="en-US"/>
              </w:rPr>
              <w:t>excluding</w:t>
            </w:r>
            <w:r w:rsidRPr="009D0A4A">
              <w:rPr>
                <w:rFonts w:cstheme="minorHAnsi"/>
                <w:lang w:val="en-US"/>
              </w:rPr>
              <w:t xml:space="preserve"> engineered stone</w:t>
            </w:r>
          </w:p>
        </w:tc>
        <w:tc>
          <w:tcPr>
            <w:tcW w:w="1349" w:type="dxa"/>
            <w:tcBorders>
              <w:top w:val="single" w:sz="4" w:space="0" w:color="D1D1D1" w:themeColor="background2"/>
              <w:left w:val="nil"/>
              <w:bottom w:val="single" w:sz="18" w:space="0" w:color="D1D1D1" w:themeColor="background2"/>
              <w:right w:val="nil"/>
            </w:tcBorders>
            <w:hideMark/>
          </w:tcPr>
          <w:p w14:paraId="15A946D4" w14:textId="77777777" w:rsidR="00EC06FD" w:rsidRPr="009D0A4A" w:rsidRDefault="00EC06FD" w:rsidP="007012B9">
            <w:pPr>
              <w:pStyle w:val="BodyText"/>
              <w:rPr>
                <w:rFonts w:cstheme="minorHAnsi"/>
                <w:lang w:val="en-US"/>
              </w:rPr>
            </w:pPr>
            <w:r w:rsidRPr="009D0A4A">
              <w:rPr>
                <w:rFonts w:cstheme="minorHAnsi"/>
                <w:lang w:val="en-US"/>
              </w:rPr>
              <w:t xml:space="preserve">Regulatory </w:t>
            </w:r>
          </w:p>
        </w:tc>
        <w:tc>
          <w:tcPr>
            <w:tcW w:w="5621" w:type="dxa"/>
            <w:vMerge/>
            <w:tcBorders>
              <w:top w:val="single" w:sz="4" w:space="0" w:color="D1D1D1" w:themeColor="background2"/>
              <w:left w:val="nil"/>
              <w:bottom w:val="single" w:sz="18" w:space="0" w:color="D1D1D1" w:themeColor="background2"/>
              <w:right w:val="nil"/>
            </w:tcBorders>
            <w:vAlign w:val="center"/>
            <w:hideMark/>
          </w:tcPr>
          <w:p w14:paraId="1A0EEF56" w14:textId="77777777" w:rsidR="00EC06FD" w:rsidRPr="009D0A4A" w:rsidRDefault="00EC06FD" w:rsidP="007306C8">
            <w:pPr>
              <w:spacing w:after="0"/>
              <w:jc w:val="both"/>
              <w:rPr>
                <w:rFonts w:cstheme="minorHAnsi"/>
                <w:lang w:val="en-US"/>
              </w:rPr>
            </w:pPr>
          </w:p>
        </w:tc>
      </w:tr>
    </w:tbl>
    <w:p w14:paraId="31A2BE83" w14:textId="7FE8CCB5" w:rsidR="008E698E" w:rsidRPr="009D0A4A" w:rsidRDefault="77513FF5" w:rsidP="003801F8">
      <w:pPr>
        <w:pStyle w:val="Heading2"/>
      </w:pPr>
      <w:bookmarkStart w:id="594" w:name="_Toc100240629"/>
      <w:bookmarkStart w:id="595" w:name="_Toc100240698"/>
      <w:bookmarkStart w:id="596" w:name="_Toc100323766"/>
      <w:bookmarkStart w:id="597" w:name="_Toc92885114"/>
      <w:bookmarkStart w:id="598" w:name="_Toc92958865"/>
      <w:bookmarkStart w:id="599" w:name="_Toc107395318"/>
      <w:bookmarkEnd w:id="594"/>
      <w:bookmarkEnd w:id="595"/>
      <w:bookmarkEnd w:id="596"/>
      <w:r w:rsidRPr="009D0A4A">
        <w:t>Option 1</w:t>
      </w:r>
      <w:r w:rsidR="00D14CC1" w:rsidRPr="009D0A4A">
        <w:t>:</w:t>
      </w:r>
      <w:r w:rsidRPr="009D0A4A">
        <w:t xml:space="preserve"> Base case</w:t>
      </w:r>
      <w:bookmarkEnd w:id="597"/>
      <w:bookmarkEnd w:id="598"/>
      <w:bookmarkEnd w:id="599"/>
    </w:p>
    <w:p w14:paraId="49C42B23" w14:textId="1781B90F" w:rsidR="00EC06FD" w:rsidRPr="009D0A4A" w:rsidRDefault="00EC06FD" w:rsidP="00FA48E5">
      <w:pPr>
        <w:pStyle w:val="BodyText1"/>
        <w:spacing w:after="0"/>
        <w:jc w:val="both"/>
        <w:rPr>
          <w:rFonts w:asciiTheme="minorHAnsi" w:hAnsiTheme="minorHAnsi" w:cstheme="minorHAnsi"/>
          <w:sz w:val="20"/>
          <w:szCs w:val="20"/>
        </w:rPr>
      </w:pPr>
      <w:r w:rsidRPr="009D0A4A">
        <w:rPr>
          <w:rFonts w:asciiTheme="minorHAnsi" w:hAnsiTheme="minorHAnsi" w:cstheme="minorHAnsi"/>
          <w:sz w:val="20"/>
          <w:szCs w:val="20"/>
        </w:rPr>
        <w:t xml:space="preserve">The base case includes the existing duties under the model WHS Act, model WHS Regulations and relevant model Codes of Practice that are described in Section </w:t>
      </w:r>
      <w:r w:rsidR="001D28DC" w:rsidRPr="009D0A4A">
        <w:rPr>
          <w:rFonts w:asciiTheme="minorHAnsi" w:hAnsiTheme="minorHAnsi" w:cstheme="minorHAnsi"/>
          <w:sz w:val="20"/>
          <w:szCs w:val="20"/>
        </w:rPr>
        <w:t>1.3</w:t>
      </w:r>
      <w:r w:rsidRPr="009D0A4A">
        <w:rPr>
          <w:rFonts w:asciiTheme="minorHAnsi" w:hAnsiTheme="minorHAnsi" w:cstheme="minorHAnsi"/>
          <w:sz w:val="20"/>
          <w:szCs w:val="20"/>
        </w:rPr>
        <w:t xml:space="preserve">. It assumes compliance and enforcement activities of state and territory regulators and education and awareness activities undertaken by Safe Work Australia, state and territory governments and industry </w:t>
      </w:r>
      <w:r w:rsidRPr="009D0A4A">
        <w:rPr>
          <w:rFonts w:asciiTheme="minorHAnsi" w:hAnsiTheme="minorHAnsi" w:cstheme="minorHAnsi"/>
          <w:sz w:val="20"/>
          <w:szCs w:val="20"/>
        </w:rPr>
        <w:lastRenderedPageBreak/>
        <w:t>groups will continue at current levels.</w:t>
      </w:r>
      <w:r w:rsidR="00CB2D83" w:rsidRPr="009D0A4A">
        <w:rPr>
          <w:rFonts w:asciiTheme="minorHAnsi" w:hAnsiTheme="minorHAnsi" w:cstheme="minorHAnsi"/>
          <w:sz w:val="20"/>
          <w:szCs w:val="20"/>
        </w:rPr>
        <w:t xml:space="preserve"> It is anticipated that such activities will continue regardless of what option may be chosen by decision makers. </w:t>
      </w:r>
    </w:p>
    <w:p w14:paraId="6D1631EB" w14:textId="77777777" w:rsidR="003F7445" w:rsidRPr="009D0A4A" w:rsidRDefault="003F7445" w:rsidP="003F7445">
      <w:pPr>
        <w:pStyle w:val="BodyText1"/>
        <w:spacing w:after="0"/>
        <w:jc w:val="both"/>
        <w:rPr>
          <w:rFonts w:asciiTheme="minorHAnsi" w:hAnsiTheme="minorHAnsi" w:cstheme="minorHAnsi"/>
          <w:sz w:val="20"/>
          <w:szCs w:val="20"/>
        </w:rPr>
      </w:pPr>
    </w:p>
    <w:p w14:paraId="05B7C99E" w14:textId="2CE59E56" w:rsidR="00EC06FD" w:rsidRPr="009D0A4A" w:rsidRDefault="00EC06FD" w:rsidP="007306C8">
      <w:pPr>
        <w:pStyle w:val="BodyText1"/>
        <w:jc w:val="both"/>
        <w:rPr>
          <w:rFonts w:asciiTheme="minorHAnsi" w:hAnsiTheme="minorHAnsi" w:cstheme="minorHAnsi"/>
          <w:sz w:val="20"/>
          <w:szCs w:val="20"/>
        </w:rPr>
      </w:pPr>
      <w:r w:rsidRPr="009D0A4A">
        <w:rPr>
          <w:rFonts w:asciiTheme="minorHAnsi" w:hAnsiTheme="minorHAnsi" w:cstheme="minorHAnsi"/>
          <w:sz w:val="20"/>
          <w:szCs w:val="20"/>
        </w:rPr>
        <w:t>The base case also includes measures that have yet</w:t>
      </w:r>
      <w:r w:rsidR="003F7445" w:rsidRPr="009D0A4A">
        <w:rPr>
          <w:rFonts w:asciiTheme="minorHAnsi" w:hAnsiTheme="minorHAnsi" w:cstheme="minorHAnsi"/>
          <w:sz w:val="20"/>
          <w:szCs w:val="20"/>
        </w:rPr>
        <w:t xml:space="preserve"> to be fully</w:t>
      </w:r>
      <w:r w:rsidRPr="009D0A4A">
        <w:rPr>
          <w:rFonts w:asciiTheme="minorHAnsi" w:hAnsiTheme="minorHAnsi" w:cstheme="minorHAnsi"/>
          <w:sz w:val="20"/>
          <w:szCs w:val="20"/>
        </w:rPr>
        <w:t xml:space="preserve"> implemented</w:t>
      </w:r>
      <w:r w:rsidR="003F7445" w:rsidRPr="009D0A4A">
        <w:rPr>
          <w:rFonts w:asciiTheme="minorHAnsi" w:hAnsiTheme="minorHAnsi" w:cstheme="minorHAnsi"/>
          <w:sz w:val="20"/>
          <w:szCs w:val="20"/>
        </w:rPr>
        <w:t>, including:</w:t>
      </w:r>
    </w:p>
    <w:p w14:paraId="76BE5516" w14:textId="5A111930" w:rsidR="00EC06FD" w:rsidRPr="009D0A4A" w:rsidRDefault="00EC06FD" w:rsidP="002E41D3">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the </w:t>
      </w:r>
      <w:r w:rsidR="000165C1" w:rsidRPr="009D0A4A">
        <w:rPr>
          <w:rFonts w:asciiTheme="minorHAnsi" w:hAnsiTheme="minorHAnsi" w:cstheme="minorHAnsi"/>
          <w:sz w:val="20"/>
          <w:szCs w:val="20"/>
        </w:rPr>
        <w:t xml:space="preserve">implementation </w:t>
      </w:r>
      <w:r w:rsidRPr="009D0A4A">
        <w:rPr>
          <w:rFonts w:asciiTheme="minorHAnsi" w:hAnsiTheme="minorHAnsi" w:cstheme="minorHAnsi"/>
          <w:sz w:val="20"/>
          <w:szCs w:val="20"/>
        </w:rPr>
        <w:t>of the model Code of Practice: Managing the risks of respirable crystalline silica from engineered stone in the workplace</w:t>
      </w:r>
      <w:r w:rsidR="006B4A7D" w:rsidRPr="009D0A4A">
        <w:rPr>
          <w:rFonts w:asciiTheme="minorHAnsi" w:hAnsiTheme="minorHAnsi" w:cstheme="minorHAnsi"/>
          <w:sz w:val="20"/>
          <w:szCs w:val="20"/>
        </w:rPr>
        <w:t xml:space="preserve"> </w:t>
      </w:r>
      <w:r w:rsidR="006B4A7D" w:rsidRPr="009D0A4A">
        <w:rPr>
          <w:rFonts w:asciiTheme="minorHAnsi" w:hAnsiTheme="minorHAnsi" w:cstheme="minorHAnsi"/>
          <w:sz w:val="20"/>
          <w:szCs w:val="20"/>
        </w:rPr>
        <w:fldChar w:fldCharType="begin"/>
      </w:r>
      <w:r w:rsidR="004067E3">
        <w:rPr>
          <w:rFonts w:asciiTheme="minorHAnsi" w:hAnsiTheme="minorHAnsi" w:cstheme="minorHAnsi"/>
          <w:sz w:val="20"/>
          <w:szCs w:val="20"/>
        </w:rPr>
        <w:instrText xml:space="preserve"> ADDIN ZOTERO_ITEM CSL_CITATION {"citationID":"bvHmVBfx","properties":{"formattedCitation":"(Safe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006B4A7D" w:rsidRPr="009D0A4A">
        <w:rPr>
          <w:rFonts w:asciiTheme="minorHAnsi" w:hAnsiTheme="minorHAnsi" w:cstheme="minorHAnsi"/>
          <w:sz w:val="20"/>
          <w:szCs w:val="20"/>
        </w:rPr>
        <w:fldChar w:fldCharType="separate"/>
      </w:r>
      <w:r w:rsidR="006B4A7D" w:rsidRPr="009D0A4A">
        <w:rPr>
          <w:rFonts w:asciiTheme="minorHAnsi" w:hAnsiTheme="minorHAnsi" w:cstheme="minorHAnsi"/>
          <w:sz w:val="20"/>
          <w:szCs w:val="20"/>
        </w:rPr>
        <w:t>(Safe Work Australia 2021a)</w:t>
      </w:r>
      <w:r w:rsidR="006B4A7D" w:rsidRPr="009D0A4A">
        <w:rPr>
          <w:rFonts w:asciiTheme="minorHAnsi" w:hAnsiTheme="minorHAnsi" w:cstheme="minorHAnsi"/>
          <w:sz w:val="20"/>
          <w:szCs w:val="20"/>
        </w:rPr>
        <w:fldChar w:fldCharType="end"/>
      </w:r>
      <w:r w:rsidRPr="009D0A4A">
        <w:rPr>
          <w:rFonts w:asciiTheme="minorHAnsi" w:hAnsiTheme="minorHAnsi" w:cstheme="minorHAnsi"/>
          <w:sz w:val="20"/>
          <w:szCs w:val="20"/>
        </w:rPr>
        <w:t xml:space="preserve"> in all states and territories </w:t>
      </w:r>
      <w:r w:rsidR="006B4A7D" w:rsidRPr="009D0A4A">
        <w:rPr>
          <w:rFonts w:asciiTheme="minorHAnsi" w:hAnsiTheme="minorHAnsi" w:cstheme="minorHAnsi"/>
          <w:sz w:val="20"/>
          <w:szCs w:val="20"/>
        </w:rPr>
        <w:t xml:space="preserve">covered by the model WHS laws </w:t>
      </w:r>
      <w:r w:rsidRPr="009D0A4A">
        <w:rPr>
          <w:rFonts w:asciiTheme="minorHAnsi" w:hAnsiTheme="minorHAnsi" w:cstheme="minorHAnsi"/>
          <w:sz w:val="20"/>
          <w:szCs w:val="20"/>
        </w:rPr>
        <w:t>apart from Queensland (which has already implemented a Code of Practice</w:t>
      </w:r>
      <w:r w:rsidR="00BB5F3A" w:rsidRPr="009D0A4A">
        <w:rPr>
          <w:rFonts w:asciiTheme="minorHAnsi" w:hAnsiTheme="minorHAnsi" w:cstheme="minorHAnsi"/>
          <w:sz w:val="20"/>
          <w:szCs w:val="20"/>
        </w:rPr>
        <w:t xml:space="preserve"> (Workplace Health and Safety Queensland 2019)</w:t>
      </w:r>
      <w:r w:rsidRPr="009D0A4A">
        <w:rPr>
          <w:rFonts w:asciiTheme="minorHAnsi" w:hAnsiTheme="minorHAnsi" w:cstheme="minorHAnsi"/>
          <w:sz w:val="20"/>
          <w:szCs w:val="20"/>
        </w:rPr>
        <w:t>)</w:t>
      </w:r>
      <w:r w:rsidR="003F7445" w:rsidRPr="009D0A4A">
        <w:rPr>
          <w:rFonts w:asciiTheme="minorHAnsi" w:hAnsiTheme="minorHAnsi" w:cstheme="minorHAnsi"/>
          <w:sz w:val="20"/>
          <w:szCs w:val="20"/>
        </w:rPr>
        <w:t>, and</w:t>
      </w:r>
    </w:p>
    <w:p w14:paraId="509433E6" w14:textId="040CA304" w:rsidR="402C01A9" w:rsidRPr="00552DEC" w:rsidRDefault="00EC06FD" w:rsidP="00552DEC">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amendments to the model WHS </w:t>
      </w:r>
      <w:r w:rsidR="00A1783C" w:rsidRPr="009D0A4A">
        <w:rPr>
          <w:rFonts w:asciiTheme="minorHAnsi" w:hAnsiTheme="minorHAnsi" w:cstheme="minorHAnsi"/>
          <w:sz w:val="20"/>
          <w:szCs w:val="20"/>
        </w:rPr>
        <w:t>R</w:t>
      </w:r>
      <w:r w:rsidRPr="009D0A4A">
        <w:rPr>
          <w:rFonts w:asciiTheme="minorHAnsi" w:hAnsiTheme="minorHAnsi" w:cstheme="minorHAnsi"/>
          <w:sz w:val="20"/>
          <w:szCs w:val="20"/>
        </w:rPr>
        <w:t>egulations prohibiting uncontrolled processing of engineered stone</w:t>
      </w:r>
      <w:r w:rsidR="000165C1" w:rsidRPr="009D0A4A">
        <w:rPr>
          <w:rFonts w:asciiTheme="minorHAnsi" w:hAnsiTheme="minorHAnsi" w:cstheme="minorHAnsi"/>
          <w:sz w:val="20"/>
          <w:szCs w:val="20"/>
        </w:rPr>
        <w:t xml:space="preserve">, </w:t>
      </w:r>
      <w:r w:rsidR="00E752D5" w:rsidRPr="009D0A4A">
        <w:rPr>
          <w:rFonts w:asciiTheme="minorHAnsi" w:hAnsiTheme="minorHAnsi" w:cstheme="minorHAnsi"/>
          <w:sz w:val="20"/>
          <w:szCs w:val="20"/>
        </w:rPr>
        <w:t xml:space="preserve">so </w:t>
      </w:r>
      <w:r w:rsidR="000165C1" w:rsidRPr="009D0A4A">
        <w:rPr>
          <w:rFonts w:asciiTheme="minorHAnsi" w:hAnsiTheme="minorHAnsi" w:cstheme="minorHAnsi"/>
          <w:sz w:val="20"/>
          <w:szCs w:val="20"/>
        </w:rPr>
        <w:t>clarifying existing duties under the model WHS laws</w:t>
      </w:r>
      <w:r w:rsidR="003F7445" w:rsidRPr="009D0A4A">
        <w:rPr>
          <w:rFonts w:asciiTheme="minorHAnsi" w:hAnsiTheme="minorHAnsi" w:cstheme="minorHAnsi"/>
          <w:sz w:val="20"/>
          <w:szCs w:val="20"/>
        </w:rPr>
        <w:t xml:space="preserve">. </w:t>
      </w:r>
    </w:p>
    <w:p w14:paraId="66B33887" w14:textId="6FD0FFA8" w:rsidR="008E698E" w:rsidRPr="009D0A4A" w:rsidRDefault="77513FF5" w:rsidP="003801F8">
      <w:pPr>
        <w:pStyle w:val="Heading2"/>
      </w:pPr>
      <w:bookmarkStart w:id="600" w:name="_Toc92885115"/>
      <w:bookmarkStart w:id="601" w:name="_Toc92958866"/>
      <w:bookmarkStart w:id="602" w:name="_Toc107395319"/>
      <w:r w:rsidRPr="009D0A4A">
        <w:t>Option 2</w:t>
      </w:r>
      <w:r w:rsidR="00D14CC1" w:rsidRPr="009D0A4A">
        <w:t>:</w:t>
      </w:r>
      <w:r w:rsidRPr="009D0A4A">
        <w:t xml:space="preserve"> </w:t>
      </w:r>
      <w:r w:rsidR="00F03442" w:rsidRPr="009D0A4A">
        <w:t>N</w:t>
      </w:r>
      <w:r w:rsidRPr="009D0A4A">
        <w:t xml:space="preserve">ational awareness and behaviour change </w:t>
      </w:r>
      <w:r w:rsidR="00A710A9" w:rsidRPr="009D0A4A">
        <w:t>initiatives</w:t>
      </w:r>
      <w:r w:rsidRPr="009D0A4A">
        <w:t xml:space="preserve"> </w:t>
      </w:r>
      <w:bookmarkEnd w:id="600"/>
      <w:bookmarkEnd w:id="601"/>
      <w:r w:rsidR="00A710A9" w:rsidRPr="009D0A4A">
        <w:t>to</w:t>
      </w:r>
      <w:r w:rsidRPr="009D0A4A">
        <w:t xml:space="preserve"> minimis</w:t>
      </w:r>
      <w:r w:rsidR="00A710A9" w:rsidRPr="009D0A4A">
        <w:t>e</w:t>
      </w:r>
      <w:r w:rsidRPr="009D0A4A">
        <w:t xml:space="preserve"> the risks of </w:t>
      </w:r>
      <w:r w:rsidR="006F1E8E" w:rsidRPr="009D0A4A">
        <w:t>RCS</w:t>
      </w:r>
      <w:r w:rsidRPr="009D0A4A">
        <w:t xml:space="preserve"> exposure</w:t>
      </w:r>
      <w:bookmarkEnd w:id="602"/>
    </w:p>
    <w:p w14:paraId="4D97AFBC" w14:textId="6B96D19D" w:rsidR="003F7445" w:rsidRPr="009D0A4A" w:rsidRDefault="003F7445" w:rsidP="003E300B">
      <w:pPr>
        <w:pStyle w:val="BodyText1"/>
        <w:jc w:val="both"/>
        <w:rPr>
          <w:rFonts w:asciiTheme="minorHAnsi" w:hAnsiTheme="minorHAnsi" w:cstheme="minorHAnsi"/>
          <w:sz w:val="20"/>
          <w:szCs w:val="20"/>
        </w:rPr>
      </w:pPr>
      <w:r w:rsidRPr="009D0A4A">
        <w:rPr>
          <w:rFonts w:asciiTheme="minorHAnsi" w:hAnsiTheme="minorHAnsi" w:cstheme="minorHAnsi"/>
          <w:sz w:val="20"/>
          <w:szCs w:val="20"/>
        </w:rPr>
        <w:t>Safe Work Australia and state and territory regulators have undertaken extensive education and awareness raising campaigns (</w:t>
      </w:r>
      <w:r w:rsidRPr="009D0A4A">
        <w:rPr>
          <w:rStyle w:val="BodyTextChar"/>
          <w:rFonts w:asciiTheme="minorHAnsi" w:hAnsiTheme="minorHAnsi" w:cstheme="minorHAnsi"/>
          <w:sz w:val="20"/>
          <w:szCs w:val="22"/>
        </w:rPr>
        <w:t xml:space="preserve">see </w:t>
      </w:r>
      <w:r w:rsidR="000165C1" w:rsidRPr="009D0A4A">
        <w:rPr>
          <w:rStyle w:val="BodyTextChar"/>
          <w:rFonts w:asciiTheme="minorHAnsi" w:hAnsiTheme="minorHAnsi" w:cstheme="minorHAnsi"/>
          <w:sz w:val="20"/>
          <w:szCs w:val="22"/>
        </w:rPr>
        <w:t xml:space="preserve">Section </w:t>
      </w:r>
      <w:r w:rsidR="009F18B4" w:rsidRPr="009D0A4A">
        <w:rPr>
          <w:rStyle w:val="BodyTextChar"/>
          <w:rFonts w:asciiTheme="minorHAnsi" w:hAnsiTheme="minorHAnsi" w:cstheme="minorHAnsi"/>
          <w:sz w:val="20"/>
          <w:szCs w:val="22"/>
        </w:rPr>
        <w:t>1.4.6</w:t>
      </w:r>
      <w:r w:rsidRPr="009D0A4A">
        <w:rPr>
          <w:rFonts w:asciiTheme="minorHAnsi" w:hAnsiTheme="minorHAnsi" w:cstheme="minorHAnsi"/>
          <w:sz w:val="20"/>
          <w:szCs w:val="20"/>
        </w:rPr>
        <w:t xml:space="preserve">). However, preliminary consultation with state and territory regulators indicated that </w:t>
      </w:r>
      <w:r w:rsidR="006F245A" w:rsidRPr="009D0A4A">
        <w:rPr>
          <w:rFonts w:asciiTheme="minorHAnsi" w:hAnsiTheme="minorHAnsi" w:cstheme="minorHAnsi"/>
          <w:sz w:val="20"/>
          <w:szCs w:val="20"/>
        </w:rPr>
        <w:t>additional</w:t>
      </w:r>
      <w:r w:rsidR="0059577E" w:rsidRPr="009D0A4A">
        <w:rPr>
          <w:rFonts w:asciiTheme="minorHAnsi" w:hAnsiTheme="minorHAnsi" w:cstheme="minorHAnsi"/>
          <w:sz w:val="20"/>
          <w:szCs w:val="20"/>
        </w:rPr>
        <w:t xml:space="preserve"> awareness </w:t>
      </w:r>
      <w:r w:rsidR="006F245A" w:rsidRPr="009D0A4A">
        <w:rPr>
          <w:rFonts w:asciiTheme="minorHAnsi" w:hAnsiTheme="minorHAnsi" w:cstheme="minorHAnsi"/>
          <w:sz w:val="20"/>
          <w:szCs w:val="20"/>
        </w:rPr>
        <w:t xml:space="preserve">raising </w:t>
      </w:r>
      <w:r w:rsidR="0059577E" w:rsidRPr="009D0A4A">
        <w:rPr>
          <w:rFonts w:asciiTheme="minorHAnsi" w:hAnsiTheme="minorHAnsi" w:cstheme="minorHAnsi"/>
          <w:sz w:val="20"/>
          <w:szCs w:val="20"/>
        </w:rPr>
        <w:t xml:space="preserve">and </w:t>
      </w:r>
      <w:r w:rsidRPr="009D0A4A">
        <w:rPr>
          <w:rFonts w:asciiTheme="minorHAnsi" w:hAnsiTheme="minorHAnsi" w:cstheme="minorHAnsi"/>
          <w:sz w:val="20"/>
          <w:szCs w:val="20"/>
        </w:rPr>
        <w:t xml:space="preserve">behavioural economics approaches would improve </w:t>
      </w:r>
      <w:r w:rsidR="0059577E" w:rsidRPr="009D0A4A">
        <w:rPr>
          <w:rFonts w:asciiTheme="minorHAnsi" w:hAnsiTheme="minorHAnsi" w:cstheme="minorHAnsi"/>
          <w:sz w:val="20"/>
          <w:szCs w:val="20"/>
        </w:rPr>
        <w:t xml:space="preserve">overall </w:t>
      </w:r>
      <w:r w:rsidR="006F245A" w:rsidRPr="009D0A4A">
        <w:rPr>
          <w:rFonts w:asciiTheme="minorHAnsi" w:hAnsiTheme="minorHAnsi" w:cstheme="minorHAnsi"/>
          <w:sz w:val="20"/>
          <w:szCs w:val="20"/>
        </w:rPr>
        <w:t xml:space="preserve">understanding </w:t>
      </w:r>
      <w:r w:rsidRPr="009D0A4A">
        <w:rPr>
          <w:rFonts w:asciiTheme="minorHAnsi" w:hAnsiTheme="minorHAnsi" w:cstheme="minorHAnsi"/>
          <w:sz w:val="20"/>
          <w:szCs w:val="20"/>
        </w:rPr>
        <w:t>of and compliance with WHS duties</w:t>
      </w:r>
      <w:r w:rsidR="00873990">
        <w:rPr>
          <w:rFonts w:asciiTheme="minorHAnsi" w:hAnsiTheme="minorHAnsi" w:cstheme="minorHAnsi"/>
          <w:sz w:val="20"/>
          <w:szCs w:val="20"/>
        </w:rPr>
        <w:t>,</w:t>
      </w:r>
      <w:r w:rsidRPr="009D0A4A">
        <w:rPr>
          <w:rFonts w:asciiTheme="minorHAnsi" w:hAnsiTheme="minorHAnsi" w:cstheme="minorHAnsi"/>
          <w:sz w:val="20"/>
          <w:szCs w:val="20"/>
        </w:rPr>
        <w:t xml:space="preserve"> and reduce exposures to respirable crystalline silica.</w:t>
      </w:r>
    </w:p>
    <w:p w14:paraId="4F3DA473" w14:textId="2C084E90" w:rsidR="003F7445" w:rsidRPr="009D0A4A" w:rsidRDefault="003F7445" w:rsidP="003E300B">
      <w:pPr>
        <w:pStyle w:val="BodyText1"/>
        <w:jc w:val="both"/>
        <w:rPr>
          <w:rFonts w:asciiTheme="minorHAnsi" w:hAnsiTheme="minorHAnsi" w:cstheme="minorHAnsi"/>
          <w:sz w:val="20"/>
          <w:szCs w:val="20"/>
        </w:rPr>
      </w:pPr>
      <w:r w:rsidRPr="009D0A4A">
        <w:rPr>
          <w:rFonts w:asciiTheme="minorHAnsi" w:hAnsiTheme="minorHAnsi" w:cstheme="minorHAnsi"/>
          <w:sz w:val="20"/>
          <w:szCs w:val="20"/>
        </w:rPr>
        <w:t xml:space="preserve">Option 2 involves national awareness and behaviour change </w:t>
      </w:r>
      <w:r w:rsidR="00A710A9" w:rsidRPr="009D0A4A">
        <w:rPr>
          <w:rFonts w:asciiTheme="minorHAnsi" w:hAnsiTheme="minorHAnsi" w:cstheme="minorHAnsi"/>
          <w:sz w:val="20"/>
          <w:szCs w:val="20"/>
        </w:rPr>
        <w:t>initiatives</w:t>
      </w:r>
      <w:r w:rsidRPr="009D0A4A">
        <w:rPr>
          <w:rFonts w:asciiTheme="minorHAnsi" w:hAnsiTheme="minorHAnsi" w:cstheme="minorHAnsi"/>
          <w:sz w:val="20"/>
          <w:szCs w:val="20"/>
        </w:rPr>
        <w:t xml:space="preserve"> focussed on duty holders in the construction, manufacturing, tunnelling, quarrying, demolition and mining industries </w:t>
      </w:r>
      <w:r w:rsidR="00F00256" w:rsidRPr="009D0A4A">
        <w:rPr>
          <w:rFonts w:asciiTheme="minorHAnsi" w:hAnsiTheme="minorHAnsi" w:cstheme="minorHAnsi"/>
          <w:sz w:val="20"/>
          <w:szCs w:val="20"/>
        </w:rPr>
        <w:t>and c</w:t>
      </w:r>
      <w:r w:rsidRPr="009D0A4A">
        <w:rPr>
          <w:rFonts w:asciiTheme="minorHAnsi" w:hAnsiTheme="minorHAnsi" w:cstheme="minorHAnsi"/>
          <w:sz w:val="20"/>
          <w:szCs w:val="20"/>
        </w:rPr>
        <w:t xml:space="preserve">ompliance with the model WHS laws. </w:t>
      </w:r>
    </w:p>
    <w:p w14:paraId="0ADAB1DD" w14:textId="4FEB921D" w:rsidR="003F7445" w:rsidRPr="009D0A4A" w:rsidRDefault="003F7445" w:rsidP="003E300B">
      <w:pPr>
        <w:pStyle w:val="BodyText1"/>
        <w:jc w:val="both"/>
        <w:rPr>
          <w:rFonts w:asciiTheme="minorHAnsi" w:hAnsiTheme="minorHAnsi" w:cstheme="minorHAnsi"/>
          <w:sz w:val="20"/>
          <w:szCs w:val="20"/>
        </w:rPr>
      </w:pPr>
      <w:r w:rsidRPr="009D0A4A">
        <w:rPr>
          <w:rFonts w:asciiTheme="minorHAnsi" w:hAnsiTheme="minorHAnsi" w:cstheme="minorHAnsi"/>
          <w:sz w:val="20"/>
          <w:szCs w:val="20"/>
        </w:rPr>
        <w:t>Th</w:t>
      </w:r>
      <w:r w:rsidR="00A710A9" w:rsidRPr="009D0A4A">
        <w:rPr>
          <w:rFonts w:asciiTheme="minorHAnsi" w:hAnsiTheme="minorHAnsi" w:cstheme="minorHAnsi"/>
          <w:sz w:val="20"/>
          <w:szCs w:val="20"/>
        </w:rPr>
        <w:t>ese</w:t>
      </w:r>
      <w:r w:rsidRPr="009D0A4A">
        <w:rPr>
          <w:rFonts w:asciiTheme="minorHAnsi" w:hAnsiTheme="minorHAnsi" w:cstheme="minorHAnsi"/>
          <w:sz w:val="20"/>
          <w:szCs w:val="20"/>
        </w:rPr>
        <w:t xml:space="preserve"> </w:t>
      </w:r>
      <w:r w:rsidR="00A710A9" w:rsidRPr="009D0A4A">
        <w:rPr>
          <w:rFonts w:asciiTheme="minorHAnsi" w:hAnsiTheme="minorHAnsi" w:cstheme="minorHAnsi"/>
          <w:sz w:val="20"/>
          <w:szCs w:val="20"/>
        </w:rPr>
        <w:t>initiatives</w:t>
      </w:r>
      <w:r w:rsidRPr="009D0A4A">
        <w:rPr>
          <w:rFonts w:asciiTheme="minorHAnsi" w:hAnsiTheme="minorHAnsi" w:cstheme="minorHAnsi"/>
          <w:sz w:val="20"/>
          <w:szCs w:val="20"/>
        </w:rPr>
        <w:t xml:space="preserve"> would target the following groups</w:t>
      </w:r>
      <w:r w:rsidR="000165C1" w:rsidRPr="009D0A4A">
        <w:rPr>
          <w:rFonts w:asciiTheme="minorHAnsi" w:hAnsiTheme="minorHAnsi" w:cstheme="minorHAnsi"/>
          <w:sz w:val="20"/>
          <w:szCs w:val="20"/>
        </w:rPr>
        <w:t xml:space="preserve"> </w:t>
      </w:r>
      <w:r w:rsidR="004537AD" w:rsidRPr="009D0A4A">
        <w:rPr>
          <w:rFonts w:asciiTheme="minorHAnsi" w:hAnsiTheme="minorHAnsi" w:cstheme="minorHAnsi"/>
          <w:sz w:val="20"/>
          <w:szCs w:val="20"/>
        </w:rPr>
        <w:t>across all</w:t>
      </w:r>
      <w:r w:rsidR="000165C1" w:rsidRPr="009D0A4A">
        <w:rPr>
          <w:rFonts w:asciiTheme="minorHAnsi" w:hAnsiTheme="minorHAnsi" w:cstheme="minorHAnsi"/>
          <w:sz w:val="20"/>
          <w:szCs w:val="20"/>
        </w:rPr>
        <w:t xml:space="preserve"> industries where silica exposure is known to occur</w:t>
      </w:r>
      <w:r w:rsidRPr="009D0A4A">
        <w:rPr>
          <w:rFonts w:asciiTheme="minorHAnsi" w:hAnsiTheme="minorHAnsi" w:cstheme="minorHAnsi"/>
          <w:sz w:val="20"/>
          <w:szCs w:val="20"/>
        </w:rPr>
        <w:t xml:space="preserve">: </w:t>
      </w:r>
    </w:p>
    <w:p w14:paraId="02E615D9" w14:textId="77777777" w:rsidR="003F7445" w:rsidRPr="009D0A4A" w:rsidRDefault="003F7445" w:rsidP="002E41D3">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workers</w:t>
      </w:r>
    </w:p>
    <w:p w14:paraId="4FE0DFE7" w14:textId="77777777" w:rsidR="003F7445" w:rsidRPr="009D0A4A" w:rsidRDefault="003F7445" w:rsidP="002E41D3">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PCBUs</w:t>
      </w:r>
    </w:p>
    <w:p w14:paraId="00FA71FF" w14:textId="77777777" w:rsidR="003F7445" w:rsidRPr="009D0A4A" w:rsidRDefault="003F7445" w:rsidP="002E41D3">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officers, designers, manufacturers, importers, suppliers, and those who commission plant or structures</w:t>
      </w:r>
    </w:p>
    <w:p w14:paraId="22F3FC49" w14:textId="77777777" w:rsidR="003F7445" w:rsidRPr="009D0A4A" w:rsidRDefault="003F7445" w:rsidP="002E41D3">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primary contractors, and</w:t>
      </w:r>
    </w:p>
    <w:p w14:paraId="05223C4A" w14:textId="77777777" w:rsidR="003F7445" w:rsidRPr="009D0A4A" w:rsidRDefault="003F7445" w:rsidP="002E41D3">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officers.</w:t>
      </w:r>
    </w:p>
    <w:p w14:paraId="0D6F919B" w14:textId="77777777" w:rsidR="003F7445" w:rsidRPr="009D0A4A" w:rsidRDefault="003F7445" w:rsidP="003E300B">
      <w:pPr>
        <w:pStyle w:val="BodyText1"/>
        <w:spacing w:after="0"/>
        <w:jc w:val="both"/>
        <w:rPr>
          <w:rFonts w:asciiTheme="minorHAnsi" w:hAnsiTheme="minorHAnsi" w:cstheme="minorHAnsi"/>
          <w:sz w:val="20"/>
          <w:szCs w:val="20"/>
        </w:rPr>
      </w:pPr>
    </w:p>
    <w:p w14:paraId="0C31914F" w14:textId="12BD08D1" w:rsidR="003F7445" w:rsidRPr="009D0A4A" w:rsidRDefault="003F7445" w:rsidP="003E300B">
      <w:pPr>
        <w:pStyle w:val="BodyText1"/>
        <w:jc w:val="both"/>
        <w:rPr>
          <w:rFonts w:asciiTheme="minorHAnsi" w:hAnsiTheme="minorHAnsi" w:cstheme="minorHAnsi"/>
          <w:sz w:val="20"/>
          <w:szCs w:val="20"/>
        </w:rPr>
      </w:pPr>
      <w:r w:rsidRPr="009D0A4A">
        <w:rPr>
          <w:rFonts w:asciiTheme="minorHAnsi" w:hAnsiTheme="minorHAnsi" w:cstheme="minorHAnsi"/>
          <w:sz w:val="20"/>
          <w:szCs w:val="20"/>
        </w:rPr>
        <w:t xml:space="preserve">The </w:t>
      </w:r>
      <w:r w:rsidR="00A710A9" w:rsidRPr="009D0A4A">
        <w:rPr>
          <w:rFonts w:asciiTheme="minorHAnsi" w:hAnsiTheme="minorHAnsi" w:cstheme="minorHAnsi"/>
          <w:sz w:val="20"/>
          <w:szCs w:val="20"/>
        </w:rPr>
        <w:t>initiatives</w:t>
      </w:r>
      <w:r w:rsidRPr="009D0A4A">
        <w:rPr>
          <w:rFonts w:asciiTheme="minorHAnsi" w:hAnsiTheme="minorHAnsi" w:cstheme="minorHAnsi"/>
          <w:sz w:val="20"/>
          <w:szCs w:val="20"/>
        </w:rPr>
        <w:t xml:space="preserve"> would seek to improve: </w:t>
      </w:r>
    </w:p>
    <w:p w14:paraId="64A0430D" w14:textId="3DCEC53B" w:rsidR="003F7445" w:rsidRPr="009D0A4A" w:rsidRDefault="003F7445" w:rsidP="002E41D3">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duty holders’ understanding of the risks associated with exposure to </w:t>
      </w:r>
      <w:r w:rsidR="00880680" w:rsidRPr="009D0A4A">
        <w:rPr>
          <w:rFonts w:asciiTheme="minorHAnsi" w:hAnsiTheme="minorHAnsi" w:cstheme="minorHAnsi"/>
          <w:sz w:val="20"/>
          <w:szCs w:val="20"/>
        </w:rPr>
        <w:t>RCS</w:t>
      </w:r>
    </w:p>
    <w:p w14:paraId="73392685" w14:textId="77777777" w:rsidR="003F7445" w:rsidRPr="009D0A4A" w:rsidRDefault="003F7445" w:rsidP="002E41D3">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knowledge of PCBUs on how and when to conduct a risk assessment, control risks and consult with workers, and </w:t>
      </w:r>
    </w:p>
    <w:p w14:paraId="7287A7E9" w14:textId="77777777" w:rsidR="003F7445" w:rsidRPr="009D0A4A" w:rsidRDefault="003F7445" w:rsidP="002E41D3">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awareness and compliance of workers, PCBUs, and other duty holders with the requirements of the model WHS laws.</w:t>
      </w:r>
    </w:p>
    <w:p w14:paraId="763B1247" w14:textId="6184DB85" w:rsidR="00DF575A" w:rsidRPr="009D0A4A" w:rsidRDefault="000165C1" w:rsidP="003E300B">
      <w:pPr>
        <w:pStyle w:val="BodyText"/>
        <w:jc w:val="both"/>
        <w:rPr>
          <w:rFonts w:cstheme="minorHAnsi"/>
          <w:i/>
          <w:iCs/>
        </w:rPr>
      </w:pPr>
      <w:r w:rsidRPr="009D0A4A">
        <w:rPr>
          <w:rFonts w:cstheme="minorHAnsi"/>
        </w:rPr>
        <w:t>The</w:t>
      </w:r>
      <w:r w:rsidR="00ED76B3" w:rsidRPr="009D0A4A">
        <w:rPr>
          <w:rFonts w:cstheme="minorHAnsi"/>
        </w:rPr>
        <w:t xml:space="preserve"> Clean Air. Clear Lungs</w:t>
      </w:r>
      <w:r w:rsidRPr="009D0A4A">
        <w:rPr>
          <w:rFonts w:cstheme="minorHAnsi"/>
        </w:rPr>
        <w:t>.</w:t>
      </w:r>
      <w:r w:rsidR="00F90D6F" w:rsidRPr="009D0A4A">
        <w:rPr>
          <w:rFonts w:cstheme="minorHAnsi"/>
          <w:i/>
          <w:iCs/>
        </w:rPr>
        <w:t xml:space="preserve"> </w:t>
      </w:r>
      <w:r w:rsidR="00F90D6F" w:rsidRPr="009D0A4A">
        <w:rPr>
          <w:rFonts w:cstheme="minorHAnsi"/>
        </w:rPr>
        <w:t xml:space="preserve">campaign (discussed at </w:t>
      </w:r>
      <w:r w:rsidR="0065485D" w:rsidRPr="009D0A4A">
        <w:rPr>
          <w:rFonts w:cstheme="minorHAnsi"/>
        </w:rPr>
        <w:t>Section 1.4.4</w:t>
      </w:r>
      <w:r w:rsidR="00F90D6F" w:rsidRPr="009D0A4A">
        <w:rPr>
          <w:rFonts w:cstheme="minorHAnsi"/>
        </w:rPr>
        <w:t xml:space="preserve">) </w:t>
      </w:r>
      <w:r w:rsidRPr="009D0A4A">
        <w:rPr>
          <w:rFonts w:cstheme="minorHAnsi"/>
        </w:rPr>
        <w:t>is an example of a successful national awareness campaign on occupational lung diseases, including silicosis.</w:t>
      </w:r>
      <w:r w:rsidRPr="009D0A4A">
        <w:rPr>
          <w:rFonts w:cstheme="minorHAnsi"/>
          <w:i/>
          <w:iCs/>
        </w:rPr>
        <w:t xml:space="preserve"> </w:t>
      </w:r>
    </w:p>
    <w:p w14:paraId="41C6CD9F" w14:textId="6BBC99EA" w:rsidR="00B77D9A" w:rsidRPr="009D0A4A" w:rsidRDefault="000165C1" w:rsidP="003E300B">
      <w:pPr>
        <w:pStyle w:val="BodyText"/>
        <w:jc w:val="both"/>
      </w:pPr>
      <w:r w:rsidRPr="009D0A4A">
        <w:rPr>
          <w:rFonts w:cstheme="minorHAnsi"/>
        </w:rPr>
        <w:t xml:space="preserve">The behaviour change component of Option 2 would </w:t>
      </w:r>
      <w:r w:rsidR="00B52B9A" w:rsidRPr="009D0A4A">
        <w:rPr>
          <w:rFonts w:cstheme="minorHAnsi"/>
        </w:rPr>
        <w:t xml:space="preserve">move beyond simply clarifying or raising awareness of the requirements of the model WHS laws and </w:t>
      </w:r>
      <w:r w:rsidRPr="009D0A4A">
        <w:rPr>
          <w:rFonts w:cstheme="minorHAnsi"/>
        </w:rPr>
        <w:t>take a behavioural economics approach</w:t>
      </w:r>
      <w:r w:rsidR="00B52B9A" w:rsidRPr="009D0A4A">
        <w:rPr>
          <w:rFonts w:cstheme="minorHAnsi"/>
        </w:rPr>
        <w:t xml:space="preserve"> to </w:t>
      </w:r>
      <w:r w:rsidRPr="009D0A4A">
        <w:rPr>
          <w:rFonts w:cstheme="minorHAnsi"/>
        </w:rPr>
        <w:t xml:space="preserve">improving the compliance practices of duty holders. </w:t>
      </w:r>
      <w:r w:rsidR="00B52B9A" w:rsidRPr="009D0A4A">
        <w:rPr>
          <w:rFonts w:cstheme="minorHAnsi"/>
        </w:rPr>
        <w:lastRenderedPageBreak/>
        <w:t>The design of such an initiative</w:t>
      </w:r>
      <w:r w:rsidRPr="009D0A4A">
        <w:rPr>
          <w:rFonts w:cstheme="minorHAnsi"/>
        </w:rPr>
        <w:t xml:space="preserve"> would be guided by behavioural economics </w:t>
      </w:r>
      <w:r w:rsidR="00B52B9A" w:rsidRPr="009D0A4A">
        <w:rPr>
          <w:rFonts w:cstheme="minorHAnsi"/>
        </w:rPr>
        <w:t>experts, who</w:t>
      </w:r>
      <w:r w:rsidRPr="009D0A4A">
        <w:rPr>
          <w:rFonts w:cstheme="minorHAnsi"/>
        </w:rPr>
        <w:t xml:space="preserve"> would be engaged in the first year of the project to advise</w:t>
      </w:r>
      <w:r w:rsidR="00FC2B11" w:rsidRPr="009D0A4A">
        <w:rPr>
          <w:rFonts w:cstheme="minorHAnsi"/>
        </w:rPr>
        <w:t xml:space="preserve"> and develop</w:t>
      </w:r>
      <w:r w:rsidRPr="009D0A4A">
        <w:rPr>
          <w:rFonts w:cstheme="minorHAnsi"/>
        </w:rPr>
        <w:t xml:space="preserve"> appropriate strategies to improve compliance. </w:t>
      </w:r>
      <w:r w:rsidR="00B52B9A" w:rsidRPr="009D0A4A">
        <w:rPr>
          <w:rFonts w:cstheme="minorHAnsi"/>
        </w:rPr>
        <w:t xml:space="preserve">Tactics that may be used include </w:t>
      </w:r>
      <w:r w:rsidR="00EB17F4" w:rsidRPr="009D0A4A">
        <w:rPr>
          <w:rFonts w:cstheme="minorHAnsi"/>
        </w:rPr>
        <w:t>highlighting</w:t>
      </w:r>
      <w:r w:rsidR="00B52B9A" w:rsidRPr="009D0A4A">
        <w:rPr>
          <w:rFonts w:cstheme="minorHAnsi"/>
        </w:rPr>
        <w:t xml:space="preserve"> the </w:t>
      </w:r>
      <w:r w:rsidR="00EB17F4" w:rsidRPr="009D0A4A">
        <w:rPr>
          <w:rFonts w:cstheme="minorHAnsi"/>
        </w:rPr>
        <w:t>extent</w:t>
      </w:r>
      <w:r w:rsidR="00B52B9A" w:rsidRPr="009D0A4A">
        <w:rPr>
          <w:rFonts w:cstheme="minorHAnsi"/>
        </w:rPr>
        <w:t xml:space="preserve"> of risks of RCS amongst workers, investigating incentives and disincentives to compliance and trialling different approaches amongst various industries and sectors. </w:t>
      </w:r>
      <w:r w:rsidRPr="009D0A4A">
        <w:rPr>
          <w:rFonts w:cstheme="minorHAnsi"/>
        </w:rPr>
        <w:t xml:space="preserve">It is anticipated </w:t>
      </w:r>
      <w:r w:rsidR="00A710A9" w:rsidRPr="009D0A4A">
        <w:rPr>
          <w:rFonts w:cstheme="minorHAnsi"/>
        </w:rPr>
        <w:t xml:space="preserve">the </w:t>
      </w:r>
      <w:r w:rsidRPr="009D0A4A">
        <w:rPr>
          <w:rFonts w:cstheme="minorHAnsi"/>
        </w:rPr>
        <w:t xml:space="preserve">initiatives would be repeated on an annual basis for a period of five years. </w:t>
      </w:r>
      <w:r w:rsidR="00101E69" w:rsidRPr="009D0A4A">
        <w:t xml:space="preserve">This option </w:t>
      </w:r>
      <w:r w:rsidR="003F4412" w:rsidRPr="009D0A4A">
        <w:t xml:space="preserve">would </w:t>
      </w:r>
      <w:r w:rsidR="00D705F8" w:rsidRPr="009D0A4A">
        <w:t xml:space="preserve">directly address the lack of understanding of silica related risks and current regulatory requirements </w:t>
      </w:r>
      <w:r w:rsidR="00101E69" w:rsidRPr="009D0A4A">
        <w:t xml:space="preserve">and </w:t>
      </w:r>
      <w:r w:rsidR="00E92F0C" w:rsidRPr="009D0A4A">
        <w:t>is expected to</w:t>
      </w:r>
      <w:r w:rsidR="002F5F65" w:rsidRPr="009D0A4A">
        <w:t xml:space="preserve"> improve compliance</w:t>
      </w:r>
      <w:r w:rsidR="00E92F0C" w:rsidRPr="009D0A4A">
        <w:t xml:space="preserve"> with the require</w:t>
      </w:r>
      <w:r w:rsidR="00905F56" w:rsidRPr="009D0A4A">
        <w:t>m</w:t>
      </w:r>
      <w:r w:rsidR="00E92F0C" w:rsidRPr="009D0A4A">
        <w:t>ents</w:t>
      </w:r>
      <w:r w:rsidR="00D705F8" w:rsidRPr="009D0A4A">
        <w:t xml:space="preserve">. This can be measured through compliance and enforcement data (e.g., non-compliance notices issued, outcomes of workplace audits) which is currently collected by state and territory regulators. </w:t>
      </w:r>
    </w:p>
    <w:p w14:paraId="56EB7937" w14:textId="01FF4107" w:rsidR="008E698E" w:rsidRPr="009D0A4A" w:rsidRDefault="77513FF5" w:rsidP="003801F8">
      <w:pPr>
        <w:pStyle w:val="Heading2"/>
      </w:pPr>
      <w:bookmarkStart w:id="603" w:name="_Toc107395320"/>
      <w:bookmarkStart w:id="604" w:name="_Toc92885116"/>
      <w:bookmarkStart w:id="605" w:name="_Toc92958867"/>
      <w:r w:rsidRPr="009D0A4A">
        <w:t>Option 3</w:t>
      </w:r>
      <w:r w:rsidR="00D14CC1" w:rsidRPr="009D0A4A">
        <w:t>:</w:t>
      </w:r>
      <w:r w:rsidRPr="009D0A4A">
        <w:t xml:space="preserve"> Clarifying the existing requirements of the model WHS laws for </w:t>
      </w:r>
      <w:r w:rsidR="008739C4" w:rsidRPr="009D0A4A">
        <w:t>high risk</w:t>
      </w:r>
      <w:r w:rsidRPr="009D0A4A">
        <w:t xml:space="preserve"> silica processes</w:t>
      </w:r>
      <w:bookmarkEnd w:id="603"/>
    </w:p>
    <w:p w14:paraId="1090BC08" w14:textId="31CA6C0A" w:rsidR="00EC06FD" w:rsidRPr="009D0A4A" w:rsidRDefault="00EC06FD" w:rsidP="007306C8">
      <w:pPr>
        <w:pStyle w:val="BodyText"/>
        <w:jc w:val="both"/>
      </w:pPr>
      <w:r w:rsidRPr="009D0A4A">
        <w:t xml:space="preserve">Option 3 would clarify the existing requirements of the model WHS laws into specific regulations covering defined </w:t>
      </w:r>
      <w:r w:rsidR="008739C4" w:rsidRPr="009D0A4A">
        <w:t>high risk</w:t>
      </w:r>
      <w:r w:rsidRPr="009D0A4A">
        <w:t xml:space="preserve"> silica processes. It would have no additional regulatory burden to industry</w:t>
      </w:r>
      <w:r w:rsidR="003F7445" w:rsidRPr="009D0A4A">
        <w:t xml:space="preserve"> beyond the current requirements of the model WHS laws</w:t>
      </w:r>
      <w:r w:rsidRPr="009D0A4A">
        <w:t xml:space="preserve">. </w:t>
      </w:r>
      <w:r w:rsidR="00911B0B" w:rsidRPr="009D0A4A">
        <w:t>This will specifically involve the c</w:t>
      </w:r>
      <w:r w:rsidR="001D1CBC" w:rsidRPr="009D0A4A">
        <w:t xml:space="preserve">onsolidation of existing requirements for high risk silica processes in the model WHS </w:t>
      </w:r>
      <w:r w:rsidR="009E2F67" w:rsidRPr="009D0A4A">
        <w:t xml:space="preserve">laws </w:t>
      </w:r>
      <w:r w:rsidR="00911B0B" w:rsidRPr="009D0A4A">
        <w:t xml:space="preserve">in a </w:t>
      </w:r>
      <w:r w:rsidR="001D1CBC" w:rsidRPr="009D0A4A">
        <w:t xml:space="preserve">similar </w:t>
      </w:r>
      <w:r w:rsidR="00911B0B" w:rsidRPr="009D0A4A">
        <w:t xml:space="preserve">way </w:t>
      </w:r>
      <w:r w:rsidR="001D1CBC" w:rsidRPr="009D0A4A">
        <w:t xml:space="preserve">to those that exist currently for asbestos. </w:t>
      </w:r>
      <w:r w:rsidR="00911B0B" w:rsidRPr="009D0A4A">
        <w:t>T</w:t>
      </w:r>
      <w:r w:rsidR="001D1CBC" w:rsidRPr="009D0A4A">
        <w:t xml:space="preserve">he </w:t>
      </w:r>
      <w:r w:rsidR="00A218BF" w:rsidRPr="009D0A4A">
        <w:t>specific regulations</w:t>
      </w:r>
      <w:r w:rsidR="001D1CBC" w:rsidRPr="009D0A4A">
        <w:t xml:space="preserve"> </w:t>
      </w:r>
      <w:r w:rsidR="009E2F67" w:rsidRPr="009D0A4A">
        <w:t>for</w:t>
      </w:r>
      <w:r w:rsidR="00911B0B" w:rsidRPr="009D0A4A">
        <w:t xml:space="preserve"> high risk silica processes will explicitly outline the </w:t>
      </w:r>
      <w:r w:rsidR="00B52B9A" w:rsidRPr="009D0A4A">
        <w:t>current</w:t>
      </w:r>
      <w:r w:rsidR="00A218BF" w:rsidRPr="009D0A4A">
        <w:t xml:space="preserve"> </w:t>
      </w:r>
      <w:r w:rsidR="00911B0B" w:rsidRPr="009D0A4A">
        <w:t xml:space="preserve">requirements </w:t>
      </w:r>
      <w:r w:rsidR="00170698" w:rsidRPr="009D0A4A">
        <w:t xml:space="preserve">as they relate to </w:t>
      </w:r>
      <w:r w:rsidR="00911B0B" w:rsidRPr="009D0A4A">
        <w:t>PCBUs working with crystalline silica substances, including requirements for air and health monitoring</w:t>
      </w:r>
      <w:r w:rsidR="009E2F67" w:rsidRPr="009D0A4A">
        <w:t xml:space="preserve">. </w:t>
      </w:r>
    </w:p>
    <w:p w14:paraId="1B8A38AE" w14:textId="79AD1B02" w:rsidR="00EC06FD" w:rsidRPr="009D0A4A" w:rsidRDefault="00EC06FD" w:rsidP="007306C8">
      <w:pPr>
        <w:pStyle w:val="BodyText1"/>
        <w:jc w:val="both"/>
        <w:rPr>
          <w:rFonts w:asciiTheme="minorHAnsi" w:hAnsiTheme="minorHAnsi" w:cstheme="minorHAnsi"/>
          <w:sz w:val="20"/>
          <w:szCs w:val="20"/>
        </w:rPr>
      </w:pPr>
      <w:r w:rsidRPr="009D0A4A">
        <w:rPr>
          <w:rFonts w:asciiTheme="minorHAnsi" w:hAnsiTheme="minorHAnsi" w:cstheme="minorHAnsi"/>
          <w:sz w:val="20"/>
          <w:szCs w:val="20"/>
        </w:rPr>
        <w:t xml:space="preserve">This option is based on the recent amendments in the Victorian Occupational Health and Safety Amendment (Crystalline Silica) Regulations 2021. It would </w:t>
      </w:r>
      <w:r w:rsidR="00647F5C" w:rsidRPr="009D0A4A">
        <w:rPr>
          <w:rFonts w:asciiTheme="minorHAnsi" w:hAnsiTheme="minorHAnsi" w:cstheme="minorHAnsi"/>
          <w:sz w:val="20"/>
          <w:szCs w:val="20"/>
        </w:rPr>
        <w:t xml:space="preserve">specifically </w:t>
      </w:r>
      <w:r w:rsidRPr="009D0A4A">
        <w:rPr>
          <w:rFonts w:asciiTheme="minorHAnsi" w:hAnsiTheme="minorHAnsi" w:cstheme="minorHAnsi"/>
          <w:sz w:val="20"/>
          <w:szCs w:val="20"/>
        </w:rPr>
        <w:t xml:space="preserve">include: </w:t>
      </w:r>
    </w:p>
    <w:p w14:paraId="20AD206A" w14:textId="20371680" w:rsidR="00EC06FD" w:rsidRPr="009D0A4A" w:rsidRDefault="00EC06FD" w:rsidP="00C709B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Definitions of </w:t>
      </w:r>
      <w:r w:rsidRPr="009D0A4A">
        <w:rPr>
          <w:rFonts w:asciiTheme="minorHAnsi" w:hAnsiTheme="minorHAnsi" w:cstheme="minorHAnsi"/>
          <w:i/>
          <w:iCs/>
          <w:sz w:val="20"/>
          <w:szCs w:val="20"/>
        </w:rPr>
        <w:t>crystalline silica substance</w:t>
      </w:r>
      <w:r w:rsidRPr="009D0A4A">
        <w:rPr>
          <w:rFonts w:asciiTheme="minorHAnsi" w:hAnsiTheme="minorHAnsi" w:cstheme="minorHAnsi"/>
          <w:sz w:val="20"/>
          <w:szCs w:val="20"/>
        </w:rPr>
        <w:t xml:space="preserve">, </w:t>
      </w:r>
      <w:r w:rsidRPr="009D0A4A">
        <w:rPr>
          <w:rFonts w:asciiTheme="minorHAnsi" w:hAnsiTheme="minorHAnsi" w:cstheme="minorHAnsi"/>
          <w:i/>
          <w:iCs/>
          <w:sz w:val="20"/>
          <w:szCs w:val="20"/>
        </w:rPr>
        <w:t>crystalline silica process</w:t>
      </w:r>
      <w:r w:rsidRPr="009D0A4A">
        <w:rPr>
          <w:rFonts w:asciiTheme="minorHAnsi" w:hAnsiTheme="minorHAnsi" w:cstheme="minorHAnsi"/>
          <w:sz w:val="20"/>
          <w:szCs w:val="20"/>
        </w:rPr>
        <w:t xml:space="preserve"> and </w:t>
      </w:r>
      <w:r w:rsidR="008739C4" w:rsidRPr="009D0A4A">
        <w:rPr>
          <w:rFonts w:asciiTheme="minorHAnsi" w:hAnsiTheme="minorHAnsi" w:cstheme="minorHAnsi"/>
          <w:i/>
          <w:iCs/>
          <w:sz w:val="20"/>
          <w:szCs w:val="20"/>
        </w:rPr>
        <w:t>high risk</w:t>
      </w:r>
      <w:r w:rsidRPr="009D0A4A">
        <w:rPr>
          <w:rFonts w:asciiTheme="minorHAnsi" w:hAnsiTheme="minorHAnsi" w:cstheme="minorHAnsi"/>
          <w:i/>
          <w:iCs/>
          <w:sz w:val="20"/>
          <w:szCs w:val="20"/>
        </w:rPr>
        <w:t xml:space="preserve"> crystalline silica process</w:t>
      </w:r>
      <w:r w:rsidRPr="009D0A4A">
        <w:rPr>
          <w:rFonts w:asciiTheme="minorHAnsi" w:hAnsiTheme="minorHAnsi" w:cstheme="minorHAnsi"/>
          <w:sz w:val="20"/>
          <w:szCs w:val="20"/>
        </w:rPr>
        <w:t xml:space="preserve">. </w:t>
      </w:r>
    </w:p>
    <w:p w14:paraId="2CC134A3" w14:textId="5222E4A1" w:rsidR="00EC06FD" w:rsidRPr="009D0A4A" w:rsidRDefault="00EC06FD" w:rsidP="00C709B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A </w:t>
      </w:r>
      <w:r w:rsidRPr="009D0A4A">
        <w:rPr>
          <w:rFonts w:asciiTheme="minorHAnsi" w:hAnsiTheme="minorHAnsi" w:cstheme="minorHAnsi"/>
          <w:i/>
          <w:iCs/>
          <w:sz w:val="20"/>
          <w:szCs w:val="20"/>
        </w:rPr>
        <w:t>crystalline silica substance</w:t>
      </w:r>
      <w:r w:rsidRPr="009D0A4A">
        <w:rPr>
          <w:rFonts w:asciiTheme="minorHAnsi" w:hAnsiTheme="minorHAnsi" w:cstheme="minorHAnsi"/>
          <w:sz w:val="20"/>
          <w:szCs w:val="20"/>
        </w:rPr>
        <w:t xml:space="preserve"> would be defined as materials containing over 1</w:t>
      </w:r>
      <w:r w:rsidR="007C4FA8" w:rsidRPr="009D0A4A">
        <w:rPr>
          <w:rFonts w:asciiTheme="minorHAnsi" w:hAnsiTheme="minorHAnsi" w:cstheme="minorHAnsi"/>
          <w:sz w:val="20"/>
          <w:szCs w:val="20"/>
        </w:rPr>
        <w:t xml:space="preserve"> per cent</w:t>
      </w:r>
      <w:r w:rsidRPr="009D0A4A">
        <w:rPr>
          <w:rFonts w:asciiTheme="minorHAnsi" w:hAnsiTheme="minorHAnsi" w:cstheme="minorHAnsi"/>
          <w:sz w:val="20"/>
          <w:szCs w:val="20"/>
        </w:rPr>
        <w:t xml:space="preserve"> crystalline silica and would include engineered stone. </w:t>
      </w:r>
    </w:p>
    <w:p w14:paraId="0B0D188D" w14:textId="77777777" w:rsidR="00EC06FD" w:rsidRPr="009D0A4A" w:rsidRDefault="00EC06FD" w:rsidP="00C709B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A </w:t>
      </w:r>
      <w:r w:rsidRPr="009D0A4A">
        <w:rPr>
          <w:rFonts w:asciiTheme="minorHAnsi" w:hAnsiTheme="minorHAnsi" w:cstheme="minorHAnsi"/>
          <w:i/>
          <w:iCs/>
          <w:sz w:val="20"/>
          <w:szCs w:val="20"/>
        </w:rPr>
        <w:t>crystalline silica process</w:t>
      </w:r>
      <w:r w:rsidRPr="009D0A4A">
        <w:rPr>
          <w:rFonts w:asciiTheme="minorHAnsi" w:hAnsiTheme="minorHAnsi" w:cstheme="minorHAnsi"/>
          <w:sz w:val="20"/>
          <w:szCs w:val="20"/>
        </w:rPr>
        <w:t xml:space="preserve"> would be defined as:</w:t>
      </w:r>
    </w:p>
    <w:p w14:paraId="107389B4" w14:textId="77777777" w:rsidR="00EC06FD" w:rsidRPr="009D0A4A" w:rsidRDefault="00EC06FD" w:rsidP="00C709B5">
      <w:pPr>
        <w:pStyle w:val="BodyText1"/>
        <w:numPr>
          <w:ilvl w:val="1"/>
          <w:numId w:val="20"/>
        </w:numPr>
        <w:jc w:val="both"/>
        <w:rPr>
          <w:rFonts w:asciiTheme="minorHAnsi" w:hAnsiTheme="minorHAnsi" w:cstheme="minorHAnsi"/>
          <w:sz w:val="20"/>
          <w:szCs w:val="20"/>
        </w:rPr>
      </w:pPr>
      <w:r w:rsidRPr="009D0A4A">
        <w:rPr>
          <w:rFonts w:asciiTheme="minorHAnsi" w:hAnsiTheme="minorHAnsi" w:cstheme="minorHAnsi"/>
          <w:sz w:val="20"/>
          <w:szCs w:val="20"/>
        </w:rPr>
        <w:t>use of power tools and machinery that generates crystalline silica dust</w:t>
      </w:r>
    </w:p>
    <w:p w14:paraId="3B7685DF" w14:textId="3818722B" w:rsidR="00EC06FD" w:rsidRPr="009D0A4A" w:rsidRDefault="00EC06FD" w:rsidP="00C709B5">
      <w:pPr>
        <w:pStyle w:val="BodyText1"/>
        <w:numPr>
          <w:ilvl w:val="1"/>
          <w:numId w:val="20"/>
        </w:numPr>
        <w:jc w:val="both"/>
        <w:rPr>
          <w:rFonts w:asciiTheme="minorHAnsi" w:hAnsiTheme="minorHAnsi" w:cstheme="minorHAnsi"/>
          <w:sz w:val="20"/>
          <w:szCs w:val="20"/>
        </w:rPr>
      </w:pPr>
      <w:r w:rsidRPr="009D0A4A">
        <w:rPr>
          <w:rFonts w:asciiTheme="minorHAnsi" w:hAnsiTheme="minorHAnsi" w:cstheme="minorHAnsi"/>
          <w:sz w:val="20"/>
          <w:szCs w:val="20"/>
        </w:rPr>
        <w:t>use of roadheaders</w:t>
      </w:r>
      <w:r w:rsidR="003F7445" w:rsidRPr="009D0A4A">
        <w:rPr>
          <w:rStyle w:val="FootnoteReference"/>
          <w:rFonts w:asciiTheme="minorHAnsi" w:hAnsiTheme="minorHAnsi" w:cstheme="minorHAnsi"/>
          <w:sz w:val="20"/>
          <w:szCs w:val="20"/>
        </w:rPr>
        <w:footnoteReference w:id="8"/>
      </w:r>
      <w:r w:rsidRPr="009D0A4A">
        <w:rPr>
          <w:rFonts w:asciiTheme="minorHAnsi" w:hAnsiTheme="minorHAnsi" w:cstheme="minorHAnsi"/>
          <w:sz w:val="20"/>
          <w:szCs w:val="20"/>
        </w:rPr>
        <w:t xml:space="preserve"> involving material that is a crystalline silica substance </w:t>
      </w:r>
    </w:p>
    <w:p w14:paraId="4CFAA0CA" w14:textId="77777777" w:rsidR="00EC06FD" w:rsidRPr="009D0A4A" w:rsidRDefault="00EC06FD" w:rsidP="00C709B5">
      <w:pPr>
        <w:pStyle w:val="BodyText1"/>
        <w:numPr>
          <w:ilvl w:val="1"/>
          <w:numId w:val="20"/>
        </w:numPr>
        <w:jc w:val="both"/>
        <w:rPr>
          <w:rFonts w:asciiTheme="minorHAnsi" w:hAnsiTheme="minorHAnsi" w:cstheme="minorHAnsi"/>
          <w:sz w:val="20"/>
          <w:szCs w:val="20"/>
        </w:rPr>
      </w:pPr>
      <w:r w:rsidRPr="009D0A4A">
        <w:rPr>
          <w:rFonts w:asciiTheme="minorHAnsi" w:hAnsiTheme="minorHAnsi" w:cstheme="minorHAnsi"/>
          <w:sz w:val="20"/>
          <w:szCs w:val="20"/>
        </w:rPr>
        <w:t>quarrying involving material that is a crystalline silica substance</w:t>
      </w:r>
    </w:p>
    <w:p w14:paraId="45F74AFC" w14:textId="77777777" w:rsidR="00EC06FD" w:rsidRPr="009D0A4A" w:rsidRDefault="00EC06FD" w:rsidP="00C709B5">
      <w:pPr>
        <w:pStyle w:val="BodyText1"/>
        <w:numPr>
          <w:ilvl w:val="1"/>
          <w:numId w:val="20"/>
        </w:numPr>
        <w:jc w:val="both"/>
        <w:rPr>
          <w:rFonts w:asciiTheme="minorHAnsi" w:hAnsiTheme="minorHAnsi" w:cstheme="minorHAnsi"/>
          <w:sz w:val="20"/>
          <w:szCs w:val="20"/>
        </w:rPr>
      </w:pPr>
      <w:r w:rsidRPr="009D0A4A">
        <w:rPr>
          <w:rFonts w:asciiTheme="minorHAnsi" w:hAnsiTheme="minorHAnsi" w:cstheme="minorHAnsi"/>
          <w:sz w:val="20"/>
          <w:szCs w:val="20"/>
        </w:rPr>
        <w:t>mechanical screening involving material that is a crystalline silica substance</w:t>
      </w:r>
    </w:p>
    <w:p w14:paraId="3B048B13" w14:textId="77777777" w:rsidR="00EC06FD" w:rsidRPr="009D0A4A" w:rsidRDefault="00EC06FD" w:rsidP="00C709B5">
      <w:pPr>
        <w:pStyle w:val="BodyText1"/>
        <w:numPr>
          <w:ilvl w:val="1"/>
          <w:numId w:val="20"/>
        </w:numPr>
        <w:jc w:val="both"/>
        <w:rPr>
          <w:rFonts w:asciiTheme="minorHAnsi" w:hAnsiTheme="minorHAnsi" w:cstheme="minorHAnsi"/>
          <w:sz w:val="20"/>
          <w:szCs w:val="20"/>
        </w:rPr>
      </w:pPr>
      <w:r w:rsidRPr="009D0A4A">
        <w:rPr>
          <w:rFonts w:asciiTheme="minorHAnsi" w:hAnsiTheme="minorHAnsi" w:cstheme="minorHAnsi"/>
          <w:sz w:val="20"/>
          <w:szCs w:val="20"/>
        </w:rPr>
        <w:t>tunnelling involving material that is a crystalline silica substance, or</w:t>
      </w:r>
    </w:p>
    <w:p w14:paraId="38583676" w14:textId="77777777" w:rsidR="00EC06FD" w:rsidRPr="009D0A4A" w:rsidRDefault="00EC06FD" w:rsidP="00C709B5">
      <w:pPr>
        <w:pStyle w:val="BodyText1"/>
        <w:numPr>
          <w:ilvl w:val="1"/>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a process that exposes or is reasonably likely to expose a person to crystalline silica dust during manufacture or handling of a crystalline silica substance. </w:t>
      </w:r>
    </w:p>
    <w:p w14:paraId="2B2E2F8D" w14:textId="77777777" w:rsidR="00EC06FD" w:rsidRPr="009D0A4A" w:rsidRDefault="00EC06FD" w:rsidP="00C709B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A </w:t>
      </w:r>
      <w:r w:rsidRPr="009D0A4A">
        <w:rPr>
          <w:rFonts w:asciiTheme="minorHAnsi" w:hAnsiTheme="minorHAnsi" w:cstheme="minorHAnsi"/>
          <w:i/>
          <w:iCs/>
          <w:sz w:val="20"/>
          <w:szCs w:val="20"/>
        </w:rPr>
        <w:t>high risk crystalline silica process</w:t>
      </w:r>
      <w:r w:rsidRPr="009D0A4A">
        <w:rPr>
          <w:rFonts w:asciiTheme="minorHAnsi" w:hAnsiTheme="minorHAnsi" w:cstheme="minorHAnsi"/>
          <w:sz w:val="20"/>
          <w:szCs w:val="20"/>
        </w:rPr>
        <w:t xml:space="preserve">es would be defined as </w:t>
      </w:r>
      <w:r w:rsidRPr="009D0A4A">
        <w:rPr>
          <w:rFonts w:asciiTheme="minorHAnsi" w:hAnsiTheme="minorHAnsi" w:cstheme="minorHAnsi"/>
          <w:i/>
          <w:iCs/>
          <w:sz w:val="20"/>
          <w:szCs w:val="20"/>
        </w:rPr>
        <w:t>crystalline silica processes</w:t>
      </w:r>
      <w:r w:rsidRPr="009D0A4A">
        <w:rPr>
          <w:rFonts w:asciiTheme="minorHAnsi" w:hAnsiTheme="minorHAnsi" w:cstheme="minorHAnsi"/>
          <w:sz w:val="20"/>
          <w:szCs w:val="20"/>
        </w:rPr>
        <w:t xml:space="preserve"> where:</w:t>
      </w:r>
    </w:p>
    <w:p w14:paraId="25E2F02B" w14:textId="2782C34D" w:rsidR="00EC06FD" w:rsidRPr="009D0A4A" w:rsidRDefault="00EC06FD" w:rsidP="00C709B5">
      <w:pPr>
        <w:pStyle w:val="BodyText1"/>
        <w:numPr>
          <w:ilvl w:val="1"/>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it is reasonably likely that </w:t>
      </w:r>
      <w:r w:rsidR="003F7445" w:rsidRPr="009D0A4A">
        <w:rPr>
          <w:rFonts w:asciiTheme="minorHAnsi" w:hAnsiTheme="minorHAnsi" w:cstheme="minorHAnsi"/>
          <w:sz w:val="20"/>
          <w:szCs w:val="20"/>
        </w:rPr>
        <w:t>workplace exposure standards</w:t>
      </w:r>
      <w:r w:rsidRPr="009D0A4A">
        <w:rPr>
          <w:rFonts w:asciiTheme="minorHAnsi" w:hAnsiTheme="minorHAnsi" w:cstheme="minorHAnsi"/>
          <w:sz w:val="20"/>
          <w:szCs w:val="20"/>
        </w:rPr>
        <w:t xml:space="preserve"> will be exceeded, or </w:t>
      </w:r>
    </w:p>
    <w:p w14:paraId="0E246117" w14:textId="1BA46E89" w:rsidR="00EC06FD" w:rsidRPr="009D0A4A" w:rsidRDefault="00EC06FD" w:rsidP="00C709B5">
      <w:pPr>
        <w:pStyle w:val="BodyText1"/>
        <w:numPr>
          <w:ilvl w:val="1"/>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the PCBU is not certain on reasonable grounds that </w:t>
      </w:r>
      <w:r w:rsidR="003F7445" w:rsidRPr="009D0A4A">
        <w:rPr>
          <w:rFonts w:asciiTheme="minorHAnsi" w:hAnsiTheme="minorHAnsi" w:cstheme="minorHAnsi"/>
          <w:sz w:val="20"/>
          <w:szCs w:val="20"/>
        </w:rPr>
        <w:t>workplace exposure standards</w:t>
      </w:r>
      <w:r w:rsidRPr="009D0A4A">
        <w:rPr>
          <w:rFonts w:asciiTheme="minorHAnsi" w:hAnsiTheme="minorHAnsi" w:cstheme="minorHAnsi"/>
          <w:sz w:val="20"/>
          <w:szCs w:val="20"/>
        </w:rPr>
        <w:t xml:space="preserve"> will be exceeded, or</w:t>
      </w:r>
    </w:p>
    <w:p w14:paraId="24AD5D10" w14:textId="77777777" w:rsidR="00EC06FD" w:rsidRPr="009D0A4A" w:rsidRDefault="00EC06FD" w:rsidP="00C709B5">
      <w:pPr>
        <w:pStyle w:val="BodyText1"/>
        <w:numPr>
          <w:ilvl w:val="1"/>
          <w:numId w:val="20"/>
        </w:numPr>
        <w:jc w:val="both"/>
        <w:rPr>
          <w:rFonts w:asciiTheme="minorHAnsi" w:hAnsiTheme="minorHAnsi" w:cstheme="minorHAnsi"/>
          <w:sz w:val="20"/>
          <w:szCs w:val="20"/>
        </w:rPr>
      </w:pPr>
      <w:r w:rsidRPr="009D0A4A">
        <w:rPr>
          <w:rFonts w:asciiTheme="minorHAnsi" w:hAnsiTheme="minorHAnsi" w:cstheme="minorHAnsi"/>
          <w:sz w:val="20"/>
          <w:szCs w:val="20"/>
        </w:rPr>
        <w:t>there is a health risk from exposure to silica dust.</w:t>
      </w:r>
    </w:p>
    <w:p w14:paraId="29D80103" w14:textId="77777777" w:rsidR="00EC06FD" w:rsidRPr="009D0A4A" w:rsidRDefault="00EC06FD" w:rsidP="00C709B5">
      <w:pPr>
        <w:pStyle w:val="BodyText"/>
        <w:numPr>
          <w:ilvl w:val="0"/>
          <w:numId w:val="20"/>
        </w:numPr>
        <w:jc w:val="both"/>
      </w:pPr>
      <w:r w:rsidRPr="009D0A4A">
        <w:lastRenderedPageBreak/>
        <w:t>This would specify that:</w:t>
      </w:r>
    </w:p>
    <w:p w14:paraId="5EAB8D88" w14:textId="24BF0974" w:rsidR="00EC06FD" w:rsidRPr="009D0A4A" w:rsidRDefault="00EC06FD" w:rsidP="00C709B5">
      <w:pPr>
        <w:pStyle w:val="BodyText"/>
        <w:numPr>
          <w:ilvl w:val="1"/>
          <w:numId w:val="20"/>
        </w:numPr>
        <w:jc w:val="both"/>
      </w:pPr>
      <w:r w:rsidRPr="009D0A4A">
        <w:t>Where work involving silica-containing materials meets the definition of construction work</w:t>
      </w:r>
      <w:r w:rsidRPr="009D0A4A">
        <w:rPr>
          <w:rStyle w:val="FootnoteReference"/>
        </w:rPr>
        <w:footnoteReference w:id="9"/>
      </w:r>
      <w:r w:rsidRPr="009D0A4A">
        <w:t xml:space="preserve">, crystalline silica processes would </w:t>
      </w:r>
      <w:r w:rsidR="003F7445" w:rsidRPr="009D0A4A">
        <w:t>be considered</w:t>
      </w:r>
      <w:r w:rsidRPr="009D0A4A">
        <w:t xml:space="preserve"> </w:t>
      </w:r>
      <w:r w:rsidR="008739C4" w:rsidRPr="009D0A4A">
        <w:t>high risk</w:t>
      </w:r>
      <w:r w:rsidRPr="009D0A4A">
        <w:t xml:space="preserve"> construction work</w:t>
      </w:r>
      <w:r w:rsidR="003F7445" w:rsidRPr="009D0A4A">
        <w:t xml:space="preserve">. Therefore, a </w:t>
      </w:r>
      <w:r w:rsidRPr="009D0A4A">
        <w:t xml:space="preserve">Safe Work Method Statement must be produced, complied with, provided to the principal contractor (if any), reviewed and retained as per </w:t>
      </w:r>
      <w:r w:rsidR="001D70FA" w:rsidRPr="009D0A4A">
        <w:t>model WHS Regulations regs</w:t>
      </w:r>
      <w:r w:rsidR="00E437BD" w:rsidRPr="009D0A4A">
        <w:t xml:space="preserve"> </w:t>
      </w:r>
      <w:r w:rsidRPr="009D0A4A">
        <w:t xml:space="preserve">299-303.  </w:t>
      </w:r>
    </w:p>
    <w:p w14:paraId="76617225" w14:textId="4FDA755D" w:rsidR="00EC06FD" w:rsidRPr="009D0A4A" w:rsidRDefault="00EC06FD" w:rsidP="00C709B5">
      <w:pPr>
        <w:pStyle w:val="BodyText"/>
        <w:numPr>
          <w:ilvl w:val="1"/>
          <w:numId w:val="20"/>
        </w:numPr>
        <w:jc w:val="both"/>
      </w:pPr>
      <w:r w:rsidRPr="009D0A4A">
        <w:t xml:space="preserve">As per </w:t>
      </w:r>
      <w:r w:rsidR="001D70FA" w:rsidRPr="009D0A4A">
        <w:t>model WHS Regulations reg</w:t>
      </w:r>
      <w:r w:rsidR="00E437BD" w:rsidRPr="009D0A4A">
        <w:t xml:space="preserve"> </w:t>
      </w:r>
      <w:r w:rsidRPr="009D0A4A">
        <w:t xml:space="preserve">50, PCBUs must undertake air monitoring in the breathing zone of workers when the work involves a </w:t>
      </w:r>
      <w:r w:rsidR="008739C4" w:rsidRPr="009D0A4A">
        <w:rPr>
          <w:i/>
          <w:iCs/>
        </w:rPr>
        <w:t>high risk</w:t>
      </w:r>
      <w:r w:rsidRPr="009D0A4A">
        <w:rPr>
          <w:i/>
          <w:iCs/>
        </w:rPr>
        <w:t xml:space="preserve"> crystalline silica process</w:t>
      </w:r>
      <w:r w:rsidRPr="009D0A4A">
        <w:t xml:space="preserve">. </w:t>
      </w:r>
    </w:p>
    <w:p w14:paraId="111F3022" w14:textId="49193D35" w:rsidR="008E698E" w:rsidRPr="009D0A4A" w:rsidRDefault="00EC06FD" w:rsidP="00C709B5">
      <w:pPr>
        <w:pStyle w:val="BodyText"/>
        <w:numPr>
          <w:ilvl w:val="1"/>
          <w:numId w:val="20"/>
        </w:numPr>
        <w:jc w:val="both"/>
      </w:pPr>
      <w:r w:rsidRPr="009D0A4A">
        <w:t xml:space="preserve">PCBUs undertaking a </w:t>
      </w:r>
      <w:r w:rsidR="008739C4" w:rsidRPr="009D0A4A">
        <w:t>high risk</w:t>
      </w:r>
      <w:r w:rsidRPr="009D0A4A">
        <w:t xml:space="preserve"> </w:t>
      </w:r>
      <w:r w:rsidRPr="009D0A4A">
        <w:rPr>
          <w:rFonts w:cstheme="minorHAnsi"/>
        </w:rPr>
        <w:t xml:space="preserve">crystalline </w:t>
      </w:r>
      <w:r w:rsidRPr="009D0A4A">
        <w:t xml:space="preserve">silica process must provide and pay for health monitoring for workers, provide information to the registered medical practitioner undertaking health monitoring, obtain health monitoring reports, provide health monitoring reports to workers, regulators and other relevant PCBUs and retain health monitoring records as per </w:t>
      </w:r>
      <w:r w:rsidR="001D70FA" w:rsidRPr="009D0A4A">
        <w:t>model WHS Regulations regs</w:t>
      </w:r>
      <w:r w:rsidR="00E437BD" w:rsidRPr="009D0A4A">
        <w:t xml:space="preserve"> </w:t>
      </w:r>
      <w:r w:rsidRPr="009D0A4A">
        <w:t xml:space="preserve">368-378. </w:t>
      </w:r>
    </w:p>
    <w:p w14:paraId="684E0087" w14:textId="3C67D0E2" w:rsidR="00B63BA4" w:rsidRPr="009D0A4A" w:rsidRDefault="00EC2E3E" w:rsidP="00EC2E3E">
      <w:pPr>
        <w:pStyle w:val="BodyText"/>
        <w:jc w:val="both"/>
      </w:pPr>
      <w:r w:rsidRPr="009D0A4A">
        <w:t>Specific regulations would assist in improving understanding of the requirements of the model WHS laws for defined high risk silica processes and may improve compliance in sectors where the understanding of the requirements of the model WHS laws is limited.</w:t>
      </w:r>
      <w:r w:rsidR="009B4D29" w:rsidRPr="009D0A4A">
        <w:t xml:space="preserve"> Clarification that air monitoring and health monitoring are required </w:t>
      </w:r>
      <w:r w:rsidR="00993050" w:rsidRPr="009D0A4A">
        <w:t>is expected to</w:t>
      </w:r>
      <w:r w:rsidR="009B4D29" w:rsidRPr="009D0A4A">
        <w:t xml:space="preserve"> </w:t>
      </w:r>
      <w:r w:rsidR="00993050" w:rsidRPr="009D0A4A">
        <w:t>reduce the risk to workers from exposure to RCS</w:t>
      </w:r>
      <w:r w:rsidR="005676B5" w:rsidRPr="009D0A4A">
        <w:t>.</w:t>
      </w:r>
    </w:p>
    <w:p w14:paraId="748638D4" w14:textId="197684B2" w:rsidR="008E698E" w:rsidRPr="009D0A4A" w:rsidRDefault="77513FF5" w:rsidP="003801F8">
      <w:pPr>
        <w:pStyle w:val="Heading2"/>
      </w:pPr>
      <w:bookmarkStart w:id="606" w:name="_Toc107395321"/>
      <w:r w:rsidRPr="009D0A4A">
        <w:t>Option 4</w:t>
      </w:r>
      <w:r w:rsidR="00D14CC1" w:rsidRPr="009D0A4A">
        <w:t>:</w:t>
      </w:r>
      <w:r w:rsidRPr="009D0A4A">
        <w:t xml:space="preserve"> Implementation of a national licensing framework for PCBUs working with engineered stone</w:t>
      </w:r>
      <w:bookmarkEnd w:id="604"/>
      <w:bookmarkEnd w:id="605"/>
      <w:bookmarkEnd w:id="606"/>
    </w:p>
    <w:p w14:paraId="5C611CD9" w14:textId="782FEFA0" w:rsidR="003F7445" w:rsidRPr="009D0A4A" w:rsidRDefault="00EC06FD" w:rsidP="00FA48E5">
      <w:pPr>
        <w:pStyle w:val="BodyText1"/>
        <w:jc w:val="both"/>
        <w:rPr>
          <w:rFonts w:asciiTheme="minorHAnsi" w:hAnsiTheme="minorHAnsi" w:cstheme="minorHAnsi"/>
          <w:sz w:val="20"/>
          <w:szCs w:val="20"/>
        </w:rPr>
      </w:pPr>
      <w:r w:rsidRPr="009D0A4A">
        <w:rPr>
          <w:rFonts w:asciiTheme="minorHAnsi" w:hAnsiTheme="minorHAnsi" w:cstheme="minorHAnsi"/>
          <w:sz w:val="20"/>
          <w:szCs w:val="20"/>
        </w:rPr>
        <w:t xml:space="preserve">This option seeks to implement a national licensing framework for PCBUs working with engineered stone, under the model WHS laws. </w:t>
      </w:r>
      <w:bookmarkStart w:id="607" w:name="_Hlk96510863"/>
      <w:r w:rsidRPr="009D0A4A">
        <w:rPr>
          <w:rFonts w:asciiTheme="minorHAnsi" w:hAnsiTheme="minorHAnsi" w:cstheme="minorHAnsi"/>
          <w:sz w:val="20"/>
          <w:szCs w:val="20"/>
        </w:rPr>
        <w:t xml:space="preserve">This option is based on the recent amendments related to licensing of employers working with engineered stone under </w:t>
      </w:r>
      <w:r w:rsidR="001D70FA" w:rsidRPr="009D0A4A">
        <w:rPr>
          <w:rFonts w:asciiTheme="minorHAnsi" w:hAnsiTheme="minorHAnsi" w:cstheme="minorHAnsi"/>
          <w:sz w:val="20"/>
          <w:szCs w:val="20"/>
        </w:rPr>
        <w:t xml:space="preserve">the </w:t>
      </w:r>
      <w:r w:rsidRPr="009D0A4A">
        <w:rPr>
          <w:rFonts w:asciiTheme="minorHAnsi" w:hAnsiTheme="minorHAnsi" w:cstheme="minorHAnsi"/>
          <w:sz w:val="20"/>
          <w:szCs w:val="20"/>
        </w:rPr>
        <w:t>Victorian Occupational Health and Safety Amendment (Crystalline Silica) Regulations 2021</w:t>
      </w:r>
      <w:bookmarkEnd w:id="607"/>
      <w:r w:rsidR="00647F5C" w:rsidRPr="009D0A4A">
        <w:rPr>
          <w:rFonts w:asciiTheme="minorHAnsi" w:hAnsiTheme="minorHAnsi" w:cstheme="minorHAnsi"/>
          <w:sz w:val="20"/>
          <w:szCs w:val="20"/>
        </w:rPr>
        <w:t xml:space="preserve"> and would require all PCBUs working with engineered stone to obtain a licence</w:t>
      </w:r>
      <w:r w:rsidR="00EB17F4" w:rsidRPr="009D0A4A">
        <w:rPr>
          <w:rFonts w:asciiTheme="minorHAnsi" w:hAnsiTheme="minorHAnsi" w:cstheme="minorHAnsi"/>
          <w:sz w:val="20"/>
          <w:szCs w:val="20"/>
        </w:rPr>
        <w:t xml:space="preserve"> to do so</w:t>
      </w:r>
      <w:r w:rsidR="00647F5C" w:rsidRPr="009D0A4A">
        <w:rPr>
          <w:rFonts w:asciiTheme="minorHAnsi" w:hAnsiTheme="minorHAnsi" w:cstheme="minorHAnsi"/>
          <w:sz w:val="20"/>
          <w:szCs w:val="20"/>
        </w:rPr>
        <w:t xml:space="preserve">. </w:t>
      </w:r>
      <w:r w:rsidR="00647F5C" w:rsidRPr="009D0A4A" w:rsidDel="00647F5C">
        <w:rPr>
          <w:rFonts w:asciiTheme="minorHAnsi" w:hAnsiTheme="minorHAnsi" w:cstheme="minorHAnsi"/>
          <w:sz w:val="20"/>
          <w:szCs w:val="20"/>
        </w:rPr>
        <w:t xml:space="preserve"> </w:t>
      </w:r>
    </w:p>
    <w:p w14:paraId="2060F31E" w14:textId="13CECC03" w:rsidR="00EC06FD" w:rsidRPr="009D0A4A" w:rsidRDefault="003F7445" w:rsidP="003F7445">
      <w:pPr>
        <w:pStyle w:val="BodyText1"/>
        <w:jc w:val="both"/>
        <w:rPr>
          <w:rFonts w:asciiTheme="minorHAnsi" w:hAnsiTheme="minorHAnsi" w:cstheme="minorHAnsi"/>
          <w:sz w:val="20"/>
          <w:szCs w:val="20"/>
        </w:rPr>
      </w:pPr>
      <w:r w:rsidRPr="009D0A4A">
        <w:rPr>
          <w:rFonts w:asciiTheme="minorHAnsi" w:hAnsiTheme="minorHAnsi" w:cstheme="minorHAnsi"/>
          <w:sz w:val="20"/>
          <w:szCs w:val="20"/>
        </w:rPr>
        <w:t>The requirements would be as follows:</w:t>
      </w:r>
    </w:p>
    <w:p w14:paraId="62A8A995" w14:textId="0A28689F" w:rsidR="00EC06FD" w:rsidRPr="009D0A4A" w:rsidRDefault="00EF4444" w:rsidP="000C20A5">
      <w:pPr>
        <w:pStyle w:val="BodyText1"/>
        <w:numPr>
          <w:ilvl w:val="0"/>
          <w:numId w:val="20"/>
        </w:numPr>
        <w:jc w:val="both"/>
        <w:rPr>
          <w:rFonts w:asciiTheme="minorHAnsi" w:hAnsiTheme="minorHAnsi" w:cstheme="minorHAnsi"/>
          <w:sz w:val="20"/>
          <w:szCs w:val="20"/>
        </w:rPr>
      </w:pPr>
      <w:r>
        <w:rPr>
          <w:rFonts w:asciiTheme="minorHAnsi" w:hAnsiTheme="minorHAnsi" w:cstheme="minorHAnsi"/>
          <w:sz w:val="20"/>
          <w:szCs w:val="20"/>
        </w:rPr>
        <w:t>e</w:t>
      </w:r>
      <w:r w:rsidR="00EC06FD" w:rsidRPr="009D0A4A">
        <w:rPr>
          <w:rFonts w:asciiTheme="minorHAnsi" w:hAnsiTheme="minorHAnsi" w:cstheme="minorHAnsi"/>
          <w:sz w:val="20"/>
          <w:szCs w:val="20"/>
        </w:rPr>
        <w:t>ngineered stone</w:t>
      </w:r>
      <w:r w:rsidR="003F7445" w:rsidRPr="009D0A4A">
        <w:rPr>
          <w:rFonts w:asciiTheme="minorHAnsi" w:hAnsiTheme="minorHAnsi" w:cstheme="minorHAnsi"/>
          <w:sz w:val="20"/>
          <w:szCs w:val="20"/>
        </w:rPr>
        <w:t xml:space="preserve"> would be defined</w:t>
      </w:r>
      <w:r w:rsidR="00EC06FD" w:rsidRPr="009D0A4A">
        <w:rPr>
          <w:rFonts w:asciiTheme="minorHAnsi" w:hAnsiTheme="minorHAnsi" w:cstheme="minorHAnsi"/>
          <w:sz w:val="20"/>
          <w:szCs w:val="20"/>
        </w:rPr>
        <w:t xml:space="preserve"> </w:t>
      </w:r>
      <w:r w:rsidR="005F0B7C" w:rsidRPr="009D0A4A">
        <w:rPr>
          <w:rFonts w:asciiTheme="minorHAnsi" w:hAnsiTheme="minorHAnsi" w:cstheme="minorHAnsi"/>
          <w:sz w:val="20"/>
          <w:szCs w:val="20"/>
        </w:rPr>
        <w:t>consistent with the definition of</w:t>
      </w:r>
      <w:r w:rsidR="00EC06FD" w:rsidRPr="009D0A4A">
        <w:rPr>
          <w:rFonts w:asciiTheme="minorHAnsi" w:hAnsiTheme="minorHAnsi" w:cstheme="minorHAnsi"/>
          <w:i/>
          <w:sz w:val="20"/>
          <w:szCs w:val="20"/>
        </w:rPr>
        <w:t xml:space="preserve"> </w:t>
      </w:r>
      <w:r w:rsidR="00EC06FD" w:rsidRPr="009D0A4A">
        <w:rPr>
          <w:rFonts w:asciiTheme="minorHAnsi" w:hAnsiTheme="minorHAnsi" w:cstheme="minorHAnsi"/>
          <w:sz w:val="20"/>
          <w:szCs w:val="20"/>
        </w:rPr>
        <w:t>Model Code of Practice: Managing the risks of respirable crystalline silica from engineered stone in the workplace</w:t>
      </w:r>
      <w:r w:rsidR="00675685" w:rsidRPr="009D0A4A">
        <w:rPr>
          <w:rFonts w:asciiTheme="minorHAnsi" w:hAnsiTheme="minorHAnsi" w:cstheme="minorHAnsi"/>
          <w:sz w:val="20"/>
          <w:szCs w:val="20"/>
        </w:rPr>
        <w:t xml:space="preserve"> </w:t>
      </w:r>
      <w:r w:rsidR="00675685" w:rsidRPr="009D0A4A">
        <w:rPr>
          <w:rFonts w:asciiTheme="minorHAnsi" w:hAnsiTheme="minorHAnsi" w:cstheme="minorHAnsi"/>
          <w:sz w:val="20"/>
          <w:szCs w:val="20"/>
        </w:rPr>
        <w:fldChar w:fldCharType="begin"/>
      </w:r>
      <w:r w:rsidR="004067E3">
        <w:rPr>
          <w:rFonts w:asciiTheme="minorHAnsi" w:hAnsiTheme="minorHAnsi" w:cstheme="minorHAnsi"/>
          <w:sz w:val="20"/>
          <w:szCs w:val="20"/>
        </w:rPr>
        <w:instrText xml:space="preserve"> ADDIN ZOTERO_ITEM CSL_CITATION {"citationID":"CQ1K4nZS","properties":{"formattedCitation":"(Safe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00675685" w:rsidRPr="009D0A4A">
        <w:rPr>
          <w:rFonts w:asciiTheme="minorHAnsi" w:hAnsiTheme="minorHAnsi" w:cstheme="minorHAnsi"/>
          <w:sz w:val="20"/>
          <w:szCs w:val="20"/>
        </w:rPr>
        <w:fldChar w:fldCharType="separate"/>
      </w:r>
      <w:r w:rsidR="006B4A7D" w:rsidRPr="009D0A4A">
        <w:rPr>
          <w:rFonts w:asciiTheme="minorHAnsi" w:hAnsiTheme="minorHAnsi" w:cstheme="minorHAnsi"/>
          <w:sz w:val="20"/>
          <w:szCs w:val="20"/>
        </w:rPr>
        <w:t>(Safe Work Australia 2021a)</w:t>
      </w:r>
      <w:r w:rsidR="00675685" w:rsidRPr="009D0A4A">
        <w:rPr>
          <w:rFonts w:asciiTheme="minorHAnsi" w:hAnsiTheme="minorHAnsi" w:cstheme="minorHAnsi"/>
          <w:sz w:val="20"/>
          <w:szCs w:val="20"/>
        </w:rPr>
        <w:fldChar w:fldCharType="end"/>
      </w:r>
      <w:r w:rsidR="00EC06FD" w:rsidRPr="009D0A4A">
        <w:rPr>
          <w:rFonts w:asciiTheme="minorHAnsi" w:hAnsiTheme="minorHAnsi" w:cstheme="minorHAnsi"/>
          <w:sz w:val="20"/>
          <w:szCs w:val="20"/>
        </w:rPr>
        <w:t>.</w:t>
      </w:r>
    </w:p>
    <w:p w14:paraId="445A08ED" w14:textId="4B424532" w:rsidR="00EC06FD" w:rsidRPr="009D0A4A" w:rsidRDefault="00A429DE"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a</w:t>
      </w:r>
      <w:r w:rsidR="00EC06FD" w:rsidRPr="009D0A4A">
        <w:rPr>
          <w:rFonts w:asciiTheme="minorHAnsi" w:hAnsiTheme="minorHAnsi" w:cstheme="minorHAnsi"/>
          <w:sz w:val="20"/>
          <w:szCs w:val="20"/>
        </w:rPr>
        <w:t>n “engineered stone process”</w:t>
      </w:r>
      <w:r w:rsidR="003F7445" w:rsidRPr="009D0A4A">
        <w:rPr>
          <w:rFonts w:asciiTheme="minorHAnsi" w:hAnsiTheme="minorHAnsi" w:cstheme="minorHAnsi"/>
          <w:sz w:val="20"/>
          <w:szCs w:val="20"/>
        </w:rPr>
        <w:t xml:space="preserve"> </w:t>
      </w:r>
      <w:r w:rsidR="00EC06FD" w:rsidRPr="009D0A4A">
        <w:rPr>
          <w:rFonts w:asciiTheme="minorHAnsi" w:hAnsiTheme="minorHAnsi" w:cstheme="minorHAnsi"/>
          <w:sz w:val="20"/>
          <w:szCs w:val="20"/>
        </w:rPr>
        <w:t>would be defined, in line with the Victorian regulations, as “a process involving engineered stone at a workplace that generates crystalline silica dust, including cutting, grinding or abrasive polishing of engineered stone”.</w:t>
      </w:r>
    </w:p>
    <w:p w14:paraId="40133C49" w14:textId="0CE95065" w:rsidR="003F7445" w:rsidRPr="009D0A4A" w:rsidRDefault="003F7445"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PCBUs </w:t>
      </w:r>
      <w:r w:rsidR="00647F5C" w:rsidRPr="009D0A4A">
        <w:rPr>
          <w:rFonts w:asciiTheme="minorHAnsi" w:hAnsiTheme="minorHAnsi" w:cstheme="minorHAnsi"/>
          <w:sz w:val="20"/>
          <w:szCs w:val="20"/>
        </w:rPr>
        <w:t xml:space="preserve">(not individual workers) </w:t>
      </w:r>
      <w:r w:rsidRPr="009D0A4A">
        <w:rPr>
          <w:rFonts w:asciiTheme="minorHAnsi" w:hAnsiTheme="minorHAnsi" w:cstheme="minorHAnsi"/>
          <w:sz w:val="20"/>
          <w:szCs w:val="20"/>
        </w:rPr>
        <w:t xml:space="preserve">undertaking an engineered stone process would be required to </w:t>
      </w:r>
      <w:r w:rsidR="00EB17F4" w:rsidRPr="009D0A4A">
        <w:rPr>
          <w:rFonts w:asciiTheme="minorHAnsi" w:hAnsiTheme="minorHAnsi" w:cstheme="minorHAnsi"/>
          <w:sz w:val="20"/>
          <w:szCs w:val="20"/>
        </w:rPr>
        <w:t>obtain and hold</w:t>
      </w:r>
      <w:r w:rsidRPr="009D0A4A">
        <w:rPr>
          <w:rFonts w:asciiTheme="minorHAnsi" w:hAnsiTheme="minorHAnsi" w:cstheme="minorHAnsi"/>
          <w:sz w:val="20"/>
          <w:szCs w:val="20"/>
        </w:rPr>
        <w:t xml:space="preserve"> a </w:t>
      </w:r>
      <w:r w:rsidR="007C706E" w:rsidRPr="009D0A4A">
        <w:rPr>
          <w:rFonts w:asciiTheme="minorHAnsi" w:hAnsiTheme="minorHAnsi" w:cstheme="minorHAnsi"/>
          <w:sz w:val="20"/>
          <w:szCs w:val="20"/>
        </w:rPr>
        <w:t xml:space="preserve">licence </w:t>
      </w:r>
      <w:r w:rsidR="00971153" w:rsidRPr="009D0A4A">
        <w:rPr>
          <w:rFonts w:asciiTheme="minorHAnsi" w:hAnsiTheme="minorHAnsi" w:cstheme="minorHAnsi"/>
          <w:sz w:val="20"/>
          <w:szCs w:val="20"/>
        </w:rPr>
        <w:t>with the state or territory regulator</w:t>
      </w:r>
      <w:r w:rsidRPr="009D0A4A">
        <w:rPr>
          <w:rFonts w:asciiTheme="minorHAnsi" w:hAnsiTheme="minorHAnsi" w:cstheme="minorHAnsi"/>
          <w:sz w:val="20"/>
          <w:szCs w:val="20"/>
        </w:rPr>
        <w:t xml:space="preserve">. </w:t>
      </w:r>
      <w:r w:rsidR="00F868BC" w:rsidRPr="009D0A4A">
        <w:rPr>
          <w:rFonts w:asciiTheme="minorHAnsi" w:hAnsiTheme="minorHAnsi" w:cstheme="minorHAnsi"/>
          <w:sz w:val="20"/>
          <w:szCs w:val="20"/>
        </w:rPr>
        <w:t xml:space="preserve">Licences would require renewal every 5 years. </w:t>
      </w:r>
    </w:p>
    <w:p w14:paraId="4D154749" w14:textId="48657A29" w:rsidR="00EC06FD" w:rsidRPr="009D0A4A" w:rsidRDefault="00A429DE"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s</w:t>
      </w:r>
      <w:r w:rsidR="00EC06FD" w:rsidRPr="009D0A4A">
        <w:rPr>
          <w:rFonts w:asciiTheme="minorHAnsi" w:hAnsiTheme="minorHAnsi" w:cstheme="minorHAnsi"/>
          <w:sz w:val="20"/>
          <w:szCs w:val="20"/>
        </w:rPr>
        <w:t xml:space="preserve">uppliers of engineered stone </w:t>
      </w:r>
      <w:r w:rsidR="003F7445" w:rsidRPr="009D0A4A">
        <w:rPr>
          <w:rFonts w:asciiTheme="minorHAnsi" w:hAnsiTheme="minorHAnsi" w:cstheme="minorHAnsi"/>
          <w:sz w:val="20"/>
          <w:szCs w:val="20"/>
        </w:rPr>
        <w:t xml:space="preserve">would be prohibited </w:t>
      </w:r>
      <w:r w:rsidR="00EB17F4" w:rsidRPr="009D0A4A">
        <w:rPr>
          <w:rFonts w:asciiTheme="minorHAnsi" w:hAnsiTheme="minorHAnsi" w:cstheme="minorHAnsi"/>
          <w:sz w:val="20"/>
          <w:szCs w:val="20"/>
        </w:rPr>
        <w:t>from</w:t>
      </w:r>
      <w:r w:rsidR="00EC06FD" w:rsidRPr="009D0A4A">
        <w:rPr>
          <w:rFonts w:asciiTheme="minorHAnsi" w:hAnsiTheme="minorHAnsi" w:cstheme="minorHAnsi"/>
          <w:sz w:val="20"/>
          <w:szCs w:val="20"/>
        </w:rPr>
        <w:t xml:space="preserve"> supply</w:t>
      </w:r>
      <w:r w:rsidR="00EB17F4" w:rsidRPr="009D0A4A">
        <w:rPr>
          <w:rFonts w:asciiTheme="minorHAnsi" w:hAnsiTheme="minorHAnsi" w:cstheme="minorHAnsi"/>
          <w:sz w:val="20"/>
          <w:szCs w:val="20"/>
        </w:rPr>
        <w:t>ing</w:t>
      </w:r>
      <w:r w:rsidR="00EC06FD" w:rsidRPr="009D0A4A">
        <w:rPr>
          <w:rFonts w:asciiTheme="minorHAnsi" w:hAnsiTheme="minorHAnsi" w:cstheme="minorHAnsi"/>
          <w:sz w:val="20"/>
          <w:szCs w:val="20"/>
        </w:rPr>
        <w:t xml:space="preserve"> engineered stone to a person who requires an engineered stone licence but does not have one</w:t>
      </w:r>
      <w:r w:rsidR="003F7445" w:rsidRPr="009D0A4A">
        <w:rPr>
          <w:rFonts w:asciiTheme="minorHAnsi" w:hAnsiTheme="minorHAnsi" w:cstheme="minorHAnsi"/>
          <w:sz w:val="20"/>
          <w:szCs w:val="20"/>
        </w:rPr>
        <w:t>. S</w:t>
      </w:r>
      <w:r w:rsidR="00EC06FD" w:rsidRPr="009D0A4A">
        <w:rPr>
          <w:rFonts w:asciiTheme="minorHAnsi" w:hAnsiTheme="minorHAnsi" w:cstheme="minorHAnsi"/>
          <w:sz w:val="20"/>
          <w:szCs w:val="20"/>
        </w:rPr>
        <w:t>uppliers</w:t>
      </w:r>
      <w:r w:rsidR="003F7445" w:rsidRPr="009D0A4A">
        <w:rPr>
          <w:rFonts w:asciiTheme="minorHAnsi" w:hAnsiTheme="minorHAnsi" w:cstheme="minorHAnsi"/>
          <w:sz w:val="20"/>
          <w:szCs w:val="20"/>
        </w:rPr>
        <w:t xml:space="preserve"> would be required</w:t>
      </w:r>
      <w:r w:rsidR="00EC06FD" w:rsidRPr="009D0A4A">
        <w:rPr>
          <w:rFonts w:asciiTheme="minorHAnsi" w:hAnsiTheme="minorHAnsi" w:cstheme="minorHAnsi"/>
          <w:sz w:val="20"/>
          <w:szCs w:val="20"/>
        </w:rPr>
        <w:t xml:space="preserve"> to retain records of PCBUs who have been supplied engineered stone.</w:t>
      </w:r>
    </w:p>
    <w:p w14:paraId="445C9788" w14:textId="780C5F6B" w:rsidR="00EC06FD" w:rsidRPr="009D0A4A" w:rsidRDefault="00A429DE"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lastRenderedPageBreak/>
        <w:t>l</w:t>
      </w:r>
      <w:r w:rsidR="00EC06FD" w:rsidRPr="009D0A4A">
        <w:rPr>
          <w:rFonts w:asciiTheme="minorHAnsi" w:hAnsiTheme="minorHAnsi" w:cstheme="minorHAnsi"/>
          <w:sz w:val="20"/>
          <w:szCs w:val="20"/>
        </w:rPr>
        <w:t xml:space="preserve">icensees </w:t>
      </w:r>
      <w:r w:rsidR="003F7445" w:rsidRPr="009D0A4A">
        <w:rPr>
          <w:rFonts w:asciiTheme="minorHAnsi" w:hAnsiTheme="minorHAnsi" w:cstheme="minorHAnsi"/>
          <w:sz w:val="20"/>
          <w:szCs w:val="20"/>
        </w:rPr>
        <w:t xml:space="preserve">would be required </w:t>
      </w:r>
      <w:r w:rsidR="00EC06FD" w:rsidRPr="009D0A4A">
        <w:rPr>
          <w:rFonts w:asciiTheme="minorHAnsi" w:hAnsiTheme="minorHAnsi" w:cstheme="minorHAnsi"/>
          <w:sz w:val="20"/>
          <w:szCs w:val="20"/>
        </w:rPr>
        <w:t>to provide information to workers prior to commencing work with engineered stone. This includes instruction, information and training about the health risks associated with exposure to crystalline silica dust, the need for appropriate controls, and application of controls.</w:t>
      </w:r>
    </w:p>
    <w:p w14:paraId="2F2E1858" w14:textId="0DB574A0" w:rsidR="00EC06FD" w:rsidRPr="009D0A4A" w:rsidRDefault="00A429DE"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l</w:t>
      </w:r>
      <w:r w:rsidR="00EC06FD" w:rsidRPr="009D0A4A">
        <w:rPr>
          <w:rFonts w:asciiTheme="minorHAnsi" w:hAnsiTheme="minorHAnsi" w:cstheme="minorHAnsi"/>
          <w:sz w:val="20"/>
          <w:szCs w:val="20"/>
        </w:rPr>
        <w:t xml:space="preserve">icensees </w:t>
      </w:r>
      <w:r w:rsidR="003F7445" w:rsidRPr="009D0A4A">
        <w:rPr>
          <w:rFonts w:asciiTheme="minorHAnsi" w:hAnsiTheme="minorHAnsi" w:cstheme="minorHAnsi"/>
          <w:sz w:val="20"/>
          <w:szCs w:val="20"/>
        </w:rPr>
        <w:t xml:space="preserve">would have an explicit duty </w:t>
      </w:r>
      <w:r w:rsidR="00EC06FD" w:rsidRPr="009D0A4A">
        <w:rPr>
          <w:rFonts w:asciiTheme="minorHAnsi" w:hAnsiTheme="minorHAnsi" w:cstheme="minorHAnsi"/>
          <w:sz w:val="20"/>
          <w:szCs w:val="20"/>
        </w:rPr>
        <w:t xml:space="preserve">to undertake and report health monitoring for their workers. In addition to the requirements of </w:t>
      </w:r>
      <w:r w:rsidR="00651D92" w:rsidRPr="009D0A4A">
        <w:rPr>
          <w:rFonts w:asciiTheme="minorHAnsi" w:hAnsiTheme="minorHAnsi" w:cstheme="minorHAnsi"/>
          <w:sz w:val="20"/>
          <w:szCs w:val="20"/>
        </w:rPr>
        <w:t>model WHS Regulations r</w:t>
      </w:r>
      <w:r w:rsidR="00EC06FD" w:rsidRPr="009D0A4A">
        <w:rPr>
          <w:rFonts w:asciiTheme="minorHAnsi" w:hAnsiTheme="minorHAnsi" w:cstheme="minorHAnsi"/>
          <w:sz w:val="20"/>
          <w:szCs w:val="20"/>
        </w:rPr>
        <w:t xml:space="preserve">368-378, licensees </w:t>
      </w:r>
      <w:r w:rsidR="003F7445" w:rsidRPr="009D0A4A">
        <w:rPr>
          <w:rFonts w:asciiTheme="minorHAnsi" w:hAnsiTheme="minorHAnsi" w:cstheme="minorHAnsi"/>
          <w:sz w:val="20"/>
          <w:szCs w:val="20"/>
        </w:rPr>
        <w:t>would be required to</w:t>
      </w:r>
      <w:r w:rsidR="00EC06FD" w:rsidRPr="009D0A4A">
        <w:rPr>
          <w:rFonts w:asciiTheme="minorHAnsi" w:hAnsiTheme="minorHAnsi" w:cstheme="minorHAnsi"/>
          <w:sz w:val="20"/>
          <w:szCs w:val="20"/>
        </w:rPr>
        <w:t xml:space="preserve"> provide all results of health monitoring to the WHS regulator within 30 days of receiving reports.</w:t>
      </w:r>
    </w:p>
    <w:p w14:paraId="1668BCF1" w14:textId="0547CF35" w:rsidR="00EC06FD" w:rsidRPr="009D0A4A" w:rsidRDefault="00A429DE"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l</w:t>
      </w:r>
      <w:r w:rsidR="003F7445" w:rsidRPr="009D0A4A">
        <w:rPr>
          <w:rFonts w:asciiTheme="minorHAnsi" w:hAnsiTheme="minorHAnsi" w:cstheme="minorHAnsi"/>
          <w:sz w:val="20"/>
          <w:szCs w:val="20"/>
        </w:rPr>
        <w:t xml:space="preserve">icensees would have an explicit duty </w:t>
      </w:r>
      <w:r w:rsidR="00EC06FD" w:rsidRPr="009D0A4A">
        <w:rPr>
          <w:rFonts w:asciiTheme="minorHAnsi" w:hAnsiTheme="minorHAnsi" w:cstheme="minorHAnsi"/>
          <w:sz w:val="20"/>
          <w:szCs w:val="20"/>
        </w:rPr>
        <w:t xml:space="preserve">to undertake and report air monitoring. In addition to the requirements of </w:t>
      </w:r>
      <w:r w:rsidR="00651D92" w:rsidRPr="009D0A4A">
        <w:rPr>
          <w:rFonts w:asciiTheme="minorHAnsi" w:hAnsiTheme="minorHAnsi" w:cstheme="minorHAnsi"/>
          <w:sz w:val="20"/>
          <w:szCs w:val="20"/>
        </w:rPr>
        <w:t>model WHS Regulations r</w:t>
      </w:r>
      <w:r w:rsidR="00EC06FD" w:rsidRPr="009D0A4A">
        <w:rPr>
          <w:rFonts w:asciiTheme="minorHAnsi" w:hAnsiTheme="minorHAnsi" w:cstheme="minorHAnsi"/>
          <w:sz w:val="20"/>
          <w:szCs w:val="20"/>
        </w:rPr>
        <w:t>50, licensees must provide all results of air monitoring to the WHS regulator within 30 days of receiving reports.</w:t>
      </w:r>
    </w:p>
    <w:p w14:paraId="4B251C47" w14:textId="2EE4D6C2" w:rsidR="00EC06FD" w:rsidRPr="009D0A4A" w:rsidRDefault="00A429DE"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l</w:t>
      </w:r>
      <w:r w:rsidR="00EC06FD" w:rsidRPr="009D0A4A">
        <w:rPr>
          <w:rFonts w:asciiTheme="minorHAnsi" w:hAnsiTheme="minorHAnsi" w:cstheme="minorHAnsi"/>
          <w:sz w:val="20"/>
          <w:szCs w:val="20"/>
        </w:rPr>
        <w:t xml:space="preserve">icensees </w:t>
      </w:r>
      <w:r w:rsidR="003F7445" w:rsidRPr="009D0A4A">
        <w:rPr>
          <w:rFonts w:asciiTheme="minorHAnsi" w:hAnsiTheme="minorHAnsi" w:cstheme="minorHAnsi"/>
          <w:sz w:val="20"/>
          <w:szCs w:val="20"/>
        </w:rPr>
        <w:t xml:space="preserve">would be required </w:t>
      </w:r>
      <w:r w:rsidR="00EC06FD" w:rsidRPr="009D0A4A">
        <w:rPr>
          <w:rFonts w:asciiTheme="minorHAnsi" w:hAnsiTheme="minorHAnsi" w:cstheme="minorHAnsi"/>
          <w:sz w:val="20"/>
          <w:szCs w:val="20"/>
        </w:rPr>
        <w:t>to develop and implement an engineered stone control plan which:</w:t>
      </w:r>
    </w:p>
    <w:p w14:paraId="69BAA881" w14:textId="77777777" w:rsidR="00EC06FD" w:rsidRPr="009D0A4A" w:rsidRDefault="00EC06FD" w:rsidP="000C20A5">
      <w:pPr>
        <w:pStyle w:val="BodyText"/>
        <w:numPr>
          <w:ilvl w:val="1"/>
          <w:numId w:val="20"/>
        </w:numPr>
        <w:jc w:val="both"/>
      </w:pPr>
      <w:r w:rsidRPr="009D0A4A">
        <w:t xml:space="preserve">identifies the work undertaken by the licence holder that requires an engineered stone licence, </w:t>
      </w:r>
    </w:p>
    <w:p w14:paraId="38DF5F77" w14:textId="7D7C0E0E" w:rsidR="00EC06FD" w:rsidRPr="009D0A4A" w:rsidRDefault="00EC06FD" w:rsidP="000C20A5">
      <w:pPr>
        <w:pStyle w:val="BodyText"/>
        <w:numPr>
          <w:ilvl w:val="1"/>
          <w:numId w:val="20"/>
        </w:numPr>
        <w:jc w:val="both"/>
      </w:pPr>
      <w:r w:rsidRPr="009D0A4A">
        <w:t>states the hazards and risks associated with that work</w:t>
      </w:r>
      <w:r w:rsidR="00123741" w:rsidRPr="009D0A4A">
        <w:t xml:space="preserve"> (i.e. includes a risk assessment)</w:t>
      </w:r>
      <w:r w:rsidRPr="009D0A4A">
        <w:t>,</w:t>
      </w:r>
    </w:p>
    <w:p w14:paraId="6C5E22B5" w14:textId="77777777" w:rsidR="00EC06FD" w:rsidRPr="009D0A4A" w:rsidRDefault="00EC06FD" w:rsidP="000C20A5">
      <w:pPr>
        <w:pStyle w:val="BodyText"/>
        <w:numPr>
          <w:ilvl w:val="1"/>
          <w:numId w:val="20"/>
        </w:numPr>
        <w:jc w:val="both"/>
      </w:pPr>
      <w:r w:rsidRPr="009D0A4A">
        <w:t xml:space="preserve">sufficiently describes measures to control those risks, </w:t>
      </w:r>
    </w:p>
    <w:p w14:paraId="726668B8" w14:textId="77777777" w:rsidR="00EC06FD" w:rsidRPr="009D0A4A" w:rsidRDefault="00EC06FD" w:rsidP="000C20A5">
      <w:pPr>
        <w:pStyle w:val="BodyText"/>
        <w:numPr>
          <w:ilvl w:val="1"/>
          <w:numId w:val="20"/>
        </w:numPr>
        <w:jc w:val="both"/>
      </w:pPr>
      <w:r w:rsidRPr="009D0A4A">
        <w:t xml:space="preserve">describes how the risk control measures are to be implemented, and </w:t>
      </w:r>
    </w:p>
    <w:p w14:paraId="5DCC5B7E" w14:textId="77777777" w:rsidR="00EC06FD" w:rsidRPr="009D0A4A" w:rsidRDefault="00EC06FD" w:rsidP="000C20A5">
      <w:pPr>
        <w:pStyle w:val="BodyText"/>
        <w:numPr>
          <w:ilvl w:val="1"/>
          <w:numId w:val="20"/>
        </w:numPr>
        <w:jc w:val="both"/>
      </w:pPr>
      <w:r w:rsidRPr="009D0A4A">
        <w:t>is set out and expressed in a way that is readily accessible and comprehensible to all people who use it.</w:t>
      </w:r>
    </w:p>
    <w:p w14:paraId="03DEEC56" w14:textId="1C0F944A" w:rsidR="00EC06FD" w:rsidRPr="009D0A4A" w:rsidRDefault="00A429DE"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l</w:t>
      </w:r>
      <w:r w:rsidR="003F7445" w:rsidRPr="009D0A4A">
        <w:rPr>
          <w:rFonts w:asciiTheme="minorHAnsi" w:hAnsiTheme="minorHAnsi" w:cstheme="minorHAnsi"/>
          <w:sz w:val="20"/>
          <w:szCs w:val="20"/>
        </w:rPr>
        <w:t>icensees would be required to</w:t>
      </w:r>
      <w:r w:rsidR="00EC06FD" w:rsidRPr="009D0A4A">
        <w:rPr>
          <w:rFonts w:asciiTheme="minorHAnsi" w:hAnsiTheme="minorHAnsi" w:cstheme="minorHAnsi"/>
          <w:sz w:val="20"/>
          <w:szCs w:val="20"/>
        </w:rPr>
        <w:t xml:space="preserve"> implement specific control measures, including:</w:t>
      </w:r>
    </w:p>
    <w:p w14:paraId="1A1D4083" w14:textId="77777777" w:rsidR="00EC06FD" w:rsidRPr="009D0A4A" w:rsidRDefault="00EC06FD" w:rsidP="000C20A5">
      <w:pPr>
        <w:pStyle w:val="BodyText"/>
        <w:numPr>
          <w:ilvl w:val="1"/>
          <w:numId w:val="20"/>
        </w:numPr>
        <w:jc w:val="both"/>
      </w:pPr>
      <w:r w:rsidRPr="009D0A4A">
        <w:t>use of local exhaust ventilation, on tool dust extraction and/or water suppression when using a power tool or mechanical plant to process engineered stone,</w:t>
      </w:r>
    </w:p>
    <w:p w14:paraId="6F40ADF0" w14:textId="77777777" w:rsidR="00EC06FD" w:rsidRPr="009D0A4A" w:rsidRDefault="00EC06FD" w:rsidP="000C20A5">
      <w:pPr>
        <w:pStyle w:val="BodyText"/>
        <w:numPr>
          <w:ilvl w:val="1"/>
          <w:numId w:val="20"/>
        </w:numPr>
        <w:jc w:val="both"/>
      </w:pPr>
      <w:r w:rsidRPr="009D0A4A">
        <w:t>ensuring that workers are provided and use appropriate respiratory protective equipment,</w:t>
      </w:r>
    </w:p>
    <w:p w14:paraId="1F5DD3EA" w14:textId="77777777" w:rsidR="00EC06FD" w:rsidRPr="009D0A4A" w:rsidRDefault="00EC06FD" w:rsidP="000C20A5">
      <w:pPr>
        <w:pStyle w:val="BodyText"/>
        <w:numPr>
          <w:ilvl w:val="1"/>
          <w:numId w:val="20"/>
        </w:numPr>
        <w:jc w:val="both"/>
      </w:pPr>
      <w:r w:rsidRPr="009D0A4A">
        <w:t>provision of information, instruction and training, and</w:t>
      </w:r>
    </w:p>
    <w:p w14:paraId="4AF7CE8E" w14:textId="77777777" w:rsidR="0040556A" w:rsidRPr="009D0A4A" w:rsidRDefault="00EC06FD" w:rsidP="000C20A5">
      <w:pPr>
        <w:pStyle w:val="BodyText"/>
        <w:numPr>
          <w:ilvl w:val="1"/>
          <w:numId w:val="20"/>
        </w:numPr>
        <w:jc w:val="both"/>
      </w:pPr>
      <w:r w:rsidRPr="009D0A4A">
        <w:t>ensuring compressed air is not used for cleaning.</w:t>
      </w:r>
      <w:r w:rsidR="0040556A" w:rsidRPr="009D0A4A">
        <w:t xml:space="preserve"> </w:t>
      </w:r>
    </w:p>
    <w:p w14:paraId="62DC66BF" w14:textId="69C0BE9B" w:rsidR="402C01A9" w:rsidRPr="009D0A4A" w:rsidRDefault="00F868BC" w:rsidP="00F868BC">
      <w:pPr>
        <w:pStyle w:val="BodyText1"/>
        <w:spacing w:line="240" w:lineRule="auto"/>
        <w:jc w:val="both"/>
        <w:rPr>
          <w:rFonts w:asciiTheme="minorHAnsi" w:hAnsiTheme="minorHAnsi" w:cstheme="minorHAnsi"/>
          <w:sz w:val="20"/>
          <w:szCs w:val="20"/>
        </w:rPr>
      </w:pPr>
      <w:r w:rsidRPr="009D0A4A">
        <w:rPr>
          <w:rFonts w:asciiTheme="minorHAnsi" w:hAnsiTheme="minorHAnsi" w:cstheme="minorHAnsi"/>
          <w:sz w:val="20"/>
          <w:szCs w:val="20"/>
        </w:rPr>
        <w:t xml:space="preserve">It is also expected that </w:t>
      </w:r>
      <w:r w:rsidR="00A429DE" w:rsidRPr="009D0A4A">
        <w:rPr>
          <w:rFonts w:asciiTheme="minorHAnsi" w:hAnsiTheme="minorHAnsi" w:cstheme="minorHAnsi"/>
          <w:sz w:val="20"/>
          <w:szCs w:val="20"/>
        </w:rPr>
        <w:t>WHS r</w:t>
      </w:r>
      <w:r w:rsidR="00EC06FD" w:rsidRPr="009D0A4A">
        <w:rPr>
          <w:rFonts w:asciiTheme="minorHAnsi" w:hAnsiTheme="minorHAnsi" w:cstheme="minorHAnsi"/>
          <w:sz w:val="20"/>
          <w:szCs w:val="20"/>
        </w:rPr>
        <w:t xml:space="preserve">egulators </w:t>
      </w:r>
      <w:r w:rsidRPr="009D0A4A">
        <w:rPr>
          <w:rFonts w:asciiTheme="minorHAnsi" w:hAnsiTheme="minorHAnsi" w:cstheme="minorHAnsi"/>
          <w:sz w:val="20"/>
          <w:szCs w:val="20"/>
        </w:rPr>
        <w:t xml:space="preserve">would implement </w:t>
      </w:r>
      <w:r w:rsidR="00EC06FD" w:rsidRPr="009D0A4A">
        <w:rPr>
          <w:rFonts w:asciiTheme="minorHAnsi" w:hAnsiTheme="minorHAnsi" w:cstheme="minorHAnsi"/>
          <w:sz w:val="20"/>
          <w:szCs w:val="20"/>
        </w:rPr>
        <w:t>a program of scheduled and unscheduled audits of licensees</w:t>
      </w:r>
      <w:r w:rsidRPr="009D0A4A">
        <w:rPr>
          <w:rFonts w:asciiTheme="minorHAnsi" w:hAnsiTheme="minorHAnsi" w:cstheme="minorHAnsi"/>
          <w:sz w:val="20"/>
          <w:szCs w:val="20"/>
        </w:rPr>
        <w:t xml:space="preserve"> to support the licensing scheme</w:t>
      </w:r>
      <w:r w:rsidR="00EC06FD" w:rsidRPr="009D0A4A">
        <w:rPr>
          <w:rFonts w:asciiTheme="minorHAnsi" w:hAnsiTheme="minorHAnsi" w:cstheme="minorHAnsi"/>
          <w:sz w:val="20"/>
          <w:szCs w:val="20"/>
        </w:rPr>
        <w:t>.</w:t>
      </w:r>
    </w:p>
    <w:p w14:paraId="344A78E9" w14:textId="62DE3C06" w:rsidR="0069326F" w:rsidRPr="009D0A4A" w:rsidRDefault="006E674E" w:rsidP="0069326F">
      <w:pPr>
        <w:pStyle w:val="BodyText1"/>
        <w:spacing w:line="240" w:lineRule="auto"/>
        <w:jc w:val="both"/>
        <w:rPr>
          <w:rFonts w:asciiTheme="minorHAnsi" w:hAnsiTheme="minorHAnsi" w:cstheme="minorHAnsi"/>
          <w:sz w:val="20"/>
          <w:szCs w:val="20"/>
        </w:rPr>
      </w:pPr>
      <w:r w:rsidRPr="009D0A4A">
        <w:rPr>
          <w:rFonts w:asciiTheme="minorHAnsi" w:hAnsiTheme="minorHAnsi" w:cstheme="minorHAnsi"/>
          <w:sz w:val="20"/>
          <w:szCs w:val="20"/>
        </w:rPr>
        <w:t>If implemented, this</w:t>
      </w:r>
      <w:r w:rsidR="0069326F" w:rsidRPr="009D0A4A">
        <w:rPr>
          <w:rFonts w:asciiTheme="minorHAnsi" w:hAnsiTheme="minorHAnsi" w:cstheme="minorHAnsi"/>
          <w:sz w:val="20"/>
          <w:szCs w:val="20"/>
        </w:rPr>
        <w:t xml:space="preserve"> licensing </w:t>
      </w:r>
      <w:r w:rsidRPr="009D0A4A">
        <w:rPr>
          <w:rFonts w:asciiTheme="minorHAnsi" w:hAnsiTheme="minorHAnsi" w:cstheme="minorHAnsi"/>
          <w:sz w:val="20"/>
          <w:szCs w:val="20"/>
        </w:rPr>
        <w:t>framework</w:t>
      </w:r>
      <w:r w:rsidR="0069326F" w:rsidRPr="009D0A4A">
        <w:rPr>
          <w:rFonts w:asciiTheme="minorHAnsi" w:hAnsiTheme="minorHAnsi" w:cstheme="minorHAnsi"/>
          <w:sz w:val="20"/>
          <w:szCs w:val="20"/>
        </w:rPr>
        <w:t xml:space="preserve"> would be expected to:</w:t>
      </w:r>
    </w:p>
    <w:p w14:paraId="57DBE998" w14:textId="6EDCAD3D" w:rsidR="0069326F" w:rsidRPr="009D0A4A" w:rsidRDefault="00A429DE"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i</w:t>
      </w:r>
      <w:r w:rsidR="0069326F" w:rsidRPr="009D0A4A">
        <w:rPr>
          <w:rFonts w:asciiTheme="minorHAnsi" w:hAnsiTheme="minorHAnsi" w:cstheme="minorHAnsi"/>
          <w:sz w:val="20"/>
          <w:szCs w:val="20"/>
        </w:rPr>
        <w:t>mprove identification of PCBUs working with engineered stone</w:t>
      </w:r>
    </w:p>
    <w:p w14:paraId="13176EB4" w14:textId="2094A242" w:rsidR="006B1738" w:rsidRPr="009D0A4A" w:rsidRDefault="00A429DE"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c</w:t>
      </w:r>
      <w:r w:rsidR="0069326F" w:rsidRPr="009D0A4A">
        <w:rPr>
          <w:rFonts w:asciiTheme="minorHAnsi" w:hAnsiTheme="minorHAnsi" w:cstheme="minorHAnsi"/>
          <w:sz w:val="20"/>
          <w:szCs w:val="20"/>
        </w:rPr>
        <w:t xml:space="preserve">larify the duties related to air and health </w:t>
      </w:r>
      <w:r w:rsidR="004E3629" w:rsidRPr="009D0A4A">
        <w:rPr>
          <w:rFonts w:asciiTheme="minorHAnsi" w:hAnsiTheme="minorHAnsi" w:cstheme="minorHAnsi"/>
          <w:sz w:val="20"/>
          <w:szCs w:val="20"/>
        </w:rPr>
        <w:t xml:space="preserve">monitoring </w:t>
      </w:r>
      <w:r w:rsidR="00527EC0" w:rsidRPr="009D0A4A">
        <w:rPr>
          <w:rFonts w:asciiTheme="minorHAnsi" w:hAnsiTheme="minorHAnsi" w:cstheme="minorHAnsi"/>
          <w:sz w:val="20"/>
          <w:szCs w:val="20"/>
        </w:rPr>
        <w:t>for P</w:t>
      </w:r>
      <w:r w:rsidR="00EB17F4" w:rsidRPr="009D0A4A">
        <w:rPr>
          <w:rFonts w:asciiTheme="minorHAnsi" w:hAnsiTheme="minorHAnsi" w:cstheme="minorHAnsi"/>
          <w:sz w:val="20"/>
          <w:szCs w:val="20"/>
        </w:rPr>
        <w:t>C</w:t>
      </w:r>
      <w:r w:rsidR="00527EC0" w:rsidRPr="009D0A4A">
        <w:rPr>
          <w:rFonts w:asciiTheme="minorHAnsi" w:hAnsiTheme="minorHAnsi" w:cstheme="minorHAnsi"/>
          <w:sz w:val="20"/>
          <w:szCs w:val="20"/>
        </w:rPr>
        <w:t xml:space="preserve">BUs working with engineered stone </w:t>
      </w:r>
      <w:r w:rsidR="004E3629" w:rsidRPr="009D0A4A">
        <w:rPr>
          <w:rFonts w:asciiTheme="minorHAnsi" w:hAnsiTheme="minorHAnsi" w:cstheme="minorHAnsi"/>
          <w:sz w:val="20"/>
          <w:szCs w:val="20"/>
        </w:rPr>
        <w:t>and</w:t>
      </w:r>
      <w:r w:rsidR="0069326F" w:rsidRPr="009D0A4A">
        <w:rPr>
          <w:rFonts w:asciiTheme="minorHAnsi" w:hAnsiTheme="minorHAnsi" w:cstheme="minorHAnsi"/>
          <w:sz w:val="20"/>
          <w:szCs w:val="20"/>
        </w:rPr>
        <w:t xml:space="preserve"> include a duty to report all results t</w:t>
      </w:r>
      <w:r w:rsidR="009D2D9B" w:rsidRPr="009D0A4A">
        <w:rPr>
          <w:rFonts w:asciiTheme="minorHAnsi" w:hAnsiTheme="minorHAnsi" w:cstheme="minorHAnsi"/>
          <w:sz w:val="20"/>
          <w:szCs w:val="20"/>
        </w:rPr>
        <w:t>o</w:t>
      </w:r>
      <w:r w:rsidR="0069326F" w:rsidRPr="009D0A4A">
        <w:rPr>
          <w:rFonts w:asciiTheme="minorHAnsi" w:hAnsiTheme="minorHAnsi" w:cstheme="minorHAnsi"/>
          <w:sz w:val="20"/>
          <w:szCs w:val="20"/>
        </w:rPr>
        <w:t xml:space="preserve"> </w:t>
      </w:r>
      <w:r w:rsidR="006B1738" w:rsidRPr="009D0A4A">
        <w:rPr>
          <w:rFonts w:asciiTheme="minorHAnsi" w:hAnsiTheme="minorHAnsi" w:cstheme="minorHAnsi"/>
          <w:sz w:val="20"/>
          <w:szCs w:val="20"/>
        </w:rPr>
        <w:t xml:space="preserve">WHS regulators. This would allow identification of PCBUs not undertaking air and health monitoring at the expected frequency. </w:t>
      </w:r>
    </w:p>
    <w:p w14:paraId="3A1F34C6" w14:textId="7A535D14" w:rsidR="006B1738" w:rsidRPr="009D0A4A" w:rsidRDefault="00A429DE"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i</w:t>
      </w:r>
      <w:r w:rsidR="006B1738" w:rsidRPr="009D0A4A">
        <w:rPr>
          <w:rFonts w:asciiTheme="minorHAnsi" w:hAnsiTheme="minorHAnsi" w:cstheme="minorHAnsi"/>
          <w:sz w:val="20"/>
          <w:szCs w:val="20"/>
        </w:rPr>
        <w:t xml:space="preserve">mprove </w:t>
      </w:r>
      <w:r w:rsidR="00594693" w:rsidRPr="009D0A4A">
        <w:rPr>
          <w:rFonts w:asciiTheme="minorHAnsi" w:hAnsiTheme="minorHAnsi" w:cstheme="minorHAnsi"/>
          <w:sz w:val="20"/>
          <w:szCs w:val="20"/>
        </w:rPr>
        <w:t>uptake</w:t>
      </w:r>
      <w:r w:rsidR="006B1738" w:rsidRPr="009D0A4A">
        <w:rPr>
          <w:rFonts w:asciiTheme="minorHAnsi" w:hAnsiTheme="minorHAnsi" w:cstheme="minorHAnsi"/>
          <w:sz w:val="20"/>
          <w:szCs w:val="20"/>
        </w:rPr>
        <w:t xml:space="preserve"> of </w:t>
      </w:r>
      <w:r w:rsidR="00594693" w:rsidRPr="009D0A4A">
        <w:rPr>
          <w:rFonts w:asciiTheme="minorHAnsi" w:hAnsiTheme="minorHAnsi" w:cstheme="minorHAnsi"/>
          <w:sz w:val="20"/>
          <w:szCs w:val="20"/>
        </w:rPr>
        <w:t>engineering</w:t>
      </w:r>
      <w:r w:rsidR="006B1738" w:rsidRPr="009D0A4A">
        <w:rPr>
          <w:rFonts w:asciiTheme="minorHAnsi" w:hAnsiTheme="minorHAnsi" w:cstheme="minorHAnsi"/>
          <w:sz w:val="20"/>
          <w:szCs w:val="20"/>
        </w:rPr>
        <w:t xml:space="preserve"> controls</w:t>
      </w:r>
      <w:r w:rsidR="00594693" w:rsidRPr="009D0A4A">
        <w:rPr>
          <w:rFonts w:asciiTheme="minorHAnsi" w:hAnsiTheme="minorHAnsi" w:cstheme="minorHAnsi"/>
          <w:sz w:val="20"/>
          <w:szCs w:val="20"/>
        </w:rPr>
        <w:t xml:space="preserve"> through specific regulation and </w:t>
      </w:r>
      <w:r w:rsidR="00AE7385" w:rsidRPr="009D0A4A">
        <w:rPr>
          <w:rFonts w:asciiTheme="minorHAnsi" w:hAnsiTheme="minorHAnsi" w:cstheme="minorHAnsi"/>
          <w:sz w:val="20"/>
          <w:szCs w:val="20"/>
        </w:rPr>
        <w:t xml:space="preserve">introducing a requirement for an engineered stone control plan, </w:t>
      </w:r>
      <w:r w:rsidR="006B1738" w:rsidRPr="009D0A4A">
        <w:rPr>
          <w:rFonts w:asciiTheme="minorHAnsi" w:hAnsiTheme="minorHAnsi" w:cstheme="minorHAnsi"/>
          <w:sz w:val="20"/>
          <w:szCs w:val="20"/>
        </w:rPr>
        <w:t xml:space="preserve">noting that </w:t>
      </w:r>
      <w:r w:rsidR="00AE7385" w:rsidRPr="009D0A4A">
        <w:rPr>
          <w:rFonts w:asciiTheme="minorHAnsi" w:hAnsiTheme="minorHAnsi" w:cstheme="minorHAnsi"/>
          <w:sz w:val="20"/>
          <w:szCs w:val="20"/>
        </w:rPr>
        <w:t>amendments</w:t>
      </w:r>
      <w:r w:rsidR="00AA5739" w:rsidRPr="009D0A4A">
        <w:rPr>
          <w:rFonts w:asciiTheme="minorHAnsi" w:hAnsiTheme="minorHAnsi" w:cstheme="minorHAnsi"/>
          <w:sz w:val="20"/>
          <w:szCs w:val="20"/>
        </w:rPr>
        <w:t xml:space="preserve"> to the model WHS regulations</w:t>
      </w:r>
      <w:r w:rsidR="00AE7385" w:rsidRPr="009D0A4A">
        <w:rPr>
          <w:rFonts w:asciiTheme="minorHAnsi" w:hAnsiTheme="minorHAnsi" w:cstheme="minorHAnsi"/>
          <w:sz w:val="20"/>
          <w:szCs w:val="20"/>
        </w:rPr>
        <w:t xml:space="preserve"> are being developed</w:t>
      </w:r>
      <w:r w:rsidR="006B1738" w:rsidRPr="009D0A4A">
        <w:rPr>
          <w:rFonts w:asciiTheme="minorHAnsi" w:hAnsiTheme="minorHAnsi" w:cstheme="minorHAnsi"/>
          <w:sz w:val="20"/>
          <w:szCs w:val="20"/>
        </w:rPr>
        <w:t xml:space="preserve"> to expressly </w:t>
      </w:r>
      <w:r w:rsidR="00AA5739" w:rsidRPr="009D0A4A">
        <w:rPr>
          <w:rFonts w:asciiTheme="minorHAnsi" w:hAnsiTheme="minorHAnsi" w:cstheme="minorHAnsi"/>
          <w:sz w:val="20"/>
          <w:szCs w:val="20"/>
        </w:rPr>
        <w:t xml:space="preserve">require the use </w:t>
      </w:r>
      <w:r w:rsidR="00EB17F4" w:rsidRPr="009D0A4A">
        <w:rPr>
          <w:rFonts w:asciiTheme="minorHAnsi" w:hAnsiTheme="minorHAnsi" w:cstheme="minorHAnsi"/>
          <w:sz w:val="20"/>
          <w:szCs w:val="20"/>
        </w:rPr>
        <w:t xml:space="preserve">of </w:t>
      </w:r>
      <w:r w:rsidR="00AA5739" w:rsidRPr="009D0A4A">
        <w:rPr>
          <w:rFonts w:asciiTheme="minorHAnsi" w:hAnsiTheme="minorHAnsi" w:cstheme="minorHAnsi"/>
          <w:sz w:val="20"/>
          <w:szCs w:val="20"/>
        </w:rPr>
        <w:t>engineering controls and RPE when</w:t>
      </w:r>
      <w:r w:rsidR="006B1738" w:rsidRPr="009D0A4A">
        <w:rPr>
          <w:rFonts w:asciiTheme="minorHAnsi" w:hAnsiTheme="minorHAnsi" w:cstheme="minorHAnsi"/>
          <w:sz w:val="20"/>
          <w:szCs w:val="20"/>
        </w:rPr>
        <w:t xml:space="preserve"> processing of engineered stone</w:t>
      </w:r>
      <w:r w:rsidRPr="009D0A4A">
        <w:rPr>
          <w:rFonts w:asciiTheme="minorHAnsi" w:hAnsiTheme="minorHAnsi" w:cstheme="minorHAnsi"/>
          <w:sz w:val="20"/>
          <w:szCs w:val="20"/>
        </w:rPr>
        <w:t xml:space="preserve">, and </w:t>
      </w:r>
    </w:p>
    <w:p w14:paraId="7EC94F18" w14:textId="523154B0" w:rsidR="00594693" w:rsidRPr="009D0A4A" w:rsidRDefault="00A429DE"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scheduled and unscheduled audits would be expected to improve compliance.</w:t>
      </w:r>
    </w:p>
    <w:p w14:paraId="498AC8CA" w14:textId="3C1F2E25" w:rsidR="00AA5739" w:rsidRPr="009D0A4A" w:rsidRDefault="00AA5739" w:rsidP="00A01DC6">
      <w:pPr>
        <w:pStyle w:val="BodyText1"/>
        <w:spacing w:line="240" w:lineRule="auto"/>
        <w:jc w:val="both"/>
        <w:rPr>
          <w:rFonts w:asciiTheme="minorHAnsi" w:hAnsiTheme="minorHAnsi" w:cstheme="minorHAnsi"/>
          <w:sz w:val="20"/>
          <w:szCs w:val="20"/>
        </w:rPr>
      </w:pPr>
      <w:r w:rsidRPr="009D0A4A">
        <w:rPr>
          <w:rFonts w:asciiTheme="minorHAnsi" w:hAnsiTheme="minorHAnsi" w:cstheme="minorHAnsi"/>
          <w:sz w:val="20"/>
          <w:szCs w:val="20"/>
        </w:rPr>
        <w:t>However, as this option is only limited to engineered stone</w:t>
      </w:r>
      <w:r w:rsidR="00A01DC6" w:rsidRPr="009D0A4A">
        <w:rPr>
          <w:rFonts w:asciiTheme="minorHAnsi" w:hAnsiTheme="minorHAnsi" w:cstheme="minorHAnsi"/>
          <w:sz w:val="20"/>
          <w:szCs w:val="20"/>
        </w:rPr>
        <w:t xml:space="preserve">, it will not address the </w:t>
      </w:r>
      <w:r w:rsidR="003F4412" w:rsidRPr="009D0A4A">
        <w:rPr>
          <w:rFonts w:asciiTheme="minorHAnsi" w:hAnsiTheme="minorHAnsi" w:cstheme="minorHAnsi"/>
          <w:sz w:val="20"/>
          <w:szCs w:val="20"/>
        </w:rPr>
        <w:t>risks of silicosis and silica related diseases</w:t>
      </w:r>
      <w:r w:rsidR="00A01DC6" w:rsidRPr="009D0A4A">
        <w:rPr>
          <w:rFonts w:asciiTheme="minorHAnsi" w:hAnsiTheme="minorHAnsi" w:cstheme="minorHAnsi"/>
          <w:sz w:val="20"/>
          <w:szCs w:val="20"/>
        </w:rPr>
        <w:t xml:space="preserve"> for workers </w:t>
      </w:r>
      <w:r w:rsidR="003F4412" w:rsidRPr="009D0A4A">
        <w:rPr>
          <w:rFonts w:asciiTheme="minorHAnsi" w:hAnsiTheme="minorHAnsi" w:cstheme="minorHAnsi"/>
          <w:sz w:val="20"/>
          <w:szCs w:val="20"/>
        </w:rPr>
        <w:t>in other industries</w:t>
      </w:r>
      <w:r w:rsidR="00A01DC6" w:rsidRPr="009D0A4A">
        <w:rPr>
          <w:rFonts w:asciiTheme="minorHAnsi" w:hAnsiTheme="minorHAnsi" w:cstheme="minorHAnsi"/>
          <w:sz w:val="20"/>
          <w:szCs w:val="20"/>
        </w:rPr>
        <w:t xml:space="preserve"> outside of the engineered stone sector.</w:t>
      </w:r>
    </w:p>
    <w:p w14:paraId="4530E0C9" w14:textId="4BB4C3FC" w:rsidR="008E698E" w:rsidRPr="009D0A4A" w:rsidRDefault="77513FF5" w:rsidP="003801F8">
      <w:pPr>
        <w:pStyle w:val="Heading2"/>
      </w:pPr>
      <w:bookmarkStart w:id="608" w:name="_Toc92885117"/>
      <w:bookmarkStart w:id="609" w:name="_Toc92958868"/>
      <w:bookmarkStart w:id="610" w:name="_Toc107395322"/>
      <w:r w:rsidRPr="009D0A4A">
        <w:lastRenderedPageBreak/>
        <w:t>Option 5a</w:t>
      </w:r>
      <w:r w:rsidR="00D14CC1" w:rsidRPr="009D0A4A">
        <w:t>:</w:t>
      </w:r>
      <w:r w:rsidRPr="009D0A4A">
        <w:t xml:space="preserve"> Additional regulation of </w:t>
      </w:r>
      <w:r w:rsidR="008739C4" w:rsidRPr="009D0A4A">
        <w:t>high risk</w:t>
      </w:r>
      <w:r w:rsidRPr="009D0A4A">
        <w:t xml:space="preserve"> crystalline silica processes </w:t>
      </w:r>
      <w:r w:rsidR="00F868BC" w:rsidRPr="009D0A4A">
        <w:t xml:space="preserve">for all materials </w:t>
      </w:r>
      <w:r w:rsidRPr="009D0A4A">
        <w:t>including engineered stone</w:t>
      </w:r>
      <w:bookmarkEnd w:id="608"/>
      <w:bookmarkEnd w:id="609"/>
      <w:bookmarkEnd w:id="610"/>
    </w:p>
    <w:p w14:paraId="560F3BEC" w14:textId="37B8FAE6" w:rsidR="00EC06FD" w:rsidRPr="009D0A4A" w:rsidRDefault="00EC06FD" w:rsidP="00FA48E5">
      <w:pPr>
        <w:pStyle w:val="BodyText1"/>
        <w:jc w:val="both"/>
        <w:rPr>
          <w:rFonts w:asciiTheme="minorHAnsi" w:hAnsiTheme="minorHAnsi" w:cstheme="minorHAnsi"/>
          <w:sz w:val="20"/>
          <w:szCs w:val="20"/>
        </w:rPr>
      </w:pPr>
      <w:r w:rsidRPr="009D0A4A">
        <w:rPr>
          <w:rFonts w:asciiTheme="minorHAnsi" w:hAnsiTheme="minorHAnsi" w:cstheme="minorHAnsi"/>
          <w:b/>
          <w:bCs/>
          <w:sz w:val="20"/>
          <w:szCs w:val="20"/>
        </w:rPr>
        <w:t>Option 5a</w:t>
      </w:r>
      <w:r w:rsidRPr="009D0A4A">
        <w:rPr>
          <w:rFonts w:asciiTheme="minorHAnsi" w:hAnsiTheme="minorHAnsi" w:cstheme="minorHAnsi"/>
          <w:sz w:val="20"/>
          <w:szCs w:val="20"/>
        </w:rPr>
        <w:t xml:space="preserve"> would include additional regulation of processes involving all materials meeting the definition of a crystalline silica substance, including engineered stone</w:t>
      </w:r>
      <w:r w:rsidR="00EB17F4" w:rsidRPr="009D0A4A">
        <w:rPr>
          <w:rFonts w:asciiTheme="minorHAnsi" w:hAnsiTheme="minorHAnsi" w:cstheme="minorHAnsi"/>
          <w:sz w:val="20"/>
          <w:szCs w:val="20"/>
        </w:rPr>
        <w:t xml:space="preserve"> (crystalline silica containing materials, CSC materials)</w:t>
      </w:r>
      <w:r w:rsidRPr="009D0A4A">
        <w:rPr>
          <w:rFonts w:asciiTheme="minorHAnsi" w:hAnsiTheme="minorHAnsi" w:cstheme="minorHAnsi"/>
          <w:sz w:val="20"/>
          <w:szCs w:val="20"/>
        </w:rPr>
        <w:t xml:space="preserve">. </w:t>
      </w:r>
      <w:r w:rsidR="003F7445" w:rsidRPr="009D0A4A">
        <w:rPr>
          <w:rFonts w:asciiTheme="minorHAnsi" w:hAnsiTheme="minorHAnsi" w:cstheme="minorHAnsi"/>
          <w:sz w:val="20"/>
          <w:szCs w:val="20"/>
        </w:rPr>
        <w:t>It is consistent with the regulatory amendments proposed in Option 3</w:t>
      </w:r>
      <w:r w:rsidR="00F868BC" w:rsidRPr="009D0A4A">
        <w:rPr>
          <w:rFonts w:asciiTheme="minorHAnsi" w:hAnsiTheme="minorHAnsi" w:cstheme="minorHAnsi"/>
          <w:sz w:val="20"/>
          <w:szCs w:val="20"/>
        </w:rPr>
        <w:t xml:space="preserve">; however, it includes additional duties that are </w:t>
      </w:r>
      <w:bookmarkStart w:id="611" w:name="_Hlk97125714"/>
      <w:r w:rsidR="00CF36AB" w:rsidRPr="009D0A4A">
        <w:rPr>
          <w:rFonts w:asciiTheme="minorHAnsi" w:hAnsiTheme="minorHAnsi" w:cstheme="minorHAnsi"/>
          <w:sz w:val="20"/>
          <w:szCs w:val="20"/>
        </w:rPr>
        <w:t xml:space="preserve">based on the amendments to the Victorian Occupational Health and Safety Amendment (Crystalline Silica) Regulations 2021. </w:t>
      </w:r>
      <w:r w:rsidR="00F750DB" w:rsidRPr="009D0A4A">
        <w:rPr>
          <w:rFonts w:asciiTheme="minorHAnsi" w:hAnsiTheme="minorHAnsi" w:cstheme="minorHAnsi"/>
          <w:sz w:val="20"/>
          <w:szCs w:val="20"/>
        </w:rPr>
        <w:t xml:space="preserve">The additional regulations would require PCBUs to identify, and assess </w:t>
      </w:r>
      <w:r w:rsidR="00153F9B" w:rsidRPr="009D0A4A">
        <w:rPr>
          <w:rFonts w:asciiTheme="minorHAnsi" w:hAnsiTheme="minorHAnsi" w:cstheme="minorHAnsi"/>
          <w:sz w:val="20"/>
          <w:szCs w:val="20"/>
        </w:rPr>
        <w:t xml:space="preserve">the risks of all </w:t>
      </w:r>
      <w:r w:rsidR="00F750DB" w:rsidRPr="009D0A4A">
        <w:rPr>
          <w:rFonts w:asciiTheme="minorHAnsi" w:hAnsiTheme="minorHAnsi" w:cstheme="minorHAnsi"/>
          <w:sz w:val="20"/>
          <w:szCs w:val="20"/>
        </w:rPr>
        <w:t>processes involving</w:t>
      </w:r>
      <w:r w:rsidR="00951981" w:rsidRPr="009D0A4A">
        <w:rPr>
          <w:rFonts w:asciiTheme="minorHAnsi" w:hAnsiTheme="minorHAnsi" w:cstheme="minorHAnsi"/>
          <w:sz w:val="20"/>
          <w:szCs w:val="20"/>
        </w:rPr>
        <w:t xml:space="preserve"> CSC</w:t>
      </w:r>
      <w:r w:rsidR="00F750DB" w:rsidRPr="009D0A4A">
        <w:rPr>
          <w:rFonts w:asciiTheme="minorHAnsi" w:hAnsiTheme="minorHAnsi" w:cstheme="minorHAnsi"/>
          <w:sz w:val="20"/>
          <w:szCs w:val="20"/>
        </w:rPr>
        <w:t xml:space="preserve"> materials. This </w:t>
      </w:r>
      <w:r w:rsidR="00153F9B" w:rsidRPr="009D0A4A">
        <w:rPr>
          <w:rFonts w:asciiTheme="minorHAnsi" w:hAnsiTheme="minorHAnsi" w:cstheme="minorHAnsi"/>
          <w:sz w:val="20"/>
          <w:szCs w:val="20"/>
        </w:rPr>
        <w:t xml:space="preserve">risk assessment </w:t>
      </w:r>
      <w:r w:rsidR="00F750DB" w:rsidRPr="009D0A4A">
        <w:rPr>
          <w:rFonts w:asciiTheme="minorHAnsi" w:hAnsiTheme="minorHAnsi" w:cstheme="minorHAnsi"/>
          <w:sz w:val="20"/>
          <w:szCs w:val="20"/>
        </w:rPr>
        <w:t xml:space="preserve">would specifically require the identification of potential hazards and measures to control the subsequent risk of RCS exposure. Ensuring adequate control measures are implemented will reduce the risk of RCS exposure in these workplaces. </w:t>
      </w:r>
    </w:p>
    <w:p w14:paraId="22B14013" w14:textId="00BB8220" w:rsidR="00CF36AB" w:rsidRPr="009D0A4A" w:rsidRDefault="00CF36AB" w:rsidP="00CF36AB">
      <w:pPr>
        <w:pStyle w:val="BodyText1"/>
        <w:jc w:val="both"/>
        <w:rPr>
          <w:rFonts w:asciiTheme="minorHAnsi" w:hAnsiTheme="minorHAnsi" w:cstheme="minorHAnsi"/>
          <w:sz w:val="20"/>
          <w:szCs w:val="20"/>
        </w:rPr>
      </w:pPr>
      <w:r w:rsidRPr="009D0A4A">
        <w:rPr>
          <w:rFonts w:asciiTheme="minorHAnsi" w:hAnsiTheme="minorHAnsi" w:cstheme="minorHAnsi"/>
          <w:sz w:val="20"/>
          <w:szCs w:val="20"/>
        </w:rPr>
        <w:t xml:space="preserve">The requirements </w:t>
      </w:r>
      <w:r w:rsidR="00F868BC" w:rsidRPr="009D0A4A">
        <w:rPr>
          <w:rFonts w:asciiTheme="minorHAnsi" w:hAnsiTheme="minorHAnsi" w:cstheme="minorHAnsi"/>
          <w:sz w:val="20"/>
          <w:szCs w:val="20"/>
        </w:rPr>
        <w:t xml:space="preserve">in addition to </w:t>
      </w:r>
      <w:r w:rsidRPr="009D0A4A">
        <w:rPr>
          <w:rFonts w:asciiTheme="minorHAnsi" w:hAnsiTheme="minorHAnsi" w:cstheme="minorHAnsi"/>
          <w:sz w:val="20"/>
          <w:szCs w:val="20"/>
        </w:rPr>
        <w:t>Option 3 would be:</w:t>
      </w:r>
    </w:p>
    <w:p w14:paraId="217AC1C6" w14:textId="7E2B4508" w:rsidR="00EC06FD" w:rsidRPr="009D0A4A" w:rsidRDefault="00CF36AB"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PCBUs undertaking high risk silica work </w:t>
      </w:r>
      <w:r w:rsidR="00EC06FD" w:rsidRPr="009D0A4A">
        <w:rPr>
          <w:rFonts w:asciiTheme="minorHAnsi" w:hAnsiTheme="minorHAnsi" w:cstheme="minorHAnsi"/>
          <w:sz w:val="20"/>
          <w:szCs w:val="20"/>
        </w:rPr>
        <w:t xml:space="preserve">would be required to conduct a risk assessment and develop and implement a silica risk control plan if they or their workers undertake a </w:t>
      </w:r>
      <w:r w:rsidR="008739C4" w:rsidRPr="009D0A4A">
        <w:rPr>
          <w:rFonts w:asciiTheme="minorHAnsi" w:hAnsiTheme="minorHAnsi" w:cstheme="minorHAnsi"/>
          <w:sz w:val="20"/>
          <w:szCs w:val="20"/>
        </w:rPr>
        <w:t>high risk</w:t>
      </w:r>
      <w:r w:rsidR="00EC06FD" w:rsidRPr="009D0A4A">
        <w:rPr>
          <w:rFonts w:asciiTheme="minorHAnsi" w:hAnsiTheme="minorHAnsi" w:cstheme="minorHAnsi"/>
          <w:sz w:val="20"/>
          <w:szCs w:val="20"/>
        </w:rPr>
        <w:t xml:space="preserve"> crystalline silica process. </w:t>
      </w:r>
    </w:p>
    <w:bookmarkEnd w:id="611"/>
    <w:p w14:paraId="7D689820" w14:textId="1CB89D1F" w:rsidR="00EC06FD" w:rsidRPr="009D0A4A" w:rsidRDefault="006E674E"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t</w:t>
      </w:r>
      <w:r w:rsidR="00CF36AB" w:rsidRPr="009D0A4A">
        <w:rPr>
          <w:rFonts w:asciiTheme="minorHAnsi" w:hAnsiTheme="minorHAnsi" w:cstheme="minorHAnsi"/>
          <w:sz w:val="20"/>
          <w:szCs w:val="20"/>
        </w:rPr>
        <w:t xml:space="preserve">he </w:t>
      </w:r>
      <w:r w:rsidR="00EC06FD" w:rsidRPr="009D0A4A">
        <w:rPr>
          <w:rFonts w:asciiTheme="minorHAnsi" w:hAnsiTheme="minorHAnsi" w:cstheme="minorHAnsi"/>
          <w:sz w:val="20"/>
          <w:szCs w:val="20"/>
        </w:rPr>
        <w:t>risk assessment would require the following to be taken into account:</w:t>
      </w:r>
    </w:p>
    <w:p w14:paraId="30A1039B" w14:textId="75C3419E" w:rsidR="00EC06FD" w:rsidRPr="009D0A4A" w:rsidRDefault="00EC06FD" w:rsidP="000C20A5">
      <w:pPr>
        <w:pStyle w:val="BodyText"/>
        <w:numPr>
          <w:ilvl w:val="1"/>
          <w:numId w:val="20"/>
        </w:numPr>
        <w:jc w:val="both"/>
      </w:pPr>
      <w:r w:rsidRPr="009D0A4A">
        <w:t xml:space="preserve">the specific tasks or processes required to be undertaken with </w:t>
      </w:r>
      <w:r w:rsidR="00951981" w:rsidRPr="009D0A4A">
        <w:t>CSC materials</w:t>
      </w:r>
    </w:p>
    <w:p w14:paraId="2C140E14" w14:textId="77777777" w:rsidR="00EC06FD" w:rsidRPr="009D0A4A" w:rsidRDefault="00EC06FD" w:rsidP="000C20A5">
      <w:pPr>
        <w:pStyle w:val="BodyText"/>
        <w:numPr>
          <w:ilvl w:val="1"/>
          <w:numId w:val="20"/>
        </w:numPr>
        <w:jc w:val="both"/>
      </w:pPr>
      <w:r w:rsidRPr="009D0A4A">
        <w:t xml:space="preserve">the form of crystalline silica to be used </w:t>
      </w:r>
    </w:p>
    <w:p w14:paraId="186CD4A8" w14:textId="671C07A8" w:rsidR="00EC06FD" w:rsidRPr="009D0A4A" w:rsidRDefault="00EC06FD" w:rsidP="000C20A5">
      <w:pPr>
        <w:pStyle w:val="BodyText"/>
        <w:numPr>
          <w:ilvl w:val="1"/>
          <w:numId w:val="20"/>
        </w:numPr>
        <w:jc w:val="both"/>
      </w:pPr>
      <w:r w:rsidRPr="009D0A4A">
        <w:t xml:space="preserve">the proportion of crystalline silica contained in the </w:t>
      </w:r>
      <w:r w:rsidR="00951981" w:rsidRPr="009D0A4A">
        <w:t xml:space="preserve">CSC </w:t>
      </w:r>
      <w:r w:rsidRPr="009D0A4A">
        <w:t>material</w:t>
      </w:r>
    </w:p>
    <w:p w14:paraId="2226FE22" w14:textId="77777777" w:rsidR="00EC06FD" w:rsidRPr="009D0A4A" w:rsidRDefault="00EC06FD" w:rsidP="000C20A5">
      <w:pPr>
        <w:pStyle w:val="BodyText"/>
        <w:numPr>
          <w:ilvl w:val="1"/>
          <w:numId w:val="20"/>
        </w:numPr>
        <w:jc w:val="both"/>
      </w:pPr>
      <w:r w:rsidRPr="009D0A4A">
        <w:t>previous air monitoring and health monitoring results</w:t>
      </w:r>
    </w:p>
    <w:p w14:paraId="4CF034AB" w14:textId="77777777" w:rsidR="00EC06FD" w:rsidRPr="009D0A4A" w:rsidRDefault="00EC06FD" w:rsidP="000C20A5">
      <w:pPr>
        <w:pStyle w:val="BodyText"/>
        <w:numPr>
          <w:ilvl w:val="1"/>
          <w:numId w:val="20"/>
        </w:numPr>
        <w:jc w:val="both"/>
      </w:pPr>
      <w:r w:rsidRPr="009D0A4A">
        <w:t xml:space="preserve">the likely frequency and duration of exposure of workers to crystalline silica dust, and </w:t>
      </w:r>
    </w:p>
    <w:p w14:paraId="3621678D" w14:textId="77777777" w:rsidR="00EC06FD" w:rsidRPr="009D0A4A" w:rsidRDefault="00EC06FD" w:rsidP="000C20A5">
      <w:pPr>
        <w:pStyle w:val="BodyText"/>
        <w:numPr>
          <w:ilvl w:val="1"/>
          <w:numId w:val="20"/>
        </w:numPr>
        <w:jc w:val="both"/>
      </w:pPr>
      <w:r w:rsidRPr="009D0A4A">
        <w:t>any information about incidents, illnesses or diseases associated with exposure to crystalline silica dust at the workplace.</w:t>
      </w:r>
    </w:p>
    <w:p w14:paraId="3A8E677C" w14:textId="397DAFF2" w:rsidR="00EC06FD" w:rsidRPr="009D0A4A" w:rsidRDefault="006E674E"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PCBUs undertaking high risk silica work would be required to </w:t>
      </w:r>
      <w:r w:rsidR="00CF36AB" w:rsidRPr="009D0A4A">
        <w:rPr>
          <w:rFonts w:asciiTheme="minorHAnsi" w:hAnsiTheme="minorHAnsi" w:cstheme="minorHAnsi"/>
          <w:sz w:val="20"/>
          <w:szCs w:val="20"/>
        </w:rPr>
        <w:t>develop a</w:t>
      </w:r>
      <w:r w:rsidR="00EC06FD" w:rsidRPr="009D0A4A">
        <w:rPr>
          <w:rFonts w:asciiTheme="minorHAnsi" w:hAnsiTheme="minorHAnsi" w:cstheme="minorHAnsi"/>
          <w:sz w:val="20"/>
          <w:szCs w:val="20"/>
        </w:rPr>
        <w:t xml:space="preserve"> silica risk control plan based on the outcomes of the risk assessment. This would include:</w:t>
      </w:r>
      <w:r w:rsidR="00CF36AB" w:rsidRPr="009D0A4A">
        <w:rPr>
          <w:rFonts w:asciiTheme="minorHAnsi" w:hAnsiTheme="minorHAnsi" w:cstheme="minorHAnsi"/>
          <w:sz w:val="20"/>
          <w:szCs w:val="20"/>
        </w:rPr>
        <w:t xml:space="preserve"> </w:t>
      </w:r>
    </w:p>
    <w:p w14:paraId="0424E308" w14:textId="33B8BAEF" w:rsidR="00EC06FD" w:rsidRPr="009D0A4A" w:rsidRDefault="00EC06FD" w:rsidP="000C20A5">
      <w:pPr>
        <w:pStyle w:val="BodyText"/>
        <w:numPr>
          <w:ilvl w:val="1"/>
          <w:numId w:val="20"/>
        </w:numPr>
        <w:jc w:val="both"/>
      </w:pPr>
      <w:r w:rsidRPr="009D0A4A">
        <w:t>identif</w:t>
      </w:r>
      <w:r w:rsidR="0040556A" w:rsidRPr="009D0A4A">
        <w:t>y</w:t>
      </w:r>
      <w:r w:rsidRPr="009D0A4A">
        <w:t xml:space="preserve"> the </w:t>
      </w:r>
      <w:r w:rsidR="008739C4" w:rsidRPr="009D0A4A">
        <w:t>high risk</w:t>
      </w:r>
      <w:r w:rsidRPr="009D0A4A">
        <w:t xml:space="preserve"> crystalline silica process or processes to be undertaken </w:t>
      </w:r>
    </w:p>
    <w:p w14:paraId="16265B5D" w14:textId="77777777" w:rsidR="00EC06FD" w:rsidRPr="009D0A4A" w:rsidRDefault="00EC06FD" w:rsidP="000C20A5">
      <w:pPr>
        <w:pStyle w:val="BodyText"/>
        <w:numPr>
          <w:ilvl w:val="1"/>
          <w:numId w:val="20"/>
        </w:numPr>
        <w:jc w:val="both"/>
      </w:pPr>
      <w:r w:rsidRPr="009D0A4A">
        <w:t>the hazards and risks associated with that work</w:t>
      </w:r>
    </w:p>
    <w:p w14:paraId="588BADC4" w14:textId="516262CD" w:rsidR="00EC06FD" w:rsidRPr="009D0A4A" w:rsidRDefault="00EC06FD" w:rsidP="000C20A5">
      <w:pPr>
        <w:pStyle w:val="BodyText"/>
        <w:numPr>
          <w:ilvl w:val="1"/>
          <w:numId w:val="20"/>
        </w:numPr>
        <w:jc w:val="both"/>
      </w:pPr>
      <w:r w:rsidRPr="009D0A4A">
        <w:t>the measures to control those risks</w:t>
      </w:r>
      <w:r w:rsidR="00D605E0">
        <w:t>, and</w:t>
      </w:r>
    </w:p>
    <w:p w14:paraId="01960DC6" w14:textId="04BC1B7E" w:rsidR="00EC06FD" w:rsidRPr="009D0A4A" w:rsidRDefault="0040556A" w:rsidP="000C20A5">
      <w:pPr>
        <w:pStyle w:val="BodyText"/>
        <w:numPr>
          <w:ilvl w:val="1"/>
          <w:numId w:val="20"/>
        </w:numPr>
        <w:jc w:val="both"/>
      </w:pPr>
      <w:r w:rsidRPr="009D0A4A">
        <w:t xml:space="preserve">document/ provide </w:t>
      </w:r>
      <w:r w:rsidR="00EC06FD" w:rsidRPr="009D0A4A">
        <w:t>information on how the risk control measures are to be implemented.</w:t>
      </w:r>
    </w:p>
    <w:p w14:paraId="749B2909" w14:textId="55F47AA0" w:rsidR="00EC06FD" w:rsidRPr="009D0A4A" w:rsidRDefault="00EC06FD" w:rsidP="000C20A5">
      <w:pPr>
        <w:pStyle w:val="BodyText1"/>
        <w:ind w:left="720"/>
        <w:jc w:val="both"/>
        <w:rPr>
          <w:rFonts w:asciiTheme="minorHAnsi" w:hAnsiTheme="minorHAnsi" w:cstheme="minorHAnsi"/>
          <w:sz w:val="20"/>
          <w:szCs w:val="20"/>
        </w:rPr>
      </w:pPr>
      <w:r w:rsidRPr="009D0A4A">
        <w:rPr>
          <w:rFonts w:asciiTheme="minorHAnsi" w:hAnsiTheme="minorHAnsi" w:cstheme="minorHAnsi"/>
          <w:sz w:val="20"/>
          <w:szCs w:val="20"/>
        </w:rPr>
        <w:t xml:space="preserve">Note for </w:t>
      </w:r>
      <w:r w:rsidRPr="009D0A4A">
        <w:rPr>
          <w:rFonts w:asciiTheme="minorHAnsi" w:hAnsiTheme="minorHAnsi" w:cstheme="minorHAnsi"/>
          <w:i/>
          <w:iCs/>
          <w:sz w:val="20"/>
          <w:szCs w:val="20"/>
        </w:rPr>
        <w:t>high risk crystalline silica work</w:t>
      </w:r>
      <w:r w:rsidRPr="009D0A4A">
        <w:rPr>
          <w:rFonts w:asciiTheme="minorHAnsi" w:hAnsiTheme="minorHAnsi" w:cstheme="minorHAnsi"/>
          <w:sz w:val="20"/>
          <w:szCs w:val="20"/>
        </w:rPr>
        <w:t xml:space="preserve"> that is </w:t>
      </w:r>
      <w:r w:rsidRPr="009D0A4A">
        <w:rPr>
          <w:rFonts w:asciiTheme="minorHAnsi" w:hAnsiTheme="minorHAnsi" w:cstheme="minorHAnsi"/>
          <w:i/>
          <w:iCs/>
          <w:sz w:val="20"/>
          <w:szCs w:val="20"/>
        </w:rPr>
        <w:t>high risk construction work</w:t>
      </w:r>
      <w:r w:rsidRPr="009D0A4A">
        <w:rPr>
          <w:rFonts w:asciiTheme="minorHAnsi" w:hAnsiTheme="minorHAnsi" w:cstheme="minorHAnsi"/>
          <w:sz w:val="20"/>
          <w:szCs w:val="20"/>
        </w:rPr>
        <w:t xml:space="preserve">, preparation of </w:t>
      </w:r>
      <w:r w:rsidR="0017402F" w:rsidRPr="009D0A4A">
        <w:rPr>
          <w:rFonts w:asciiTheme="minorHAnsi" w:hAnsiTheme="minorHAnsi" w:cstheme="minorHAnsi"/>
          <w:sz w:val="20"/>
          <w:szCs w:val="20"/>
        </w:rPr>
        <w:t>a SWMS</w:t>
      </w:r>
      <w:r w:rsidR="00371E52" w:rsidRPr="009D0A4A">
        <w:rPr>
          <w:rFonts w:asciiTheme="minorHAnsi" w:hAnsiTheme="minorHAnsi" w:cstheme="minorHAnsi"/>
          <w:sz w:val="20"/>
          <w:szCs w:val="20"/>
        </w:rPr>
        <w:t xml:space="preserve"> </w:t>
      </w:r>
      <w:r w:rsidRPr="009D0A4A">
        <w:rPr>
          <w:rFonts w:asciiTheme="minorHAnsi" w:hAnsiTheme="minorHAnsi" w:cstheme="minorHAnsi"/>
          <w:sz w:val="20"/>
          <w:szCs w:val="20"/>
        </w:rPr>
        <w:t xml:space="preserve">would be sufficient to meet the requirement for </w:t>
      </w:r>
      <w:r w:rsidRPr="009D0A4A">
        <w:rPr>
          <w:rFonts w:asciiTheme="minorHAnsi" w:hAnsiTheme="minorHAnsi" w:cstheme="minorHAnsi"/>
          <w:i/>
          <w:iCs/>
          <w:sz w:val="20"/>
          <w:szCs w:val="20"/>
        </w:rPr>
        <w:t>a silica risk control plan</w:t>
      </w:r>
      <w:r w:rsidRPr="009D0A4A">
        <w:rPr>
          <w:rFonts w:asciiTheme="minorHAnsi" w:hAnsiTheme="minorHAnsi" w:cstheme="minorHAnsi"/>
          <w:sz w:val="20"/>
          <w:szCs w:val="20"/>
        </w:rPr>
        <w:t xml:space="preserve">. </w:t>
      </w:r>
    </w:p>
    <w:p w14:paraId="7F8242BE" w14:textId="7170779D" w:rsidR="00EC06FD" w:rsidRPr="009D0A4A" w:rsidRDefault="006E674E"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in</w:t>
      </w:r>
      <w:r w:rsidR="00EC06FD" w:rsidRPr="009D0A4A">
        <w:rPr>
          <w:rFonts w:asciiTheme="minorHAnsi" w:hAnsiTheme="minorHAnsi" w:cstheme="minorHAnsi"/>
          <w:sz w:val="20"/>
          <w:szCs w:val="20"/>
        </w:rPr>
        <w:t xml:space="preserve"> addition to the clarification of </w:t>
      </w:r>
      <w:r w:rsidR="00BF5A18" w:rsidRPr="009D0A4A">
        <w:rPr>
          <w:rFonts w:asciiTheme="minorHAnsi" w:hAnsiTheme="minorHAnsi" w:cstheme="minorHAnsi"/>
          <w:sz w:val="20"/>
          <w:szCs w:val="20"/>
        </w:rPr>
        <w:t xml:space="preserve">the </w:t>
      </w:r>
      <w:r w:rsidR="00EC06FD" w:rsidRPr="009D0A4A">
        <w:rPr>
          <w:rFonts w:asciiTheme="minorHAnsi" w:hAnsiTheme="minorHAnsi" w:cstheme="minorHAnsi"/>
          <w:sz w:val="20"/>
          <w:szCs w:val="20"/>
        </w:rPr>
        <w:t>existing requirements</w:t>
      </w:r>
      <w:r w:rsidR="00BF5A18" w:rsidRPr="009D0A4A">
        <w:rPr>
          <w:rFonts w:asciiTheme="minorHAnsi" w:hAnsiTheme="minorHAnsi" w:cstheme="minorHAnsi"/>
          <w:sz w:val="20"/>
          <w:szCs w:val="20"/>
        </w:rPr>
        <w:t xml:space="preserve"> in the model WHS Regulations</w:t>
      </w:r>
      <w:r w:rsidR="00EC06FD" w:rsidRPr="009D0A4A">
        <w:rPr>
          <w:rFonts w:asciiTheme="minorHAnsi" w:hAnsiTheme="minorHAnsi" w:cstheme="minorHAnsi"/>
          <w:sz w:val="20"/>
          <w:szCs w:val="20"/>
        </w:rPr>
        <w:t xml:space="preserve"> for regular health monitoring</w:t>
      </w:r>
      <w:r w:rsidR="00BF5A18" w:rsidRPr="009D0A4A">
        <w:rPr>
          <w:rFonts w:asciiTheme="minorHAnsi" w:hAnsiTheme="minorHAnsi" w:cstheme="minorHAnsi"/>
          <w:sz w:val="20"/>
          <w:szCs w:val="20"/>
        </w:rPr>
        <w:t xml:space="preserve"> (Option 3), under this option,</w:t>
      </w:r>
      <w:r w:rsidR="0040556A" w:rsidRPr="009D0A4A">
        <w:rPr>
          <w:rFonts w:asciiTheme="minorHAnsi" w:hAnsiTheme="minorHAnsi" w:cstheme="minorHAnsi"/>
          <w:sz w:val="20"/>
          <w:szCs w:val="20"/>
        </w:rPr>
        <w:t xml:space="preserve"> </w:t>
      </w:r>
      <w:r w:rsidR="00EC06FD" w:rsidRPr="009D0A4A">
        <w:rPr>
          <w:rFonts w:asciiTheme="minorHAnsi" w:hAnsiTheme="minorHAnsi" w:cstheme="minorHAnsi"/>
          <w:sz w:val="20"/>
          <w:szCs w:val="20"/>
        </w:rPr>
        <w:t xml:space="preserve">under </w:t>
      </w:r>
      <w:r w:rsidR="00723734" w:rsidRPr="009D0A4A">
        <w:rPr>
          <w:rFonts w:asciiTheme="minorHAnsi" w:hAnsiTheme="minorHAnsi" w:cstheme="minorHAnsi"/>
          <w:sz w:val="20"/>
          <w:szCs w:val="20"/>
        </w:rPr>
        <w:t>O</w:t>
      </w:r>
      <w:r w:rsidR="00EC06FD" w:rsidRPr="009D0A4A">
        <w:rPr>
          <w:rFonts w:asciiTheme="minorHAnsi" w:hAnsiTheme="minorHAnsi" w:cstheme="minorHAnsi"/>
          <w:sz w:val="20"/>
          <w:szCs w:val="20"/>
        </w:rPr>
        <w:t xml:space="preserve">ption </w:t>
      </w:r>
      <w:r w:rsidR="00BF5A18" w:rsidRPr="009D0A4A">
        <w:rPr>
          <w:rFonts w:asciiTheme="minorHAnsi" w:hAnsiTheme="minorHAnsi" w:cstheme="minorHAnsi"/>
          <w:sz w:val="20"/>
          <w:szCs w:val="20"/>
        </w:rPr>
        <w:t>5</w:t>
      </w:r>
      <w:r w:rsidR="00EC06FD" w:rsidRPr="009D0A4A">
        <w:rPr>
          <w:rFonts w:asciiTheme="minorHAnsi" w:hAnsiTheme="minorHAnsi" w:cstheme="minorHAnsi"/>
          <w:sz w:val="20"/>
          <w:szCs w:val="20"/>
        </w:rPr>
        <w:t xml:space="preserve">, PCBUs </w:t>
      </w:r>
      <w:r w:rsidR="00CF36AB" w:rsidRPr="009D0A4A">
        <w:rPr>
          <w:rFonts w:asciiTheme="minorHAnsi" w:hAnsiTheme="minorHAnsi" w:cstheme="minorHAnsi"/>
          <w:sz w:val="20"/>
          <w:szCs w:val="20"/>
        </w:rPr>
        <w:t>would be required to</w:t>
      </w:r>
      <w:r w:rsidR="00EC06FD" w:rsidRPr="009D0A4A">
        <w:rPr>
          <w:rFonts w:asciiTheme="minorHAnsi" w:hAnsiTheme="minorHAnsi" w:cstheme="minorHAnsi"/>
          <w:sz w:val="20"/>
          <w:szCs w:val="20"/>
        </w:rPr>
        <w:t xml:space="preserve"> provide all results of health monitoring to the WHS regulator within 30 days of receiving reports. </w:t>
      </w:r>
    </w:p>
    <w:p w14:paraId="43475DCC" w14:textId="02A9BB93" w:rsidR="00EC06FD" w:rsidRDefault="006E674E"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in</w:t>
      </w:r>
      <w:r w:rsidR="00EC06FD" w:rsidRPr="009D0A4A">
        <w:rPr>
          <w:rFonts w:asciiTheme="minorHAnsi" w:hAnsiTheme="minorHAnsi" w:cstheme="minorHAnsi"/>
          <w:sz w:val="20"/>
          <w:szCs w:val="20"/>
        </w:rPr>
        <w:t xml:space="preserve"> addition to the </w:t>
      </w:r>
      <w:r w:rsidR="00BF5A18" w:rsidRPr="009D0A4A">
        <w:rPr>
          <w:rFonts w:asciiTheme="minorHAnsi" w:hAnsiTheme="minorHAnsi" w:cstheme="minorHAnsi"/>
          <w:sz w:val="20"/>
          <w:szCs w:val="20"/>
        </w:rPr>
        <w:t xml:space="preserve">clarification of the </w:t>
      </w:r>
      <w:r w:rsidR="00EC06FD" w:rsidRPr="009D0A4A">
        <w:rPr>
          <w:rFonts w:asciiTheme="minorHAnsi" w:hAnsiTheme="minorHAnsi" w:cstheme="minorHAnsi"/>
          <w:sz w:val="20"/>
          <w:szCs w:val="20"/>
        </w:rPr>
        <w:t>existing requirement</w:t>
      </w:r>
      <w:r w:rsidR="00BF5A18" w:rsidRPr="009D0A4A">
        <w:rPr>
          <w:rFonts w:asciiTheme="minorHAnsi" w:hAnsiTheme="minorHAnsi" w:cstheme="minorHAnsi"/>
          <w:sz w:val="20"/>
          <w:szCs w:val="20"/>
        </w:rPr>
        <w:t>s in the model WHS Regulations</w:t>
      </w:r>
      <w:r w:rsidR="00EC06FD" w:rsidRPr="009D0A4A">
        <w:rPr>
          <w:rFonts w:asciiTheme="minorHAnsi" w:hAnsiTheme="minorHAnsi" w:cstheme="minorHAnsi"/>
          <w:sz w:val="20"/>
          <w:szCs w:val="20"/>
        </w:rPr>
        <w:t xml:space="preserve"> for air </w:t>
      </w:r>
      <w:r w:rsidR="00BF5A18" w:rsidRPr="009D0A4A">
        <w:rPr>
          <w:rFonts w:asciiTheme="minorHAnsi" w:hAnsiTheme="minorHAnsi" w:cstheme="minorHAnsi"/>
          <w:sz w:val="20"/>
          <w:szCs w:val="20"/>
        </w:rPr>
        <w:t>(</w:t>
      </w:r>
      <w:r w:rsidR="00723734" w:rsidRPr="009D0A4A">
        <w:rPr>
          <w:rFonts w:asciiTheme="minorHAnsi" w:hAnsiTheme="minorHAnsi" w:cstheme="minorHAnsi"/>
          <w:sz w:val="20"/>
          <w:szCs w:val="20"/>
        </w:rPr>
        <w:t>Option 3</w:t>
      </w:r>
      <w:r w:rsidR="00BF5A18" w:rsidRPr="009D0A4A">
        <w:rPr>
          <w:rFonts w:asciiTheme="minorHAnsi" w:hAnsiTheme="minorHAnsi" w:cstheme="minorHAnsi"/>
          <w:sz w:val="20"/>
          <w:szCs w:val="20"/>
        </w:rPr>
        <w:t>)</w:t>
      </w:r>
      <w:r w:rsidR="00EC06FD" w:rsidRPr="009D0A4A">
        <w:rPr>
          <w:rFonts w:asciiTheme="minorHAnsi" w:hAnsiTheme="minorHAnsi" w:cstheme="minorHAnsi"/>
          <w:sz w:val="20"/>
          <w:szCs w:val="20"/>
        </w:rPr>
        <w:t xml:space="preserve">, </w:t>
      </w:r>
      <w:r w:rsidR="00BF5A18" w:rsidRPr="009D0A4A">
        <w:rPr>
          <w:rFonts w:asciiTheme="minorHAnsi" w:hAnsiTheme="minorHAnsi" w:cstheme="minorHAnsi"/>
          <w:sz w:val="20"/>
          <w:szCs w:val="20"/>
        </w:rPr>
        <w:t xml:space="preserve">under this option, </w:t>
      </w:r>
      <w:r w:rsidR="00EC06FD" w:rsidRPr="009D0A4A">
        <w:rPr>
          <w:rFonts w:asciiTheme="minorHAnsi" w:hAnsiTheme="minorHAnsi" w:cstheme="minorHAnsi"/>
          <w:sz w:val="20"/>
          <w:szCs w:val="20"/>
        </w:rPr>
        <w:t xml:space="preserve">PCBUs </w:t>
      </w:r>
      <w:r w:rsidR="00CF36AB" w:rsidRPr="009D0A4A">
        <w:rPr>
          <w:rFonts w:asciiTheme="minorHAnsi" w:hAnsiTheme="minorHAnsi" w:cstheme="minorHAnsi"/>
          <w:sz w:val="20"/>
          <w:szCs w:val="20"/>
        </w:rPr>
        <w:t>would be required to</w:t>
      </w:r>
      <w:r w:rsidR="00EC06FD" w:rsidRPr="009D0A4A">
        <w:rPr>
          <w:rFonts w:asciiTheme="minorHAnsi" w:hAnsiTheme="minorHAnsi" w:cstheme="minorHAnsi"/>
          <w:sz w:val="20"/>
          <w:szCs w:val="20"/>
        </w:rPr>
        <w:t xml:space="preserve"> provide all results of </w:t>
      </w:r>
      <w:r w:rsidR="0019245E" w:rsidRPr="009D0A4A">
        <w:rPr>
          <w:rFonts w:asciiTheme="minorHAnsi" w:hAnsiTheme="minorHAnsi" w:cstheme="minorHAnsi"/>
          <w:sz w:val="20"/>
          <w:szCs w:val="20"/>
        </w:rPr>
        <w:t xml:space="preserve">workplace air </w:t>
      </w:r>
      <w:r w:rsidR="00EC06FD" w:rsidRPr="009D0A4A">
        <w:rPr>
          <w:rFonts w:asciiTheme="minorHAnsi" w:hAnsiTheme="minorHAnsi" w:cstheme="minorHAnsi"/>
          <w:sz w:val="20"/>
          <w:szCs w:val="20"/>
        </w:rPr>
        <w:t xml:space="preserve">monitoring to the WHS regulator within 30 days of receiving reports. </w:t>
      </w:r>
    </w:p>
    <w:p w14:paraId="6EAEF7ED" w14:textId="77777777" w:rsidR="00D605E0" w:rsidRPr="009D0A4A" w:rsidRDefault="00D605E0" w:rsidP="00D605E0">
      <w:pPr>
        <w:pStyle w:val="BodyText1"/>
        <w:jc w:val="both"/>
        <w:rPr>
          <w:rFonts w:asciiTheme="minorHAnsi" w:hAnsiTheme="minorHAnsi" w:cstheme="minorHAnsi"/>
          <w:sz w:val="20"/>
          <w:szCs w:val="20"/>
        </w:rPr>
      </w:pPr>
    </w:p>
    <w:p w14:paraId="4CE41C1E" w14:textId="01383999" w:rsidR="00371E52" w:rsidRPr="009D0A4A" w:rsidRDefault="00371E52" w:rsidP="00371E52">
      <w:pPr>
        <w:pStyle w:val="BodyText1"/>
        <w:jc w:val="both"/>
        <w:rPr>
          <w:rFonts w:asciiTheme="minorHAnsi" w:hAnsiTheme="minorHAnsi" w:cstheme="minorHAnsi"/>
          <w:sz w:val="20"/>
          <w:szCs w:val="20"/>
        </w:rPr>
      </w:pPr>
      <w:r w:rsidRPr="009D0A4A">
        <w:rPr>
          <w:rFonts w:asciiTheme="minorHAnsi" w:hAnsiTheme="minorHAnsi" w:cstheme="minorHAnsi"/>
          <w:sz w:val="20"/>
          <w:szCs w:val="20"/>
        </w:rPr>
        <w:lastRenderedPageBreak/>
        <w:t>The benefits of Option 5</w:t>
      </w:r>
      <w:r w:rsidR="003672AC" w:rsidRPr="009D0A4A">
        <w:rPr>
          <w:rFonts w:asciiTheme="minorHAnsi" w:hAnsiTheme="minorHAnsi" w:cstheme="minorHAnsi"/>
          <w:sz w:val="20"/>
          <w:szCs w:val="20"/>
        </w:rPr>
        <w:t>a, in addition to those of Option 3,</w:t>
      </w:r>
      <w:r w:rsidRPr="009D0A4A">
        <w:rPr>
          <w:rFonts w:asciiTheme="minorHAnsi" w:hAnsiTheme="minorHAnsi" w:cstheme="minorHAnsi"/>
          <w:sz w:val="20"/>
          <w:szCs w:val="20"/>
        </w:rPr>
        <w:t xml:space="preserve"> </w:t>
      </w:r>
      <w:r w:rsidR="00756D7D" w:rsidRPr="009D0A4A">
        <w:rPr>
          <w:rFonts w:asciiTheme="minorHAnsi" w:hAnsiTheme="minorHAnsi" w:cstheme="minorHAnsi"/>
          <w:sz w:val="20"/>
          <w:szCs w:val="20"/>
        </w:rPr>
        <w:t xml:space="preserve">are expected to </w:t>
      </w:r>
      <w:r w:rsidR="003672AC" w:rsidRPr="009D0A4A">
        <w:rPr>
          <w:rFonts w:asciiTheme="minorHAnsi" w:hAnsiTheme="minorHAnsi" w:cstheme="minorHAnsi"/>
          <w:sz w:val="20"/>
          <w:szCs w:val="20"/>
        </w:rPr>
        <w:t>include:</w:t>
      </w:r>
    </w:p>
    <w:p w14:paraId="05D063B7" w14:textId="77777777" w:rsidR="007C4F33" w:rsidRPr="009D0A4A" w:rsidRDefault="007C4F33"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improving compliance with the WHS requirements, including air and health monitoring, through specific regulations and additional reporting requirements </w:t>
      </w:r>
    </w:p>
    <w:p w14:paraId="607AD6EF" w14:textId="07B1F745" w:rsidR="00DA3F26" w:rsidRPr="009D0A4A" w:rsidRDefault="003F4412"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improving PCBU and workers’</w:t>
      </w:r>
      <w:r w:rsidR="00DA3F26" w:rsidRPr="009D0A4A">
        <w:rPr>
          <w:rFonts w:asciiTheme="minorHAnsi" w:hAnsiTheme="minorHAnsi" w:cstheme="minorHAnsi"/>
          <w:sz w:val="20"/>
          <w:szCs w:val="20"/>
        </w:rPr>
        <w:t xml:space="preserve"> understanding of the risks and controls by requiring a risk assessment and risk control plan</w:t>
      </w:r>
      <w:r w:rsidR="007C4F33" w:rsidRPr="009D0A4A">
        <w:rPr>
          <w:rFonts w:asciiTheme="minorHAnsi" w:hAnsiTheme="minorHAnsi" w:cstheme="minorHAnsi"/>
          <w:sz w:val="20"/>
          <w:szCs w:val="20"/>
        </w:rPr>
        <w:t>, which is expected to reduce the risk of exposure to RCS</w:t>
      </w:r>
      <w:r w:rsidRPr="009D0A4A">
        <w:rPr>
          <w:rFonts w:asciiTheme="minorHAnsi" w:hAnsiTheme="minorHAnsi" w:cstheme="minorHAnsi"/>
          <w:sz w:val="20"/>
          <w:szCs w:val="20"/>
        </w:rPr>
        <w:t xml:space="preserve">, and </w:t>
      </w:r>
    </w:p>
    <w:p w14:paraId="0BE28E25" w14:textId="5167C3BE" w:rsidR="008F009E" w:rsidRPr="009D0A4A" w:rsidRDefault="003F4412"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collating </w:t>
      </w:r>
      <w:r w:rsidR="00396C4C" w:rsidRPr="009D0A4A">
        <w:rPr>
          <w:rFonts w:asciiTheme="minorHAnsi" w:hAnsiTheme="minorHAnsi" w:cstheme="minorHAnsi"/>
          <w:sz w:val="20"/>
          <w:szCs w:val="20"/>
        </w:rPr>
        <w:t>air and health monitoring reports</w:t>
      </w:r>
      <w:r w:rsidR="00D6673D" w:rsidRPr="009D0A4A">
        <w:rPr>
          <w:rFonts w:asciiTheme="minorHAnsi" w:hAnsiTheme="minorHAnsi" w:cstheme="minorHAnsi"/>
          <w:sz w:val="20"/>
          <w:szCs w:val="20"/>
        </w:rPr>
        <w:t xml:space="preserve"> </w:t>
      </w:r>
      <w:r w:rsidRPr="009D0A4A">
        <w:rPr>
          <w:rFonts w:asciiTheme="minorHAnsi" w:hAnsiTheme="minorHAnsi" w:cstheme="minorHAnsi"/>
          <w:sz w:val="20"/>
          <w:szCs w:val="20"/>
        </w:rPr>
        <w:t>would</w:t>
      </w:r>
      <w:r w:rsidR="00D6673D" w:rsidRPr="009D0A4A">
        <w:rPr>
          <w:rFonts w:asciiTheme="minorHAnsi" w:hAnsiTheme="minorHAnsi" w:cstheme="minorHAnsi"/>
          <w:sz w:val="20"/>
          <w:szCs w:val="20"/>
        </w:rPr>
        <w:t xml:space="preserve"> provide a source of data </w:t>
      </w:r>
      <w:r w:rsidR="007C4F33" w:rsidRPr="009D0A4A">
        <w:rPr>
          <w:rFonts w:asciiTheme="minorHAnsi" w:hAnsiTheme="minorHAnsi" w:cstheme="minorHAnsi"/>
          <w:sz w:val="20"/>
          <w:szCs w:val="20"/>
        </w:rPr>
        <w:t xml:space="preserve">for regulators </w:t>
      </w:r>
      <w:r w:rsidR="00D6673D" w:rsidRPr="009D0A4A">
        <w:rPr>
          <w:rFonts w:asciiTheme="minorHAnsi" w:hAnsiTheme="minorHAnsi" w:cstheme="minorHAnsi"/>
          <w:sz w:val="20"/>
          <w:szCs w:val="20"/>
        </w:rPr>
        <w:t xml:space="preserve">to determine whether control measures are adequate to </w:t>
      </w:r>
      <w:r w:rsidR="00650A98" w:rsidRPr="009D0A4A">
        <w:rPr>
          <w:rFonts w:asciiTheme="minorHAnsi" w:hAnsiTheme="minorHAnsi" w:cstheme="minorHAnsi"/>
          <w:sz w:val="20"/>
          <w:szCs w:val="20"/>
        </w:rPr>
        <w:t>reduce the risk of exposure to RCS</w:t>
      </w:r>
      <w:r w:rsidR="00E71CE8" w:rsidRPr="009D0A4A">
        <w:rPr>
          <w:rFonts w:asciiTheme="minorHAnsi" w:hAnsiTheme="minorHAnsi" w:cstheme="minorHAnsi"/>
          <w:sz w:val="20"/>
          <w:szCs w:val="20"/>
        </w:rPr>
        <w:t>. Health monitoring reports may also provide additional data on</w:t>
      </w:r>
      <w:r w:rsidR="008F009E" w:rsidRPr="009D0A4A">
        <w:rPr>
          <w:rFonts w:asciiTheme="minorHAnsi" w:hAnsiTheme="minorHAnsi" w:cstheme="minorHAnsi"/>
          <w:sz w:val="20"/>
          <w:szCs w:val="20"/>
        </w:rPr>
        <w:t xml:space="preserve"> whether the regulatory requirements are supporting a reduction in the numbers of cases of silicosis.</w:t>
      </w:r>
    </w:p>
    <w:p w14:paraId="2941EA2F" w14:textId="28F4A997" w:rsidR="008E698E" w:rsidRPr="009D0A4A" w:rsidRDefault="77513FF5" w:rsidP="003801F8">
      <w:pPr>
        <w:pStyle w:val="Heading2"/>
      </w:pPr>
      <w:bookmarkStart w:id="612" w:name="_Toc100323772"/>
      <w:bookmarkStart w:id="613" w:name="_Toc100240635"/>
      <w:bookmarkStart w:id="614" w:name="_Toc100240704"/>
      <w:bookmarkStart w:id="615" w:name="_Toc100323773"/>
      <w:bookmarkStart w:id="616" w:name="_Toc92885118"/>
      <w:bookmarkStart w:id="617" w:name="_Toc92958869"/>
      <w:bookmarkStart w:id="618" w:name="_Toc107395323"/>
      <w:bookmarkEnd w:id="612"/>
      <w:bookmarkEnd w:id="613"/>
      <w:bookmarkEnd w:id="614"/>
      <w:bookmarkEnd w:id="615"/>
      <w:r w:rsidRPr="009D0A4A">
        <w:t>Option 5b</w:t>
      </w:r>
      <w:r w:rsidR="00D14CC1" w:rsidRPr="009D0A4A">
        <w:t>:</w:t>
      </w:r>
      <w:r w:rsidRPr="009D0A4A">
        <w:t xml:space="preserve"> Regulation of defined high risk crystalline silica processes </w:t>
      </w:r>
      <w:r w:rsidR="00F868BC" w:rsidRPr="009D0A4A">
        <w:t xml:space="preserve">for all materials </w:t>
      </w:r>
      <w:r w:rsidRPr="009D0A4A">
        <w:t>excluding engineered stone</w:t>
      </w:r>
      <w:bookmarkEnd w:id="616"/>
      <w:bookmarkEnd w:id="617"/>
      <w:bookmarkEnd w:id="618"/>
    </w:p>
    <w:p w14:paraId="72A61861" w14:textId="097BDEE2" w:rsidR="003F4412" w:rsidRPr="009D0A4A" w:rsidRDefault="00EC06FD" w:rsidP="007306C8">
      <w:pPr>
        <w:pStyle w:val="BodyText1"/>
        <w:jc w:val="both"/>
        <w:rPr>
          <w:rFonts w:asciiTheme="minorHAnsi" w:hAnsiTheme="minorHAnsi" w:cstheme="minorHAnsi"/>
          <w:sz w:val="20"/>
          <w:szCs w:val="20"/>
        </w:rPr>
      </w:pPr>
      <w:r w:rsidRPr="009D0A4A">
        <w:rPr>
          <w:rFonts w:asciiTheme="minorHAnsi" w:hAnsiTheme="minorHAnsi" w:cstheme="minorHAnsi"/>
          <w:sz w:val="20"/>
          <w:szCs w:val="20"/>
        </w:rPr>
        <w:t xml:space="preserve">Option 5b is equivalent to Option 5a but it would exclude engineered stone, so that </w:t>
      </w:r>
      <w:r w:rsidR="00E3772B" w:rsidRPr="009D0A4A">
        <w:rPr>
          <w:rFonts w:asciiTheme="minorHAnsi" w:hAnsiTheme="minorHAnsi" w:cstheme="minorHAnsi"/>
          <w:sz w:val="20"/>
          <w:szCs w:val="20"/>
        </w:rPr>
        <w:t xml:space="preserve">the regulation of high risk crystalline silica processes </w:t>
      </w:r>
      <w:r w:rsidR="001C7588" w:rsidRPr="009D0A4A">
        <w:rPr>
          <w:rFonts w:asciiTheme="minorHAnsi" w:hAnsiTheme="minorHAnsi" w:cstheme="minorHAnsi"/>
          <w:sz w:val="20"/>
          <w:szCs w:val="20"/>
        </w:rPr>
        <w:t xml:space="preserve">for </w:t>
      </w:r>
      <w:r w:rsidR="00090916" w:rsidRPr="009D0A4A">
        <w:rPr>
          <w:rFonts w:asciiTheme="minorHAnsi" w:hAnsiTheme="minorHAnsi" w:cstheme="minorHAnsi"/>
          <w:sz w:val="20"/>
          <w:szCs w:val="20"/>
        </w:rPr>
        <w:t>CSC</w:t>
      </w:r>
      <w:r w:rsidR="001C7588" w:rsidRPr="009D0A4A">
        <w:rPr>
          <w:rFonts w:asciiTheme="minorHAnsi" w:hAnsiTheme="minorHAnsi" w:cstheme="minorHAnsi"/>
          <w:sz w:val="20"/>
          <w:szCs w:val="20"/>
        </w:rPr>
        <w:t xml:space="preserve"> materials </w:t>
      </w:r>
      <w:r w:rsidR="003F7A64" w:rsidRPr="009D0A4A">
        <w:rPr>
          <w:rFonts w:asciiTheme="minorHAnsi" w:hAnsiTheme="minorHAnsi" w:cstheme="minorHAnsi"/>
          <w:sz w:val="20"/>
          <w:szCs w:val="20"/>
        </w:rPr>
        <w:t xml:space="preserve">except engineered stone </w:t>
      </w:r>
      <w:r w:rsidR="00E3772B" w:rsidRPr="009D0A4A">
        <w:rPr>
          <w:rFonts w:asciiTheme="minorHAnsi" w:hAnsiTheme="minorHAnsi" w:cstheme="minorHAnsi"/>
          <w:sz w:val="20"/>
          <w:szCs w:val="20"/>
        </w:rPr>
        <w:t>could be implemented in combination with a national licensing framework for PCBUs working with engineered stone</w:t>
      </w:r>
      <w:r w:rsidR="003F7A64" w:rsidRPr="009D0A4A">
        <w:rPr>
          <w:rFonts w:asciiTheme="minorHAnsi" w:hAnsiTheme="minorHAnsi" w:cstheme="minorHAnsi"/>
          <w:sz w:val="20"/>
          <w:szCs w:val="20"/>
        </w:rPr>
        <w:t xml:space="preserve"> (Option 4)</w:t>
      </w:r>
      <w:r w:rsidR="00E3772B" w:rsidRPr="009D0A4A">
        <w:rPr>
          <w:rFonts w:asciiTheme="minorHAnsi" w:hAnsiTheme="minorHAnsi" w:cstheme="minorHAnsi"/>
          <w:sz w:val="20"/>
          <w:szCs w:val="20"/>
        </w:rPr>
        <w:t xml:space="preserve">. </w:t>
      </w:r>
      <w:r w:rsidR="00723734" w:rsidRPr="009D0A4A">
        <w:rPr>
          <w:rFonts w:asciiTheme="minorHAnsi" w:hAnsiTheme="minorHAnsi" w:cstheme="minorHAnsi"/>
          <w:sz w:val="20"/>
          <w:szCs w:val="20"/>
        </w:rPr>
        <w:t xml:space="preserve">This is because </w:t>
      </w:r>
      <w:r w:rsidR="006B59E1" w:rsidRPr="009D0A4A">
        <w:rPr>
          <w:rFonts w:asciiTheme="minorHAnsi" w:hAnsiTheme="minorHAnsi" w:cstheme="minorHAnsi"/>
          <w:sz w:val="20"/>
          <w:szCs w:val="20"/>
        </w:rPr>
        <w:t xml:space="preserve">the proposed </w:t>
      </w:r>
      <w:r w:rsidR="00723734" w:rsidRPr="009D0A4A">
        <w:rPr>
          <w:rFonts w:asciiTheme="minorHAnsi" w:hAnsiTheme="minorHAnsi" w:cstheme="minorHAnsi"/>
          <w:sz w:val="20"/>
          <w:szCs w:val="20"/>
        </w:rPr>
        <w:t xml:space="preserve">national </w:t>
      </w:r>
      <w:r w:rsidR="007C706E" w:rsidRPr="009D0A4A">
        <w:rPr>
          <w:rFonts w:asciiTheme="minorHAnsi" w:hAnsiTheme="minorHAnsi" w:cstheme="minorHAnsi"/>
          <w:sz w:val="20"/>
          <w:szCs w:val="20"/>
        </w:rPr>
        <w:t>licensing</w:t>
      </w:r>
      <w:r w:rsidR="00723734" w:rsidRPr="009D0A4A">
        <w:rPr>
          <w:rFonts w:asciiTheme="minorHAnsi" w:hAnsiTheme="minorHAnsi" w:cstheme="minorHAnsi"/>
          <w:sz w:val="20"/>
          <w:szCs w:val="20"/>
        </w:rPr>
        <w:t xml:space="preserve"> framework include</w:t>
      </w:r>
      <w:r w:rsidR="00A710A9" w:rsidRPr="009D0A4A">
        <w:rPr>
          <w:rFonts w:asciiTheme="minorHAnsi" w:hAnsiTheme="minorHAnsi" w:cstheme="minorHAnsi"/>
          <w:sz w:val="20"/>
          <w:szCs w:val="20"/>
        </w:rPr>
        <w:t>s</w:t>
      </w:r>
      <w:r w:rsidR="00723734" w:rsidRPr="009D0A4A">
        <w:rPr>
          <w:rFonts w:asciiTheme="minorHAnsi" w:hAnsiTheme="minorHAnsi" w:cstheme="minorHAnsi"/>
          <w:sz w:val="20"/>
          <w:szCs w:val="20"/>
        </w:rPr>
        <w:t xml:space="preserve"> </w:t>
      </w:r>
      <w:r w:rsidR="00A710A9" w:rsidRPr="009D0A4A">
        <w:rPr>
          <w:rFonts w:asciiTheme="minorHAnsi" w:hAnsiTheme="minorHAnsi" w:cstheme="minorHAnsi"/>
          <w:sz w:val="20"/>
          <w:szCs w:val="20"/>
        </w:rPr>
        <w:t>overlapping</w:t>
      </w:r>
      <w:r w:rsidR="006F7B92" w:rsidRPr="009D0A4A">
        <w:rPr>
          <w:rFonts w:asciiTheme="minorHAnsi" w:hAnsiTheme="minorHAnsi" w:cstheme="minorHAnsi"/>
          <w:sz w:val="20"/>
          <w:szCs w:val="20"/>
        </w:rPr>
        <w:t xml:space="preserve"> </w:t>
      </w:r>
      <w:r w:rsidR="00723734" w:rsidRPr="009D0A4A">
        <w:rPr>
          <w:rFonts w:asciiTheme="minorHAnsi" w:hAnsiTheme="minorHAnsi" w:cstheme="minorHAnsi"/>
          <w:sz w:val="20"/>
          <w:szCs w:val="20"/>
        </w:rPr>
        <w:t xml:space="preserve">elements of Option </w:t>
      </w:r>
      <w:r w:rsidR="001C7588" w:rsidRPr="009D0A4A">
        <w:rPr>
          <w:rFonts w:asciiTheme="minorHAnsi" w:hAnsiTheme="minorHAnsi" w:cstheme="minorHAnsi"/>
          <w:sz w:val="20"/>
          <w:szCs w:val="20"/>
        </w:rPr>
        <w:t>5</w:t>
      </w:r>
      <w:r w:rsidR="003F7A64" w:rsidRPr="009D0A4A">
        <w:rPr>
          <w:rFonts w:asciiTheme="minorHAnsi" w:hAnsiTheme="minorHAnsi" w:cstheme="minorHAnsi"/>
          <w:sz w:val="20"/>
          <w:szCs w:val="20"/>
        </w:rPr>
        <w:t>a</w:t>
      </w:r>
      <w:r w:rsidR="00723734" w:rsidRPr="009D0A4A">
        <w:rPr>
          <w:rFonts w:asciiTheme="minorHAnsi" w:hAnsiTheme="minorHAnsi" w:cstheme="minorHAnsi"/>
          <w:sz w:val="20"/>
          <w:szCs w:val="20"/>
        </w:rPr>
        <w:t xml:space="preserve">, such as requirements to undertake risk assessments, develop and implement </w:t>
      </w:r>
      <w:r w:rsidR="006F7B92" w:rsidRPr="009D0A4A">
        <w:rPr>
          <w:rFonts w:asciiTheme="minorHAnsi" w:hAnsiTheme="minorHAnsi" w:cstheme="minorHAnsi"/>
          <w:sz w:val="20"/>
          <w:szCs w:val="20"/>
        </w:rPr>
        <w:t xml:space="preserve">risk </w:t>
      </w:r>
      <w:r w:rsidR="00723734" w:rsidRPr="009D0A4A">
        <w:rPr>
          <w:rFonts w:asciiTheme="minorHAnsi" w:hAnsiTheme="minorHAnsi" w:cstheme="minorHAnsi"/>
          <w:sz w:val="20"/>
          <w:szCs w:val="20"/>
        </w:rPr>
        <w:t xml:space="preserve">control plans and report results of all air and health monitoring. </w:t>
      </w:r>
    </w:p>
    <w:p w14:paraId="5CDCEAD1" w14:textId="5A170BAD" w:rsidR="00105526" w:rsidRPr="009D0A4A" w:rsidRDefault="00105526" w:rsidP="003801F8">
      <w:pPr>
        <w:pStyle w:val="Heading2"/>
      </w:pPr>
      <w:bookmarkStart w:id="619" w:name="_Toc107395324"/>
      <w:r w:rsidRPr="009D0A4A">
        <w:t>Options that were considered but assessed as infeasible</w:t>
      </w:r>
      <w:bookmarkEnd w:id="619"/>
      <w:r w:rsidRPr="009D0A4A">
        <w:t xml:space="preserve"> </w:t>
      </w:r>
    </w:p>
    <w:p w14:paraId="222944B2" w14:textId="77777777" w:rsidR="00105526" w:rsidRPr="009D0A4A" w:rsidRDefault="00105526" w:rsidP="00105526">
      <w:pPr>
        <w:pStyle w:val="Heading3"/>
        <w:jc w:val="both"/>
      </w:pPr>
      <w:r w:rsidRPr="009D0A4A">
        <w:t xml:space="preserve">Ban on engineered stone </w:t>
      </w:r>
    </w:p>
    <w:p w14:paraId="243D224E" w14:textId="77777777" w:rsidR="00105526" w:rsidRPr="009D0A4A" w:rsidRDefault="00105526" w:rsidP="00105526">
      <w:pPr>
        <w:pStyle w:val="BodyText"/>
        <w:jc w:val="both"/>
      </w:pPr>
      <w:r w:rsidRPr="009D0A4A">
        <w:t>A ban on the use of engineered stone has not been included in this CRIS. The reasons for this include:</w:t>
      </w:r>
    </w:p>
    <w:p w14:paraId="5859C24E" w14:textId="1140AD56" w:rsidR="00105526" w:rsidRPr="009D0A4A" w:rsidRDefault="004F1C83"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t</w:t>
      </w:r>
      <w:r w:rsidR="00105526" w:rsidRPr="009D0A4A">
        <w:rPr>
          <w:rFonts w:asciiTheme="minorHAnsi" w:hAnsiTheme="minorHAnsi" w:cstheme="minorHAnsi"/>
          <w:sz w:val="20"/>
          <w:szCs w:val="20"/>
        </w:rPr>
        <w:t xml:space="preserve">he National Dust Disease Taskforce’s Final Report did not recommend a ban on manufacture or use of engineered stone. It recommended that a ban on the importation of </w:t>
      </w:r>
      <w:r w:rsidR="00096F54" w:rsidRPr="009D0A4A">
        <w:rPr>
          <w:rFonts w:asciiTheme="minorHAnsi" w:hAnsiTheme="minorHAnsi" w:cstheme="minorHAnsi"/>
          <w:sz w:val="20"/>
          <w:szCs w:val="20"/>
        </w:rPr>
        <w:t xml:space="preserve">some or all </w:t>
      </w:r>
      <w:r w:rsidR="00105526" w:rsidRPr="009D0A4A">
        <w:rPr>
          <w:rFonts w:asciiTheme="minorHAnsi" w:hAnsiTheme="minorHAnsi" w:cstheme="minorHAnsi"/>
          <w:sz w:val="20"/>
          <w:szCs w:val="20"/>
        </w:rPr>
        <w:t>engineered stone be considered by July 2024 if:</w:t>
      </w:r>
    </w:p>
    <w:p w14:paraId="06801E7B" w14:textId="77777777" w:rsidR="00105526" w:rsidRPr="009D0A4A" w:rsidRDefault="00105526" w:rsidP="00105526">
      <w:pPr>
        <w:pStyle w:val="BodyText"/>
        <w:ind w:left="1080"/>
        <w:jc w:val="both"/>
      </w:pPr>
      <w:r w:rsidRPr="009D0A4A">
        <w:t>“There is no measurable and acceptable improvement in regulatory compliance rates for the engineered stone sector as reported by jurisdictions; and</w:t>
      </w:r>
    </w:p>
    <w:p w14:paraId="7C1DF69F" w14:textId="5D026D56" w:rsidR="00105526" w:rsidRPr="009D0A4A" w:rsidRDefault="00105526" w:rsidP="00105526">
      <w:pPr>
        <w:pStyle w:val="BodyText"/>
        <w:ind w:left="1080"/>
        <w:jc w:val="both"/>
      </w:pPr>
      <w:r w:rsidRPr="009D0A4A">
        <w:t>Evidence indicates preventative measures are not effectively protecting those working with engineered stone from silicosis and silica-associated diseases”</w:t>
      </w:r>
      <w:r w:rsidR="00675685" w:rsidRPr="009D0A4A">
        <w:t xml:space="preserve"> </w:t>
      </w:r>
      <w:r w:rsidR="00675685" w:rsidRPr="009D0A4A">
        <w:fldChar w:fldCharType="begin"/>
      </w:r>
      <w:r w:rsidR="004067E3">
        <w:instrText xml:space="preserve"> ADDIN ZOTERO_ITEM CSL_CITATION {"citationID":"Ill33swh","properties":{"formattedCitation":"(Department of Health 2021)","plainCitation":"(Department of Health 2021)","noteIndex":0},"citationItems":[{"id":806,"uris":["http://zotero.org/users/6230888/items/NWNXT6NL"],"itemData":{"id":806,"type":"article-journal","language":"en","page":"80","source":"Zotero","title":"National Dust Disease Taskforce Final Report to Minister for Health and Aged Care","author":[{"literal":"Department of Health"}],"issued":{"date-parts":[["2021"]]}}}],"schema":"https://github.com/citation-style-language/schema/raw/master/csl-citation.json"} </w:instrText>
      </w:r>
      <w:r w:rsidR="00675685" w:rsidRPr="009D0A4A">
        <w:fldChar w:fldCharType="separate"/>
      </w:r>
      <w:r w:rsidR="006B4A7D" w:rsidRPr="009D0A4A">
        <w:rPr>
          <w:rFonts w:ascii="Calibri" w:hAnsi="Calibri" w:cs="Calibri"/>
        </w:rPr>
        <w:t>(Department of Health 2021)</w:t>
      </w:r>
      <w:r w:rsidR="00675685" w:rsidRPr="009D0A4A">
        <w:fldChar w:fldCharType="end"/>
      </w:r>
      <w:r w:rsidRPr="009D0A4A">
        <w:t xml:space="preserve">. </w:t>
      </w:r>
    </w:p>
    <w:p w14:paraId="248B3CD5" w14:textId="05A9D5E0" w:rsidR="00105526" w:rsidRPr="009D0A4A" w:rsidRDefault="004F1C83"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t</w:t>
      </w:r>
      <w:r w:rsidR="00105526" w:rsidRPr="009D0A4A">
        <w:rPr>
          <w:rFonts w:asciiTheme="minorHAnsi" w:hAnsiTheme="minorHAnsi" w:cstheme="minorHAnsi"/>
          <w:sz w:val="20"/>
          <w:szCs w:val="20"/>
        </w:rPr>
        <w:t xml:space="preserve">he </w:t>
      </w:r>
      <w:r w:rsidR="00EB17F4" w:rsidRPr="009D0A4A">
        <w:rPr>
          <w:rFonts w:asciiTheme="minorHAnsi" w:hAnsiTheme="minorHAnsi" w:cstheme="minorHAnsi"/>
          <w:sz w:val="20"/>
          <w:szCs w:val="20"/>
        </w:rPr>
        <w:t xml:space="preserve">All of </w:t>
      </w:r>
      <w:r w:rsidR="00105526" w:rsidRPr="009D0A4A">
        <w:rPr>
          <w:rFonts w:asciiTheme="minorHAnsi" w:hAnsiTheme="minorHAnsi" w:cstheme="minorHAnsi"/>
          <w:sz w:val="20"/>
          <w:szCs w:val="20"/>
        </w:rPr>
        <w:t xml:space="preserve">Australian </w:t>
      </w:r>
      <w:r w:rsidR="00EB17F4" w:rsidRPr="009D0A4A">
        <w:rPr>
          <w:rFonts w:asciiTheme="minorHAnsi" w:hAnsiTheme="minorHAnsi" w:cstheme="minorHAnsi"/>
          <w:sz w:val="20"/>
          <w:szCs w:val="20"/>
        </w:rPr>
        <w:t>G</w:t>
      </w:r>
      <w:r w:rsidR="00105526" w:rsidRPr="009D0A4A">
        <w:rPr>
          <w:rFonts w:asciiTheme="minorHAnsi" w:hAnsiTheme="minorHAnsi" w:cstheme="minorHAnsi"/>
          <w:sz w:val="20"/>
          <w:szCs w:val="20"/>
        </w:rPr>
        <w:t>overnments’ response to the National Dust Disease Taskforce report noted this recommendation and recognised that “… a comprehensive framework [is required] to evaluate the effectiveness of compliance with WHS duties and the effectiveness of measures to protect workers, including any further measures implemented following Safe Work Australia’s regulatory impact analysis process”. The response also noted that further time may be required to make this assessment</w:t>
      </w:r>
      <w:r w:rsidR="00723734" w:rsidRPr="009D0A4A">
        <w:rPr>
          <w:rFonts w:asciiTheme="minorHAnsi" w:hAnsiTheme="minorHAnsi" w:cstheme="minorHAnsi"/>
          <w:sz w:val="20"/>
          <w:szCs w:val="20"/>
        </w:rPr>
        <w:t xml:space="preserve"> beyond the July 2024 proposed deadline</w:t>
      </w:r>
      <w:r w:rsidR="00675685" w:rsidRPr="009D0A4A">
        <w:rPr>
          <w:rFonts w:asciiTheme="minorHAnsi" w:hAnsiTheme="minorHAnsi" w:cstheme="minorHAnsi"/>
          <w:sz w:val="20"/>
          <w:szCs w:val="20"/>
        </w:rPr>
        <w:t xml:space="preserve"> </w:t>
      </w:r>
      <w:r w:rsidR="00675685" w:rsidRPr="009D0A4A">
        <w:rPr>
          <w:rFonts w:asciiTheme="minorHAnsi" w:hAnsiTheme="minorHAnsi" w:cstheme="minorHAnsi"/>
          <w:sz w:val="20"/>
          <w:szCs w:val="20"/>
        </w:rPr>
        <w:fldChar w:fldCharType="begin"/>
      </w:r>
      <w:r w:rsidR="004067E3">
        <w:rPr>
          <w:rFonts w:asciiTheme="minorHAnsi" w:hAnsiTheme="minorHAnsi" w:cstheme="minorHAnsi"/>
          <w:sz w:val="20"/>
          <w:szCs w:val="20"/>
        </w:rPr>
        <w:instrText xml:space="preserve"> ADDIN ZOTERO_ITEM CSL_CITATION {"citationID":"eXev5vZC","properties":{"formattedCitation":"(Australian Government 2022)","plainCitation":"(Australian Government 2022)","noteIndex":0},"citationItems":[{"id":881,"uris":["http://zotero.org/users/6230888/items/MBL8JFFI"],"itemData":{"id":881,"type":"report","page":"64","title":"All of governments’ response to the National Dust Disease Taskforce Final Report","URL":"https://www1.health.gov.au/internet/main/publishing.nsf/Content/45748C2442F5BA74CA2587E4000F8600/$File/All-Govt-Response-Final-Report-Dust-Disease-Taskforce.pdf","author":[{"literal":"Australian Government"}],"accessed":{"date-parts":[["2022",6,30]]},"issued":{"date-parts":[["2022"]]}}}],"schema":"https://github.com/citation-style-language/schema/raw/master/csl-citation.json"} </w:instrText>
      </w:r>
      <w:r w:rsidR="00675685" w:rsidRPr="009D0A4A">
        <w:rPr>
          <w:rFonts w:asciiTheme="minorHAnsi" w:hAnsiTheme="minorHAnsi" w:cstheme="minorHAnsi"/>
          <w:sz w:val="20"/>
          <w:szCs w:val="20"/>
        </w:rPr>
        <w:fldChar w:fldCharType="separate"/>
      </w:r>
      <w:r w:rsidR="006B4A7D" w:rsidRPr="009D0A4A">
        <w:rPr>
          <w:rFonts w:asciiTheme="minorHAnsi" w:hAnsiTheme="minorHAnsi" w:cstheme="minorHAnsi"/>
          <w:sz w:val="20"/>
          <w:szCs w:val="20"/>
        </w:rPr>
        <w:t>(Australian Government 2022)</w:t>
      </w:r>
      <w:r w:rsidR="00675685" w:rsidRPr="009D0A4A">
        <w:rPr>
          <w:rFonts w:asciiTheme="minorHAnsi" w:hAnsiTheme="minorHAnsi" w:cstheme="minorHAnsi"/>
          <w:sz w:val="20"/>
          <w:szCs w:val="20"/>
        </w:rPr>
        <w:fldChar w:fldCharType="end"/>
      </w:r>
      <w:r w:rsidR="00105526" w:rsidRPr="009D0A4A">
        <w:rPr>
          <w:rFonts w:asciiTheme="minorHAnsi" w:hAnsiTheme="minorHAnsi" w:cstheme="minorHAnsi"/>
          <w:sz w:val="20"/>
          <w:szCs w:val="20"/>
        </w:rPr>
        <w:t>.</w:t>
      </w:r>
    </w:p>
    <w:p w14:paraId="0CA96FA7" w14:textId="22C30FC2" w:rsidR="00105526" w:rsidRPr="009D0A4A" w:rsidRDefault="004F1C83"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f</w:t>
      </w:r>
      <w:r w:rsidR="00105526" w:rsidRPr="009D0A4A">
        <w:rPr>
          <w:rFonts w:asciiTheme="minorHAnsi" w:hAnsiTheme="minorHAnsi" w:cstheme="minorHAnsi"/>
          <w:sz w:val="20"/>
          <w:szCs w:val="20"/>
        </w:rPr>
        <w:t xml:space="preserve">urther information from research, compliance and enforcement initiatives will assist in determining whether engineered stone can be worked with safely, which will inform the decision around a ban. </w:t>
      </w:r>
    </w:p>
    <w:p w14:paraId="5B2D1CF4" w14:textId="15FFCD46" w:rsidR="00105526" w:rsidRPr="009D0A4A" w:rsidRDefault="004F1C83"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lastRenderedPageBreak/>
        <w:t>a</w:t>
      </w:r>
      <w:r w:rsidR="00105526" w:rsidRPr="009D0A4A">
        <w:rPr>
          <w:rFonts w:asciiTheme="minorHAnsi" w:hAnsiTheme="minorHAnsi" w:cstheme="minorHAnsi"/>
          <w:sz w:val="20"/>
          <w:szCs w:val="20"/>
        </w:rPr>
        <w:t xml:space="preserve">s is the case for asbestos, the </w:t>
      </w:r>
      <w:r w:rsidR="00096F54" w:rsidRPr="009D0A4A">
        <w:rPr>
          <w:rFonts w:asciiTheme="minorHAnsi" w:hAnsiTheme="minorHAnsi" w:cstheme="minorHAnsi"/>
          <w:sz w:val="20"/>
          <w:szCs w:val="20"/>
        </w:rPr>
        <w:t xml:space="preserve">scope of the </w:t>
      </w:r>
      <w:r w:rsidR="00105526" w:rsidRPr="009D0A4A">
        <w:rPr>
          <w:rFonts w:asciiTheme="minorHAnsi" w:hAnsiTheme="minorHAnsi" w:cstheme="minorHAnsi"/>
          <w:sz w:val="20"/>
          <w:szCs w:val="20"/>
        </w:rPr>
        <w:t xml:space="preserve">model WHS laws could only be extended to prohibit </w:t>
      </w:r>
      <w:r w:rsidR="00723734" w:rsidRPr="009D0A4A">
        <w:rPr>
          <w:rFonts w:asciiTheme="minorHAnsi" w:hAnsiTheme="minorHAnsi" w:cstheme="minorHAnsi"/>
          <w:sz w:val="20"/>
          <w:szCs w:val="20"/>
        </w:rPr>
        <w:t>the use of</w:t>
      </w:r>
      <w:r w:rsidR="00105526" w:rsidRPr="009D0A4A">
        <w:rPr>
          <w:rFonts w:asciiTheme="minorHAnsi" w:hAnsiTheme="minorHAnsi" w:cstheme="minorHAnsi"/>
          <w:sz w:val="20"/>
          <w:szCs w:val="20"/>
        </w:rPr>
        <w:t xml:space="preserve"> engineered stone within each jurisdiction. It could not prevent the importation of engineered stone into Australia, which would need to be considered under the Commonwealth Customs Regulations</w:t>
      </w:r>
      <w:r w:rsidR="00723734" w:rsidRPr="009D0A4A">
        <w:rPr>
          <w:rFonts w:asciiTheme="minorHAnsi" w:hAnsiTheme="minorHAnsi" w:cstheme="minorHAnsi"/>
          <w:sz w:val="20"/>
          <w:szCs w:val="20"/>
        </w:rPr>
        <w:t>, and</w:t>
      </w:r>
    </w:p>
    <w:p w14:paraId="6CBC9AD3" w14:textId="55B3CF62" w:rsidR="00105526" w:rsidRPr="009D0A4A" w:rsidRDefault="004F1C83" w:rsidP="000C20A5">
      <w:pPr>
        <w:pStyle w:val="BodyText1"/>
        <w:numPr>
          <w:ilvl w:val="0"/>
          <w:numId w:val="20"/>
        </w:numPr>
        <w:jc w:val="both"/>
      </w:pPr>
      <w:r w:rsidRPr="009D0A4A">
        <w:rPr>
          <w:rFonts w:asciiTheme="minorHAnsi" w:hAnsiTheme="minorHAnsi" w:cstheme="minorHAnsi"/>
          <w:sz w:val="20"/>
          <w:szCs w:val="20"/>
        </w:rPr>
        <w:t>a</w:t>
      </w:r>
      <w:r w:rsidR="00105526" w:rsidRPr="009D0A4A">
        <w:rPr>
          <w:rFonts w:asciiTheme="minorHAnsi" w:hAnsiTheme="minorHAnsi" w:cstheme="minorHAnsi"/>
          <w:sz w:val="20"/>
          <w:szCs w:val="20"/>
        </w:rPr>
        <w:t xml:space="preserve"> ban on importation, manufacture and </w:t>
      </w:r>
      <w:r w:rsidR="00723734" w:rsidRPr="009D0A4A">
        <w:rPr>
          <w:rFonts w:asciiTheme="minorHAnsi" w:hAnsiTheme="minorHAnsi" w:cstheme="minorHAnsi"/>
          <w:sz w:val="20"/>
          <w:szCs w:val="20"/>
        </w:rPr>
        <w:t xml:space="preserve">supply </w:t>
      </w:r>
      <w:r w:rsidR="00105526" w:rsidRPr="009D0A4A">
        <w:rPr>
          <w:rFonts w:asciiTheme="minorHAnsi" w:hAnsiTheme="minorHAnsi" w:cstheme="minorHAnsi"/>
          <w:sz w:val="20"/>
          <w:szCs w:val="20"/>
        </w:rPr>
        <w:t xml:space="preserve">of engineered stone will not address the </w:t>
      </w:r>
      <w:r w:rsidR="00893C87" w:rsidRPr="009D0A4A">
        <w:rPr>
          <w:rFonts w:asciiTheme="minorHAnsi" w:hAnsiTheme="minorHAnsi" w:cstheme="minorHAnsi"/>
          <w:sz w:val="20"/>
          <w:szCs w:val="20"/>
        </w:rPr>
        <w:t>risks of silicosis</w:t>
      </w:r>
      <w:r w:rsidR="000D43CE" w:rsidRPr="009D0A4A">
        <w:rPr>
          <w:rFonts w:asciiTheme="minorHAnsi" w:hAnsiTheme="minorHAnsi" w:cstheme="minorHAnsi"/>
          <w:sz w:val="20"/>
          <w:szCs w:val="20"/>
        </w:rPr>
        <w:t xml:space="preserve"> in </w:t>
      </w:r>
      <w:r w:rsidR="00393A34" w:rsidRPr="009D0A4A">
        <w:rPr>
          <w:rFonts w:asciiTheme="minorHAnsi" w:hAnsiTheme="minorHAnsi" w:cstheme="minorHAnsi"/>
          <w:sz w:val="20"/>
          <w:szCs w:val="20"/>
        </w:rPr>
        <w:t xml:space="preserve">Australian </w:t>
      </w:r>
      <w:r w:rsidR="00105526" w:rsidRPr="009D0A4A">
        <w:rPr>
          <w:rFonts w:asciiTheme="minorHAnsi" w:hAnsiTheme="minorHAnsi" w:cstheme="minorHAnsi"/>
          <w:sz w:val="20"/>
          <w:szCs w:val="20"/>
        </w:rPr>
        <w:t xml:space="preserve">workers </w:t>
      </w:r>
      <w:r w:rsidR="000D43CE" w:rsidRPr="009D0A4A">
        <w:rPr>
          <w:rFonts w:asciiTheme="minorHAnsi" w:hAnsiTheme="minorHAnsi" w:cstheme="minorHAnsi"/>
          <w:sz w:val="20"/>
          <w:szCs w:val="20"/>
        </w:rPr>
        <w:t xml:space="preserve">exposed to RCS in </w:t>
      </w:r>
      <w:r w:rsidR="00105526" w:rsidRPr="009D0A4A">
        <w:rPr>
          <w:rFonts w:asciiTheme="minorHAnsi" w:hAnsiTheme="minorHAnsi" w:cstheme="minorHAnsi"/>
          <w:sz w:val="20"/>
          <w:szCs w:val="20"/>
        </w:rPr>
        <w:t xml:space="preserve">other industries such as mining, tunnelling and construction, nor </w:t>
      </w:r>
      <w:r w:rsidR="00393A34" w:rsidRPr="009D0A4A">
        <w:rPr>
          <w:rFonts w:asciiTheme="minorHAnsi" w:hAnsiTheme="minorHAnsi" w:cstheme="minorHAnsi"/>
          <w:sz w:val="20"/>
          <w:szCs w:val="20"/>
        </w:rPr>
        <w:t xml:space="preserve">will it address the risks associated with </w:t>
      </w:r>
      <w:r w:rsidR="00105526" w:rsidRPr="009D0A4A">
        <w:rPr>
          <w:rFonts w:asciiTheme="minorHAnsi" w:hAnsiTheme="minorHAnsi" w:cstheme="minorHAnsi"/>
          <w:sz w:val="20"/>
          <w:szCs w:val="20"/>
        </w:rPr>
        <w:t>the processing or removal of engineered stone that is currently</w:t>
      </w:r>
      <w:r w:rsidR="00105526" w:rsidRPr="009D0A4A">
        <w:t xml:space="preserve"> </w:t>
      </w:r>
      <w:r w:rsidR="00105526" w:rsidRPr="00EF4444">
        <w:rPr>
          <w:rFonts w:asciiTheme="minorHAnsi" w:hAnsiTheme="minorHAnsi" w:cstheme="minorHAnsi"/>
          <w:i/>
          <w:iCs/>
          <w:sz w:val="20"/>
          <w:szCs w:val="20"/>
        </w:rPr>
        <w:t>in situ</w:t>
      </w:r>
      <w:r w:rsidR="00105526" w:rsidRPr="00EF4444">
        <w:rPr>
          <w:rFonts w:asciiTheme="minorHAnsi" w:hAnsiTheme="minorHAnsi" w:cstheme="minorHAnsi"/>
          <w:sz w:val="20"/>
          <w:szCs w:val="20"/>
        </w:rPr>
        <w:t>.</w:t>
      </w:r>
      <w:r w:rsidR="00105526" w:rsidRPr="009D0A4A">
        <w:t xml:space="preserve"> </w:t>
      </w:r>
    </w:p>
    <w:p w14:paraId="19B8801C" w14:textId="579899C5" w:rsidR="00105526" w:rsidRPr="009D0A4A" w:rsidRDefault="00105526" w:rsidP="00105526">
      <w:pPr>
        <w:pStyle w:val="Heading3"/>
        <w:jc w:val="both"/>
      </w:pPr>
      <w:r w:rsidRPr="009D0A4A">
        <w:t xml:space="preserve">Replacement of </w:t>
      </w:r>
      <w:r w:rsidR="00723734" w:rsidRPr="009D0A4A">
        <w:t xml:space="preserve">chest </w:t>
      </w:r>
      <w:r w:rsidRPr="009D0A4A">
        <w:t xml:space="preserve">X-Ray with </w:t>
      </w:r>
      <w:r w:rsidR="00DF7A5C" w:rsidRPr="009D0A4A">
        <w:t xml:space="preserve">low dose </w:t>
      </w:r>
      <w:r w:rsidRPr="009D0A4A">
        <w:t>High Resolution Computerised Tomography in the minimum regulatory requirements for health monitoring</w:t>
      </w:r>
    </w:p>
    <w:p w14:paraId="5C277184" w14:textId="4D76580F" w:rsidR="00105526" w:rsidRPr="009D0A4A" w:rsidRDefault="00105526" w:rsidP="00105526">
      <w:pPr>
        <w:pStyle w:val="BodyText"/>
        <w:jc w:val="both"/>
      </w:pPr>
      <w:r w:rsidRPr="009D0A4A">
        <w:t>The National Dust Disease Taskforce Final Report also recommended “strengthening the health monitoring requirements include contemporary methodologies such as low dose [HRCT] scans”</w:t>
      </w:r>
      <w:r w:rsidR="00675685" w:rsidRPr="009D0A4A">
        <w:t xml:space="preserve"> </w:t>
      </w:r>
      <w:r w:rsidR="00675685" w:rsidRPr="009D0A4A">
        <w:fldChar w:fldCharType="begin"/>
      </w:r>
      <w:r w:rsidR="004067E3">
        <w:instrText xml:space="preserve"> ADDIN ZOTERO_ITEM CSL_CITATION {"citationID":"mwHJnziJ","properties":{"formattedCitation":"(Department of Health 2021)","plainCitation":"(Department of Health 2021)","noteIndex":0},"citationItems":[{"id":806,"uris":["http://zotero.org/users/6230888/items/NWNXT6NL"],"itemData":{"id":806,"type":"article-journal","language":"en","page":"80","source":"Zotero","title":"National Dust Disease Taskforce Final Report to Minister for Health and Aged Care","author":[{"literal":"Department of Health"}],"issued":{"date-parts":[["2021"]]}}}],"schema":"https://github.com/citation-style-language/schema/raw/master/csl-citation.json"} </w:instrText>
      </w:r>
      <w:r w:rsidR="00675685" w:rsidRPr="009D0A4A">
        <w:fldChar w:fldCharType="separate"/>
      </w:r>
      <w:r w:rsidR="006B4A7D" w:rsidRPr="009D0A4A">
        <w:rPr>
          <w:rFonts w:ascii="Calibri" w:hAnsi="Calibri" w:cs="Calibri"/>
        </w:rPr>
        <w:t>(Department of Health 2021)</w:t>
      </w:r>
      <w:r w:rsidR="00675685" w:rsidRPr="009D0A4A">
        <w:fldChar w:fldCharType="end"/>
      </w:r>
      <w:r w:rsidRPr="009D0A4A">
        <w:t xml:space="preserve">. It also noted that: “A HRCT scan has been demonstrated to be more sensitive than X-rays in detecting early dust lung disease. Use of a HRCT scan of the chest (non-contrast) may be considered depending on the worker’s history and levels of individual silica exposure. If the worker’s role involves a very high level of silica exposure (such as working with engineered stone benchtops) or a high level of silica exposure for over three years, then a HRCT scan should be used as a replacement or adjunct to </w:t>
      </w:r>
      <w:r w:rsidR="00723734" w:rsidRPr="009D0A4A">
        <w:t xml:space="preserve">[chest] </w:t>
      </w:r>
      <w:r w:rsidRPr="009D0A4A">
        <w:t>X-ray. Health professionals need to balance the risk of radiation exposure versus the risk associated with exposure to silica dust.”</w:t>
      </w:r>
    </w:p>
    <w:p w14:paraId="703AC172" w14:textId="14501049" w:rsidR="00105526" w:rsidRPr="009D0A4A" w:rsidRDefault="00DF49AD" w:rsidP="00105526">
      <w:pPr>
        <w:pStyle w:val="BodyText"/>
        <w:jc w:val="both"/>
      </w:pPr>
      <w:r w:rsidRPr="009D0A4A">
        <w:t>Currently, t</w:t>
      </w:r>
      <w:r w:rsidR="00105526" w:rsidRPr="009D0A4A">
        <w:t>he model WHS Regulations prescribe a</w:t>
      </w:r>
      <w:r w:rsidR="00723734" w:rsidRPr="009D0A4A">
        <w:t xml:space="preserve"> chest</w:t>
      </w:r>
      <w:r w:rsidR="00105526" w:rsidRPr="009D0A4A">
        <w:t xml:space="preserve"> X-ray as a minimum but allow for another type of health monitoring where the registered medical practitioner considers it is equal or better. </w:t>
      </w:r>
    </w:p>
    <w:p w14:paraId="2A6F1FED" w14:textId="613A78F9" w:rsidR="00105526" w:rsidRPr="009D0A4A" w:rsidRDefault="00105526" w:rsidP="00105526">
      <w:pPr>
        <w:pStyle w:val="BodyText"/>
        <w:jc w:val="both"/>
      </w:pPr>
      <w:r w:rsidRPr="009D0A4A">
        <w:t xml:space="preserve">Inclusion of </w:t>
      </w:r>
      <w:r w:rsidR="003D09AD" w:rsidRPr="009D0A4A">
        <w:t xml:space="preserve">low dose </w:t>
      </w:r>
      <w:r w:rsidRPr="009D0A4A">
        <w:t xml:space="preserve">HRCT as a mandatory minimum regulatory requirement for health monitoring has not </w:t>
      </w:r>
      <w:r w:rsidR="003D09AD" w:rsidRPr="009D0A4A">
        <w:t xml:space="preserve">initially </w:t>
      </w:r>
      <w:r w:rsidRPr="009D0A4A">
        <w:t>been included as an option because:</w:t>
      </w:r>
    </w:p>
    <w:p w14:paraId="04289434" w14:textId="7E52EBA5" w:rsidR="00105526" w:rsidRPr="009D0A4A" w:rsidRDefault="003D09AD"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a</w:t>
      </w:r>
      <w:r w:rsidR="00105526" w:rsidRPr="009D0A4A">
        <w:rPr>
          <w:rFonts w:asciiTheme="minorHAnsi" w:hAnsiTheme="minorHAnsi" w:cstheme="minorHAnsi"/>
          <w:sz w:val="20"/>
          <w:szCs w:val="20"/>
        </w:rPr>
        <w:t>s mentioned above, the model WHS Regulations already allow for equal or better methods</w:t>
      </w:r>
      <w:r w:rsidR="00DF7A5C" w:rsidRPr="009D0A4A">
        <w:rPr>
          <w:rFonts w:asciiTheme="minorHAnsi" w:hAnsiTheme="minorHAnsi" w:cstheme="minorHAnsi"/>
          <w:sz w:val="20"/>
          <w:szCs w:val="20"/>
        </w:rPr>
        <w:t xml:space="preserve"> </w:t>
      </w:r>
      <w:r w:rsidR="00105526" w:rsidRPr="009D0A4A">
        <w:rPr>
          <w:rFonts w:asciiTheme="minorHAnsi" w:hAnsiTheme="minorHAnsi" w:cstheme="minorHAnsi"/>
          <w:sz w:val="20"/>
          <w:szCs w:val="20"/>
        </w:rPr>
        <w:t>to be used for health monitoring such as HRCT</w:t>
      </w:r>
      <w:r w:rsidR="00306770">
        <w:rPr>
          <w:rFonts w:asciiTheme="minorHAnsi" w:hAnsiTheme="minorHAnsi" w:cstheme="minorHAnsi"/>
          <w:sz w:val="20"/>
          <w:szCs w:val="20"/>
        </w:rPr>
        <w:t>.</w:t>
      </w:r>
    </w:p>
    <w:p w14:paraId="23CA3ED9" w14:textId="1DACDB7F" w:rsidR="00105526" w:rsidRPr="009D0A4A" w:rsidRDefault="003D09AD"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t</w:t>
      </w:r>
      <w:r w:rsidR="00105526" w:rsidRPr="009D0A4A">
        <w:rPr>
          <w:rFonts w:asciiTheme="minorHAnsi" w:hAnsiTheme="minorHAnsi" w:cstheme="minorHAnsi"/>
          <w:sz w:val="20"/>
          <w:szCs w:val="20"/>
        </w:rPr>
        <w:t>his would remove the medical practitioner</w:t>
      </w:r>
      <w:r w:rsidR="00E02C42" w:rsidRPr="009D0A4A">
        <w:rPr>
          <w:rFonts w:asciiTheme="minorHAnsi" w:hAnsiTheme="minorHAnsi" w:cstheme="minorHAnsi"/>
          <w:sz w:val="20"/>
          <w:szCs w:val="20"/>
        </w:rPr>
        <w:t>’s</w:t>
      </w:r>
      <w:r w:rsidR="00105526" w:rsidRPr="009D0A4A">
        <w:rPr>
          <w:rFonts w:asciiTheme="minorHAnsi" w:hAnsiTheme="minorHAnsi" w:cstheme="minorHAnsi"/>
          <w:sz w:val="20"/>
          <w:szCs w:val="20"/>
        </w:rPr>
        <w:t xml:space="preserve"> ability to determine that chest X-rays may be an appropriate method when carrying out or supervising health monitoring. There may be circumstances where chest X-rays are preferred, such as where workers have lower levels of exposure to RCS and the risks of radiation exposure outweigh the benefits of HRCT</w:t>
      </w:r>
      <w:r w:rsidR="000D1F99" w:rsidRPr="009D0A4A">
        <w:rPr>
          <w:rFonts w:asciiTheme="minorHAnsi" w:hAnsiTheme="minorHAnsi" w:cstheme="minorHAnsi"/>
          <w:sz w:val="20"/>
          <w:szCs w:val="20"/>
        </w:rPr>
        <w:t>. The National Guidance for Doctors Assessing Workers Exposed to Respirable Crystalline Silica Dust</w:t>
      </w:r>
      <w:r w:rsidR="00A41F41" w:rsidRPr="009D0A4A">
        <w:rPr>
          <w:rFonts w:asciiTheme="minorHAnsi" w:hAnsiTheme="minorHAnsi" w:cstheme="minorHAnsi"/>
          <w:sz w:val="20"/>
          <w:szCs w:val="20"/>
        </w:rPr>
        <w:t xml:space="preserve"> </w:t>
      </w:r>
      <w:r w:rsidR="000D1F99" w:rsidRPr="009D0A4A">
        <w:rPr>
          <w:rFonts w:asciiTheme="minorHAnsi" w:hAnsiTheme="minorHAnsi" w:cstheme="minorHAnsi"/>
          <w:sz w:val="20"/>
          <w:szCs w:val="20"/>
        </w:rPr>
        <w:t>notes that “… because of the risk of false positives with the use of low dose HRCT in a screening context, it is not currently recommended as a frontline screening modality in those who do not meet eligibility criteria that would otherwise warrant immediate investigation for diagnostic purposes”</w:t>
      </w:r>
      <w:r w:rsidR="00A41F41" w:rsidRPr="009D0A4A">
        <w:rPr>
          <w:rFonts w:asciiTheme="minorHAnsi" w:hAnsiTheme="minorHAnsi" w:cstheme="minorHAnsi"/>
          <w:sz w:val="20"/>
          <w:szCs w:val="20"/>
        </w:rPr>
        <w:t xml:space="preserve"> </w:t>
      </w:r>
      <w:r w:rsidR="00A41F41" w:rsidRPr="009D0A4A">
        <w:rPr>
          <w:rFonts w:asciiTheme="minorHAnsi" w:hAnsiTheme="minorHAnsi" w:cstheme="minorHAnsi"/>
          <w:sz w:val="20"/>
          <w:szCs w:val="20"/>
        </w:rPr>
        <w:fldChar w:fldCharType="begin"/>
      </w:r>
      <w:r w:rsidR="004067E3">
        <w:rPr>
          <w:rFonts w:asciiTheme="minorHAnsi" w:hAnsiTheme="minorHAnsi" w:cstheme="minorHAnsi"/>
          <w:sz w:val="20"/>
          <w:szCs w:val="20"/>
        </w:rPr>
        <w:instrText xml:space="preserve"> ADDIN ZOTERO_ITEM CSL_CITATION {"citationID":"Dm1LJgLb","properties":{"formattedCitation":"(Department of Health 2022)","plainCitation":"(Department of Health 2022)","noteIndex":0},"citationItems":[{"id":895,"uris":["http://zotero.org/users/6230888/items/EPA2GZUG"],"itemData":{"id":895,"type":"report","page":"73","title":"National Guidance for doctors assessing workers exposed to respirable crystalline silica dust","URL":"https://www1.health.gov.au/internet/main/publishing.nsf/Content/3F0A34A0342D7925CA2587E3001B4C41/$File/National-Guidance.pdf","author":[{"literal":"Department of Health"}],"accessed":{"date-parts":[["2022",6,30]]},"issued":{"date-parts":[["2022"]]}}}],"schema":"https://github.com/citation-style-language/schema/raw/master/csl-citation.json"} </w:instrText>
      </w:r>
      <w:r w:rsidR="00A41F41" w:rsidRPr="009D0A4A">
        <w:rPr>
          <w:rFonts w:asciiTheme="minorHAnsi" w:hAnsiTheme="minorHAnsi" w:cstheme="minorHAnsi"/>
          <w:sz w:val="20"/>
          <w:szCs w:val="20"/>
        </w:rPr>
        <w:fldChar w:fldCharType="separate"/>
      </w:r>
      <w:r w:rsidR="006B4A7D" w:rsidRPr="009D0A4A">
        <w:rPr>
          <w:rFonts w:asciiTheme="minorHAnsi" w:hAnsiTheme="minorHAnsi" w:cstheme="minorHAnsi"/>
          <w:sz w:val="20"/>
          <w:szCs w:val="20"/>
        </w:rPr>
        <w:t>(Department of Health 2022)</w:t>
      </w:r>
      <w:r w:rsidR="00A41F41" w:rsidRPr="009D0A4A">
        <w:rPr>
          <w:rFonts w:asciiTheme="minorHAnsi" w:hAnsiTheme="minorHAnsi" w:cstheme="minorHAnsi"/>
          <w:sz w:val="20"/>
          <w:szCs w:val="20"/>
        </w:rPr>
        <w:fldChar w:fldCharType="end"/>
      </w:r>
      <w:r w:rsidR="000D1F99" w:rsidRPr="009D0A4A">
        <w:rPr>
          <w:rFonts w:asciiTheme="minorHAnsi" w:hAnsiTheme="minorHAnsi" w:cstheme="minorHAnsi"/>
          <w:sz w:val="20"/>
          <w:szCs w:val="20"/>
        </w:rPr>
        <w:t>.</w:t>
      </w:r>
    </w:p>
    <w:p w14:paraId="20D9C7E7" w14:textId="73689227" w:rsidR="00105526" w:rsidRPr="009D0A4A" w:rsidRDefault="00F12623"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some stakeholders, in preliminary consultation for this RIS, also expressed concerns about access to low dose HRCT in rural and regional parts of Australia. T</w:t>
      </w:r>
      <w:r w:rsidR="00105526" w:rsidRPr="009D0A4A">
        <w:rPr>
          <w:rFonts w:asciiTheme="minorHAnsi" w:hAnsiTheme="minorHAnsi" w:cstheme="minorHAnsi"/>
          <w:sz w:val="20"/>
          <w:szCs w:val="20"/>
        </w:rPr>
        <w:t xml:space="preserve">he </w:t>
      </w:r>
      <w:r w:rsidR="003D09AD" w:rsidRPr="009D0A4A">
        <w:rPr>
          <w:rFonts w:asciiTheme="minorHAnsi" w:hAnsiTheme="minorHAnsi" w:cstheme="minorHAnsi"/>
          <w:sz w:val="20"/>
          <w:szCs w:val="20"/>
        </w:rPr>
        <w:t xml:space="preserve">possible </w:t>
      </w:r>
      <w:r w:rsidR="00105526" w:rsidRPr="009D0A4A">
        <w:rPr>
          <w:rFonts w:asciiTheme="minorHAnsi" w:hAnsiTheme="minorHAnsi" w:cstheme="minorHAnsi"/>
          <w:sz w:val="20"/>
          <w:szCs w:val="20"/>
        </w:rPr>
        <w:t xml:space="preserve">lack of availability of </w:t>
      </w:r>
      <w:r w:rsidR="003D09AD" w:rsidRPr="009D0A4A">
        <w:rPr>
          <w:rFonts w:asciiTheme="minorHAnsi" w:hAnsiTheme="minorHAnsi" w:cstheme="minorHAnsi"/>
          <w:sz w:val="20"/>
          <w:szCs w:val="20"/>
        </w:rPr>
        <w:t xml:space="preserve">low dose </w:t>
      </w:r>
      <w:r w:rsidR="00105526" w:rsidRPr="009D0A4A">
        <w:rPr>
          <w:rFonts w:asciiTheme="minorHAnsi" w:hAnsiTheme="minorHAnsi" w:cstheme="minorHAnsi"/>
          <w:sz w:val="20"/>
          <w:szCs w:val="20"/>
        </w:rPr>
        <w:t xml:space="preserve">HRCT technology to all workers, in all locations where workers may be exposed to RCS, could result in delays or decreased regularity of health monitoring, particularly in rural and regional areas. </w:t>
      </w:r>
    </w:p>
    <w:p w14:paraId="5DD69DD1" w14:textId="77777777" w:rsidR="00105526" w:rsidRPr="009D0A4A" w:rsidRDefault="00105526" w:rsidP="00105526">
      <w:pPr>
        <w:pStyle w:val="Heading3"/>
        <w:jc w:val="both"/>
      </w:pPr>
      <w:r w:rsidRPr="009D0A4A">
        <w:t>Cost recovery of activities related to licensing of PCBUs working with engineered stone</w:t>
      </w:r>
    </w:p>
    <w:p w14:paraId="0D713DE9" w14:textId="26E4418F" w:rsidR="00105526" w:rsidRPr="009D0A4A" w:rsidRDefault="00105526" w:rsidP="00105526">
      <w:pPr>
        <w:pStyle w:val="BodyText"/>
        <w:jc w:val="both"/>
      </w:pPr>
      <w:r w:rsidRPr="009D0A4A">
        <w:t>The National Dust Disease Taskforce Final Report noted that “… [t]here may be scope as part of the introduction of regulatory changes, including potential licensing schemes, to consider options for cost recovery from industry to support additional enforcement efforts by WHS regulators”</w:t>
      </w:r>
      <w:r w:rsidR="00A41F41" w:rsidRPr="009D0A4A">
        <w:t xml:space="preserve"> </w:t>
      </w:r>
      <w:r w:rsidR="00A41F41" w:rsidRPr="009D0A4A">
        <w:fldChar w:fldCharType="begin"/>
      </w:r>
      <w:r w:rsidR="004067E3">
        <w:instrText xml:space="preserve"> ADDIN ZOTERO_ITEM CSL_CITATION {"citationID":"Y4BRJxAH","properties":{"formattedCitation":"(Department of Health 2021)","plainCitation":"(Department of Health 2021)","noteIndex":0},"citationItems":[{"id":806,"uris":["http://zotero.org/users/6230888/items/NWNXT6NL"],"itemData":{"id":806,"type":"article-journal","language":"en","page":"80","source":"Zotero","title":"National Dust Disease Taskforce Final Report to Minister for Health and Aged Care","author":[{"literal":"Department of Health"}],"issued":{"date-parts":[["2021"]]}}}],"schema":"https://github.com/citation-style-language/schema/raw/master/csl-citation.json"} </w:instrText>
      </w:r>
      <w:r w:rsidR="00A41F41" w:rsidRPr="009D0A4A">
        <w:fldChar w:fldCharType="separate"/>
      </w:r>
      <w:r w:rsidR="006B4A7D" w:rsidRPr="009D0A4A">
        <w:rPr>
          <w:rFonts w:ascii="Calibri" w:hAnsi="Calibri" w:cs="Calibri"/>
        </w:rPr>
        <w:t>(Department of Health 2021)</w:t>
      </w:r>
      <w:r w:rsidR="00A41F41" w:rsidRPr="009D0A4A">
        <w:fldChar w:fldCharType="end"/>
      </w:r>
      <w:r w:rsidRPr="009D0A4A">
        <w:t>.</w:t>
      </w:r>
    </w:p>
    <w:p w14:paraId="264BE055" w14:textId="0147A9A9" w:rsidR="00721636" w:rsidRPr="009D0A4A" w:rsidRDefault="00105526" w:rsidP="00105526">
      <w:pPr>
        <w:pStyle w:val="BodyText"/>
        <w:jc w:val="both"/>
      </w:pPr>
      <w:r w:rsidRPr="009D0A4A">
        <w:t xml:space="preserve">Monetary amounts for fees and charges are not prescribed under the model WHS laws. </w:t>
      </w:r>
      <w:r w:rsidR="00723734" w:rsidRPr="009D0A4A">
        <w:t>However,</w:t>
      </w:r>
      <w:r w:rsidRPr="009D0A4A">
        <w:t xml:space="preserve"> fees and charges for licensing and other services </w:t>
      </w:r>
      <w:r w:rsidR="00723734" w:rsidRPr="009D0A4A">
        <w:t xml:space="preserve">can </w:t>
      </w:r>
      <w:r w:rsidRPr="009D0A4A">
        <w:t xml:space="preserve">be set at levels that are appropriate for each jurisdiction. </w:t>
      </w:r>
      <w:r w:rsidR="002F49C9" w:rsidRPr="009D0A4A">
        <w:t>This RIS estimates</w:t>
      </w:r>
      <w:r w:rsidR="00723734" w:rsidRPr="009D0A4A">
        <w:t xml:space="preserve"> the costs </w:t>
      </w:r>
      <w:r w:rsidR="0060410A" w:rsidRPr="009D0A4A">
        <w:t xml:space="preserve">to industry </w:t>
      </w:r>
      <w:r w:rsidR="007941D5" w:rsidRPr="009D0A4A">
        <w:t xml:space="preserve">for licence applications </w:t>
      </w:r>
      <w:r w:rsidR="0060410A" w:rsidRPr="009D0A4A">
        <w:t>(</w:t>
      </w:r>
      <w:r w:rsidR="00723734" w:rsidRPr="009D0A4A">
        <w:t>based on the Victorian scheme</w:t>
      </w:r>
      <w:r w:rsidR="0060410A" w:rsidRPr="009D0A4A">
        <w:t>)</w:t>
      </w:r>
      <w:r w:rsidR="00A710A9" w:rsidRPr="009D0A4A">
        <w:t>,</w:t>
      </w:r>
      <w:r w:rsidR="0060410A" w:rsidRPr="009D0A4A">
        <w:t xml:space="preserve"> and the costs to government of administering the licen</w:t>
      </w:r>
      <w:r w:rsidR="006B5EDC" w:rsidRPr="009D0A4A">
        <w:t xml:space="preserve">sing </w:t>
      </w:r>
      <w:r w:rsidR="00A710A9" w:rsidRPr="009D0A4A">
        <w:t>framework and</w:t>
      </w:r>
      <w:r w:rsidR="00FA0228" w:rsidRPr="009D0A4A">
        <w:t xml:space="preserve"> </w:t>
      </w:r>
      <w:r w:rsidR="00A710A9" w:rsidRPr="009D0A4A">
        <w:t>undertaking</w:t>
      </w:r>
      <w:r w:rsidR="002470C6" w:rsidRPr="009D0A4A">
        <w:t xml:space="preserve"> </w:t>
      </w:r>
      <w:r w:rsidR="00AE1A11" w:rsidRPr="009D0A4A">
        <w:t xml:space="preserve">additional </w:t>
      </w:r>
      <w:r w:rsidR="002470C6" w:rsidRPr="009D0A4A">
        <w:t>compliance and enforcement activities in the engineered stone sector</w:t>
      </w:r>
      <w:r w:rsidR="00A710A9" w:rsidRPr="009D0A4A">
        <w:t>. T</w:t>
      </w:r>
      <w:r w:rsidR="002F49C9" w:rsidRPr="009D0A4A">
        <w:t xml:space="preserve">he issue of whether these </w:t>
      </w:r>
      <w:r w:rsidR="00A710A9" w:rsidRPr="009D0A4A">
        <w:t xml:space="preserve">government </w:t>
      </w:r>
      <w:r w:rsidR="002F49C9" w:rsidRPr="009D0A4A">
        <w:t>costs</w:t>
      </w:r>
      <w:r w:rsidR="002470C6" w:rsidRPr="009D0A4A">
        <w:t xml:space="preserve"> should be recovered through the licensing </w:t>
      </w:r>
      <w:r w:rsidR="00A710A9" w:rsidRPr="009D0A4A">
        <w:t>fees</w:t>
      </w:r>
      <w:r w:rsidR="002470C6" w:rsidRPr="009D0A4A">
        <w:t xml:space="preserve"> </w:t>
      </w:r>
      <w:r w:rsidRPr="009D0A4A">
        <w:t>has been excluded from this analysis</w:t>
      </w:r>
      <w:r w:rsidR="002470C6" w:rsidRPr="009D0A4A">
        <w:t>. This is a matter for individual juri</w:t>
      </w:r>
      <w:r w:rsidR="00FD2404" w:rsidRPr="009D0A4A">
        <w:t>sdictions, should they implement a licensing framework for the engineered stone sector.</w:t>
      </w:r>
      <w:r w:rsidRPr="009D0A4A">
        <w:t xml:space="preserve"> </w:t>
      </w:r>
    </w:p>
    <w:p w14:paraId="5D1B86D5" w14:textId="08128FF0" w:rsidR="0030750F" w:rsidRPr="009D0A4A" w:rsidRDefault="0030750F" w:rsidP="003801F8">
      <w:pPr>
        <w:pStyle w:val="Heading2"/>
      </w:pPr>
      <w:bookmarkStart w:id="620" w:name="_Toc107395325"/>
      <w:r w:rsidRPr="009D0A4A">
        <w:lastRenderedPageBreak/>
        <w:t>Consultation questions</w:t>
      </w:r>
      <w:bookmarkEnd w:id="620"/>
    </w:p>
    <w:p w14:paraId="2EF9D221" w14:textId="081E007E" w:rsidR="00024689" w:rsidRPr="009D0A4A" w:rsidRDefault="00024689" w:rsidP="00024689">
      <w:pPr>
        <w:pStyle w:val="BodyText"/>
        <w:jc w:val="both"/>
      </w:pPr>
      <w:r w:rsidRPr="009D0A4A">
        <w:t>Safe Work Australia is seeking feedback on the following consultation questions</w:t>
      </w:r>
      <w:r w:rsidR="00721636" w:rsidRPr="009D0A4A">
        <w:t xml:space="preserve"> related to the regulatory and non-regulatory options</w:t>
      </w:r>
      <w:r w:rsidRPr="009D0A4A">
        <w:t>:</w:t>
      </w:r>
    </w:p>
    <w:p w14:paraId="37A3B5E9" w14:textId="787420C6" w:rsidR="00024689" w:rsidRPr="009D0A4A" w:rsidRDefault="00721636" w:rsidP="00721636">
      <w:pPr>
        <w:pStyle w:val="BodyText"/>
        <w:jc w:val="both"/>
      </w:pPr>
      <w:r w:rsidRPr="009D0A4A">
        <w:t xml:space="preserve">4.1 </w:t>
      </w:r>
      <w:r w:rsidR="00024689" w:rsidRPr="009D0A4A">
        <w:t xml:space="preserve">Do these options </w:t>
      </w:r>
      <w:r w:rsidR="002F49C9" w:rsidRPr="009D0A4A">
        <w:t>address the problem</w:t>
      </w:r>
      <w:r w:rsidR="00024689" w:rsidRPr="009D0A4A">
        <w:t xml:space="preserve">? </w:t>
      </w:r>
      <w:r w:rsidRPr="009D0A4A">
        <w:t>Please provide evidence to support your position</w:t>
      </w:r>
      <w:r w:rsidR="00024689" w:rsidRPr="009D0A4A">
        <w:t>. </w:t>
      </w:r>
    </w:p>
    <w:p w14:paraId="5E4B53C1" w14:textId="42A1198B" w:rsidR="000823EF" w:rsidRPr="009D0A4A" w:rsidRDefault="00721636" w:rsidP="00105526">
      <w:pPr>
        <w:pStyle w:val="BodyText"/>
        <w:jc w:val="both"/>
      </w:pPr>
      <w:r w:rsidRPr="009D0A4A">
        <w:t xml:space="preserve">4.2 </w:t>
      </w:r>
      <w:r w:rsidR="00024689" w:rsidRPr="009D0A4A">
        <w:t>Are there any other non-regulatory or regulatory options you think should be consider</w:t>
      </w:r>
      <w:r w:rsidR="00D86294" w:rsidRPr="009D0A4A">
        <w:t xml:space="preserve">ed to </w:t>
      </w:r>
      <w:r w:rsidR="00024689" w:rsidRPr="009D0A4A">
        <w:t>address the problem? </w:t>
      </w:r>
    </w:p>
    <w:p w14:paraId="395DCBBA" w14:textId="77777777" w:rsidR="000823EF" w:rsidRPr="009D0A4A" w:rsidRDefault="000823EF">
      <w:r w:rsidRPr="009D0A4A">
        <w:br w:type="page"/>
      </w:r>
    </w:p>
    <w:p w14:paraId="40E035DD" w14:textId="3839C52B" w:rsidR="008B202E" w:rsidRPr="009D0A4A" w:rsidRDefault="008B202E" w:rsidP="00041D73">
      <w:pPr>
        <w:pStyle w:val="Heading1"/>
      </w:pPr>
      <w:bookmarkStart w:id="621" w:name="_Toc97017623"/>
      <w:bookmarkStart w:id="622" w:name="_Toc101019403"/>
      <w:bookmarkStart w:id="623" w:name="_Toc107395326"/>
      <w:r w:rsidRPr="009D0A4A">
        <w:lastRenderedPageBreak/>
        <w:t xml:space="preserve">Who was </w:t>
      </w:r>
      <w:r w:rsidR="008B3275" w:rsidRPr="009D0A4A">
        <w:t>engaged in preliminary consultation</w:t>
      </w:r>
      <w:r w:rsidRPr="009D0A4A">
        <w:t xml:space="preserve"> and how was their feedback incorporated</w:t>
      </w:r>
      <w:bookmarkEnd w:id="621"/>
      <w:bookmarkEnd w:id="622"/>
      <w:r w:rsidR="006420F2" w:rsidRPr="009D0A4A">
        <w:t>?</w:t>
      </w:r>
      <w:bookmarkEnd w:id="623"/>
    </w:p>
    <w:p w14:paraId="747F341A" w14:textId="2CC4852D" w:rsidR="008B202E" w:rsidRPr="009D0A4A" w:rsidRDefault="008B202E" w:rsidP="003801F8">
      <w:pPr>
        <w:pStyle w:val="Heading2"/>
      </w:pPr>
      <w:bookmarkStart w:id="624" w:name="_Toc97017624"/>
      <w:bookmarkStart w:id="625" w:name="_Toc101019404"/>
      <w:bookmarkStart w:id="626" w:name="_Toc107395327"/>
      <w:r w:rsidRPr="009D0A4A">
        <w:t>Overview</w:t>
      </w:r>
      <w:bookmarkEnd w:id="624"/>
      <w:bookmarkEnd w:id="625"/>
      <w:bookmarkEnd w:id="626"/>
    </w:p>
    <w:p w14:paraId="4EFEBAF6" w14:textId="21129896" w:rsidR="008B202E" w:rsidRPr="009D0A4A" w:rsidRDefault="00E237C8" w:rsidP="007012B9">
      <w:pPr>
        <w:pStyle w:val="BodyText"/>
        <w:jc w:val="both"/>
      </w:pPr>
      <w:r w:rsidRPr="009D0A4A">
        <w:t>Preliminary c</w:t>
      </w:r>
      <w:r w:rsidR="008B202E" w:rsidRPr="009D0A4A">
        <w:t xml:space="preserve">onsultations were held with a range of stakeholders </w:t>
      </w:r>
      <w:r w:rsidRPr="009D0A4A">
        <w:t>including state and territory WHS</w:t>
      </w:r>
      <w:r w:rsidR="008B202E" w:rsidRPr="009D0A4A">
        <w:t xml:space="preserve"> regulators, industry peak bodies, employee representatives, employer representatives and health organisations. The consultation consisted of </w:t>
      </w:r>
      <w:r w:rsidRPr="009D0A4A">
        <w:t>3</w:t>
      </w:r>
      <w:r w:rsidR="008B202E" w:rsidRPr="009D0A4A">
        <w:t xml:space="preserve"> workshops and </w:t>
      </w:r>
      <w:r w:rsidRPr="009D0A4A">
        <w:t>4</w:t>
      </w:r>
      <w:r w:rsidR="008B202E" w:rsidRPr="009D0A4A">
        <w:t xml:space="preserve"> discussions with single organisations. In total 24 stakeholders were invited to participate in the consultations, with 23 stakeholders taking part. </w:t>
      </w:r>
    </w:p>
    <w:p w14:paraId="1D575067" w14:textId="77777777" w:rsidR="008B202E" w:rsidRPr="009D0A4A" w:rsidRDefault="008B202E" w:rsidP="007012B9">
      <w:pPr>
        <w:pStyle w:val="BodyText"/>
        <w:jc w:val="both"/>
      </w:pPr>
      <w:r w:rsidRPr="009D0A4A">
        <w:t>All consultations were conducted virtually, with the assistance of interactive digital tools for workshops, and single organisation consultation consisted of a structured discussion.</w:t>
      </w:r>
    </w:p>
    <w:p w14:paraId="39B43B83" w14:textId="68D393DA" w:rsidR="008B202E" w:rsidRPr="009D0A4A" w:rsidRDefault="008B202E" w:rsidP="007012B9">
      <w:pPr>
        <w:pStyle w:val="BodyText"/>
        <w:jc w:val="both"/>
      </w:pPr>
      <w:r w:rsidRPr="009D0A4A">
        <w:t>Th</w:t>
      </w:r>
      <w:r w:rsidR="00ED5A4F" w:rsidRPr="009D0A4A">
        <w:t>is was</w:t>
      </w:r>
      <w:r w:rsidRPr="009D0A4A">
        <w:t xml:space="preserve"> undertaken to:</w:t>
      </w:r>
    </w:p>
    <w:p w14:paraId="525BDDFD" w14:textId="32666F8E" w:rsidR="008B202E" w:rsidRPr="009D0A4A" w:rsidRDefault="00723734"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gain </w:t>
      </w:r>
      <w:r w:rsidR="008B202E" w:rsidRPr="009D0A4A">
        <w:rPr>
          <w:rFonts w:asciiTheme="minorHAnsi" w:hAnsiTheme="minorHAnsi" w:cstheme="minorHAnsi"/>
          <w:sz w:val="20"/>
          <w:szCs w:val="20"/>
        </w:rPr>
        <w:t xml:space="preserve">a deeper understanding of exposures to RCS in Australian workplaces and the extent of the risks of silicosis and </w:t>
      </w:r>
      <w:r w:rsidR="00880680" w:rsidRPr="009D0A4A">
        <w:rPr>
          <w:rFonts w:asciiTheme="minorHAnsi" w:hAnsiTheme="minorHAnsi" w:cstheme="minorHAnsi"/>
          <w:sz w:val="20"/>
          <w:szCs w:val="20"/>
        </w:rPr>
        <w:t>silica related</w:t>
      </w:r>
      <w:r w:rsidR="008B202E" w:rsidRPr="009D0A4A">
        <w:rPr>
          <w:rFonts w:asciiTheme="minorHAnsi" w:hAnsiTheme="minorHAnsi" w:cstheme="minorHAnsi"/>
          <w:sz w:val="20"/>
          <w:szCs w:val="20"/>
        </w:rPr>
        <w:t xml:space="preserve"> diseases</w:t>
      </w:r>
    </w:p>
    <w:p w14:paraId="2960251A" w14:textId="1ED2769A" w:rsidR="008B202E" w:rsidRPr="009D0A4A" w:rsidRDefault="00723734"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seek </w:t>
      </w:r>
      <w:r w:rsidR="008B202E" w:rsidRPr="009D0A4A">
        <w:rPr>
          <w:rFonts w:asciiTheme="minorHAnsi" w:hAnsiTheme="minorHAnsi" w:cstheme="minorHAnsi"/>
          <w:sz w:val="20"/>
          <w:szCs w:val="20"/>
        </w:rPr>
        <w:t>comment on and inform the development of regulatory and non-regulatory options</w:t>
      </w:r>
    </w:p>
    <w:p w14:paraId="687C2964" w14:textId="0B1CA786" w:rsidR="008B202E" w:rsidRPr="009D0A4A" w:rsidRDefault="00723734"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identify </w:t>
      </w:r>
      <w:r w:rsidR="008B202E" w:rsidRPr="009D0A4A">
        <w:rPr>
          <w:rFonts w:asciiTheme="minorHAnsi" w:hAnsiTheme="minorHAnsi" w:cstheme="minorHAnsi"/>
          <w:sz w:val="20"/>
          <w:szCs w:val="20"/>
        </w:rPr>
        <w:t>and define gaps in available data and evidence that may affect the assessment of the impacts of each option</w:t>
      </w:r>
      <w:r w:rsidRPr="009D0A4A">
        <w:rPr>
          <w:rFonts w:asciiTheme="minorHAnsi" w:hAnsiTheme="minorHAnsi" w:cstheme="minorHAnsi"/>
          <w:sz w:val="20"/>
          <w:szCs w:val="20"/>
        </w:rPr>
        <w:t>, and</w:t>
      </w:r>
    </w:p>
    <w:p w14:paraId="7E4CBE16" w14:textId="65536E48" w:rsidR="008B202E" w:rsidRPr="009D0A4A" w:rsidRDefault="00723734"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understand </w:t>
      </w:r>
      <w:r w:rsidR="008B202E" w:rsidRPr="009D0A4A">
        <w:rPr>
          <w:rFonts w:asciiTheme="minorHAnsi" w:hAnsiTheme="minorHAnsi" w:cstheme="minorHAnsi"/>
          <w:sz w:val="20"/>
          <w:szCs w:val="20"/>
        </w:rPr>
        <w:t>implementation barriers that may exist for each of the proposed options.</w:t>
      </w:r>
    </w:p>
    <w:p w14:paraId="61254D3F" w14:textId="0E1A75D6" w:rsidR="008B202E" w:rsidRPr="009D0A4A" w:rsidRDefault="008B202E" w:rsidP="003801F8">
      <w:pPr>
        <w:pStyle w:val="Heading2"/>
      </w:pPr>
      <w:bookmarkStart w:id="627" w:name="_Toc97017625"/>
      <w:bookmarkStart w:id="628" w:name="_Toc101019405"/>
      <w:bookmarkStart w:id="629" w:name="_Toc107395328"/>
      <w:r w:rsidRPr="009D0A4A">
        <w:t>Stakeholder consultation</w:t>
      </w:r>
      <w:bookmarkEnd w:id="627"/>
      <w:bookmarkEnd w:id="628"/>
      <w:bookmarkEnd w:id="629"/>
      <w:r w:rsidRPr="009D0A4A">
        <w:t xml:space="preserve"> </w:t>
      </w:r>
    </w:p>
    <w:p w14:paraId="6F116272" w14:textId="77777777" w:rsidR="008B202E" w:rsidRPr="009D0A4A" w:rsidRDefault="008B202E" w:rsidP="007012B9">
      <w:pPr>
        <w:pStyle w:val="Heading3"/>
      </w:pPr>
      <w:r w:rsidRPr="009D0A4A">
        <w:t xml:space="preserve">Stakeholder participation and attendance </w:t>
      </w:r>
    </w:p>
    <w:p w14:paraId="67EEFCAD" w14:textId="7F67F443" w:rsidR="0047326B" w:rsidRPr="009D0A4A" w:rsidRDefault="00723734" w:rsidP="0047326B">
      <w:pPr>
        <w:pStyle w:val="BodyText"/>
        <w:jc w:val="both"/>
      </w:pPr>
      <w:r w:rsidRPr="009D0A4A">
        <w:t xml:space="preserve">Safe Work Australia </w:t>
      </w:r>
      <w:r w:rsidR="008B202E" w:rsidRPr="009D0A4A">
        <w:t>and EY conducted stakeholder workshops and individual consultations with 3</w:t>
      </w:r>
      <w:r w:rsidR="0047326B" w:rsidRPr="009D0A4A">
        <w:t>7</w:t>
      </w:r>
      <w:r w:rsidR="008B202E" w:rsidRPr="009D0A4A">
        <w:t xml:space="preserve"> individuals representing </w:t>
      </w:r>
      <w:r w:rsidR="003E6EFD" w:rsidRPr="009D0A4A">
        <w:t>22</w:t>
      </w:r>
      <w:r w:rsidR="008B202E" w:rsidRPr="009D0A4A">
        <w:t xml:space="preserve"> key stakeholders</w:t>
      </w:r>
      <w:r w:rsidR="0047326B" w:rsidRPr="009D0A4A">
        <w:t xml:space="preserve">. A list of the participating organisations and participant numbers can be found in Table </w:t>
      </w:r>
      <w:r w:rsidR="003F5102" w:rsidRPr="009D0A4A">
        <w:t>10</w:t>
      </w:r>
      <w:r w:rsidR="0047326B" w:rsidRPr="009D0A4A">
        <w:t>.</w:t>
      </w:r>
    </w:p>
    <w:p w14:paraId="08FA9339" w14:textId="566078C0" w:rsidR="008B202E" w:rsidRPr="009D0A4A" w:rsidRDefault="008B202E" w:rsidP="007012B9">
      <w:pPr>
        <w:pStyle w:val="BodyText"/>
        <w:jc w:val="both"/>
      </w:pPr>
    </w:p>
    <w:p w14:paraId="0FEEA317" w14:textId="5212BCED" w:rsidR="008B202E" w:rsidRPr="009D0A4A" w:rsidRDefault="008B202E" w:rsidP="008B202E">
      <w:pPr>
        <w:pStyle w:val="Caption"/>
      </w:pPr>
      <w:bookmarkStart w:id="630" w:name="_Ref100045425"/>
      <w:bookmarkStart w:id="631" w:name="_Ref100045421"/>
      <w:r w:rsidRPr="009D0A4A">
        <w:lastRenderedPageBreak/>
        <w:t xml:space="preserve">Table </w:t>
      </w:r>
      <w:bookmarkEnd w:id="630"/>
      <w:r w:rsidR="003F5102" w:rsidRPr="009D0A4A">
        <w:t>10</w:t>
      </w:r>
      <w:r w:rsidRPr="009D0A4A">
        <w:t>: Summary of stakeholder workshops</w:t>
      </w:r>
      <w:bookmarkEnd w:id="631"/>
    </w:p>
    <w:tbl>
      <w:tblPr>
        <w:tblStyle w:val="PMCDefaultTableStyle"/>
        <w:tblW w:w="5000" w:type="pct"/>
        <w:tblLook w:val="0420" w:firstRow="1" w:lastRow="0" w:firstColumn="0" w:lastColumn="0" w:noHBand="0" w:noVBand="1"/>
      </w:tblPr>
      <w:tblGrid>
        <w:gridCol w:w="3686"/>
        <w:gridCol w:w="6518"/>
      </w:tblGrid>
      <w:tr w:rsidR="00F903A5" w:rsidRPr="009D0A4A" w14:paraId="126784BD" w14:textId="77777777" w:rsidTr="00260E6E">
        <w:trPr>
          <w:cnfStyle w:val="100000000000" w:firstRow="1" w:lastRow="0" w:firstColumn="0" w:lastColumn="0" w:oddVBand="0" w:evenVBand="0" w:oddHBand="0" w:evenHBand="0" w:firstRowFirstColumn="0" w:firstRowLastColumn="0" w:lastRowFirstColumn="0" w:lastRowLastColumn="0"/>
          <w:trHeight w:val="18"/>
        </w:trPr>
        <w:tc>
          <w:tcPr>
            <w:tcW w:w="1806" w:type="pct"/>
            <w:vAlign w:val="center"/>
            <w:hideMark/>
          </w:tcPr>
          <w:p w14:paraId="50F3515E" w14:textId="77777777" w:rsidR="00F903A5" w:rsidRPr="009D0A4A" w:rsidRDefault="00F903A5" w:rsidP="00EF4444">
            <w:pPr>
              <w:pStyle w:val="EYBulletnoparaspace"/>
              <w:numPr>
                <w:ilvl w:val="0"/>
                <w:numId w:val="0"/>
              </w:numPr>
              <w:spacing w:after="60"/>
              <w:rPr>
                <w:rFonts w:asciiTheme="minorHAnsi" w:hAnsiTheme="minorHAnsi" w:cstheme="minorHAnsi"/>
                <w:sz w:val="20"/>
                <w:szCs w:val="22"/>
              </w:rPr>
            </w:pPr>
            <w:r w:rsidRPr="009D0A4A">
              <w:rPr>
                <w:rFonts w:asciiTheme="minorHAnsi" w:hAnsiTheme="minorHAnsi" w:cstheme="minorHAnsi"/>
                <w:sz w:val="20"/>
                <w:szCs w:val="22"/>
              </w:rPr>
              <w:t>Workshop / consultation</w:t>
            </w:r>
          </w:p>
        </w:tc>
        <w:tc>
          <w:tcPr>
            <w:tcW w:w="3194" w:type="pct"/>
            <w:vAlign w:val="center"/>
            <w:hideMark/>
          </w:tcPr>
          <w:p w14:paraId="21855CD7" w14:textId="46449018" w:rsidR="00F903A5" w:rsidRPr="009D0A4A" w:rsidRDefault="00F903A5" w:rsidP="00EF4444">
            <w:pPr>
              <w:pStyle w:val="EYBulletnoparaspace"/>
              <w:numPr>
                <w:ilvl w:val="0"/>
                <w:numId w:val="0"/>
              </w:numPr>
              <w:spacing w:after="60"/>
              <w:ind w:left="425" w:hanging="109"/>
              <w:rPr>
                <w:rFonts w:asciiTheme="minorHAnsi" w:hAnsiTheme="minorHAnsi" w:cstheme="minorHAnsi"/>
                <w:sz w:val="20"/>
                <w:szCs w:val="22"/>
              </w:rPr>
            </w:pPr>
            <w:r w:rsidRPr="009D0A4A">
              <w:rPr>
                <w:rFonts w:asciiTheme="minorHAnsi" w:hAnsiTheme="minorHAnsi" w:cstheme="minorHAnsi"/>
                <w:sz w:val="20"/>
                <w:szCs w:val="22"/>
              </w:rPr>
              <w:t>Participating organisations (participant numbers)</w:t>
            </w:r>
          </w:p>
        </w:tc>
      </w:tr>
      <w:tr w:rsidR="00F903A5" w:rsidRPr="009D0A4A" w14:paraId="7D3EB658" w14:textId="77777777" w:rsidTr="00260E6E">
        <w:trPr>
          <w:cnfStyle w:val="000000100000" w:firstRow="0" w:lastRow="0" w:firstColumn="0" w:lastColumn="0" w:oddVBand="0" w:evenVBand="0" w:oddHBand="1" w:evenHBand="0" w:firstRowFirstColumn="0" w:firstRowLastColumn="0" w:lastRowFirstColumn="0" w:lastRowLastColumn="0"/>
          <w:trHeight w:val="2514"/>
        </w:trPr>
        <w:tc>
          <w:tcPr>
            <w:tcW w:w="1806" w:type="pct"/>
            <w:hideMark/>
          </w:tcPr>
          <w:p w14:paraId="285C1423" w14:textId="486FE3EB" w:rsidR="00F903A5" w:rsidRPr="009D0A4A" w:rsidRDefault="00F903A5" w:rsidP="007012B9">
            <w:pPr>
              <w:pStyle w:val="EYBulletnoparaspace"/>
              <w:numPr>
                <w:ilvl w:val="0"/>
                <w:numId w:val="0"/>
              </w:numPr>
              <w:spacing w:after="60"/>
              <w:rPr>
                <w:rFonts w:asciiTheme="minorHAnsi" w:hAnsiTheme="minorHAnsi" w:cstheme="minorHAnsi"/>
                <w:sz w:val="20"/>
                <w:szCs w:val="22"/>
              </w:rPr>
            </w:pPr>
            <w:r w:rsidRPr="009D0A4A">
              <w:rPr>
                <w:rFonts w:asciiTheme="minorHAnsi" w:hAnsiTheme="minorHAnsi" w:cstheme="minorHAnsi"/>
                <w:sz w:val="20"/>
                <w:szCs w:val="22"/>
              </w:rPr>
              <w:t>Workshop 1: State and territory WHS regulators and Commonwealth Attorney-General’s Department</w:t>
            </w:r>
          </w:p>
        </w:tc>
        <w:tc>
          <w:tcPr>
            <w:tcW w:w="3194" w:type="pct"/>
            <w:hideMark/>
          </w:tcPr>
          <w:p w14:paraId="6F7D5582"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Office of Industrial Relations (3)</w:t>
            </w:r>
          </w:p>
          <w:p w14:paraId="3646516A"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SafeWork NSW (5)</w:t>
            </w:r>
          </w:p>
          <w:p w14:paraId="42AE2CA5"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WorkSafe Tasmania (3)</w:t>
            </w:r>
          </w:p>
          <w:p w14:paraId="2EF38751"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WorkSafe Victoria (1)</w:t>
            </w:r>
          </w:p>
          <w:p w14:paraId="4F9AEBF1"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SafeWork SA (1)</w:t>
            </w:r>
          </w:p>
          <w:p w14:paraId="055A5B44"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NT WorkSafe (1)</w:t>
            </w:r>
          </w:p>
          <w:p w14:paraId="766BE397" w14:textId="19125A4C"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WorkSafe WA (2)</w:t>
            </w:r>
          </w:p>
          <w:p w14:paraId="24071849"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WorkSafe ACT (2)</w:t>
            </w:r>
          </w:p>
          <w:p w14:paraId="3F3B68E2"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Attorney-General’s Department (2)</w:t>
            </w:r>
          </w:p>
        </w:tc>
      </w:tr>
      <w:tr w:rsidR="00F903A5" w:rsidRPr="009D0A4A" w14:paraId="20C2D02C" w14:textId="77777777" w:rsidTr="00260E6E">
        <w:trPr>
          <w:cnfStyle w:val="000000010000" w:firstRow="0" w:lastRow="0" w:firstColumn="0" w:lastColumn="0" w:oddVBand="0" w:evenVBand="0" w:oddHBand="0" w:evenHBand="1" w:firstRowFirstColumn="0" w:firstRowLastColumn="0" w:lastRowFirstColumn="0" w:lastRowLastColumn="0"/>
          <w:trHeight w:val="2108"/>
        </w:trPr>
        <w:tc>
          <w:tcPr>
            <w:tcW w:w="1806" w:type="pct"/>
            <w:hideMark/>
          </w:tcPr>
          <w:p w14:paraId="69E6580F" w14:textId="1EA86E86" w:rsidR="00F903A5" w:rsidRPr="009D0A4A" w:rsidRDefault="00F903A5" w:rsidP="007012B9">
            <w:pPr>
              <w:pStyle w:val="EYBulletnoparaspace"/>
              <w:numPr>
                <w:ilvl w:val="0"/>
                <w:numId w:val="0"/>
              </w:numPr>
              <w:spacing w:after="60"/>
              <w:rPr>
                <w:rFonts w:asciiTheme="minorHAnsi" w:hAnsiTheme="minorHAnsi" w:cstheme="minorHAnsi"/>
                <w:sz w:val="20"/>
                <w:szCs w:val="22"/>
              </w:rPr>
            </w:pPr>
            <w:r w:rsidRPr="009D0A4A">
              <w:rPr>
                <w:rFonts w:asciiTheme="minorHAnsi" w:hAnsiTheme="minorHAnsi" w:cstheme="minorHAnsi"/>
                <w:sz w:val="20"/>
                <w:szCs w:val="22"/>
              </w:rPr>
              <w:t xml:space="preserve">Workshop 2: Union and peak health bodies </w:t>
            </w:r>
          </w:p>
        </w:tc>
        <w:tc>
          <w:tcPr>
            <w:tcW w:w="3194" w:type="pct"/>
            <w:hideMark/>
          </w:tcPr>
          <w:p w14:paraId="44CD2EA9"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 xml:space="preserve">Australian Council of Trade Unions (1) </w:t>
            </w:r>
          </w:p>
          <w:p w14:paraId="0E83E2DD"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 xml:space="preserve">Australian Institute of Health &amp; Safety (1) </w:t>
            </w:r>
          </w:p>
          <w:p w14:paraId="74A2E71D"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Thoracic Society of Australia and New Zealand (3)</w:t>
            </w:r>
          </w:p>
          <w:p w14:paraId="28893188" w14:textId="2A965B0E"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 xml:space="preserve">Lung Foundation Australia (2) </w:t>
            </w:r>
          </w:p>
          <w:p w14:paraId="323DFAC2"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 xml:space="preserve">Public Health Association Australia (1) </w:t>
            </w:r>
          </w:p>
          <w:p w14:paraId="0EC9C1D7"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 xml:space="preserve">Australian and New Zealand Society of Occupational Medicine Inc (1) </w:t>
            </w:r>
          </w:p>
          <w:p w14:paraId="6D1E1504"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 xml:space="preserve">Australian Institute of Occupational Hygienists (1) </w:t>
            </w:r>
          </w:p>
        </w:tc>
      </w:tr>
      <w:tr w:rsidR="00F903A5" w:rsidRPr="009D0A4A" w14:paraId="04F0EC05" w14:textId="77777777" w:rsidTr="00260E6E">
        <w:trPr>
          <w:cnfStyle w:val="000000100000" w:firstRow="0" w:lastRow="0" w:firstColumn="0" w:lastColumn="0" w:oddVBand="0" w:evenVBand="0" w:oddHBand="1" w:evenHBand="0" w:firstRowFirstColumn="0" w:firstRowLastColumn="0" w:lastRowFirstColumn="0" w:lastRowLastColumn="0"/>
          <w:trHeight w:val="854"/>
        </w:trPr>
        <w:tc>
          <w:tcPr>
            <w:tcW w:w="1806" w:type="pct"/>
            <w:hideMark/>
          </w:tcPr>
          <w:p w14:paraId="6CB8EA98" w14:textId="383A106F" w:rsidR="00F903A5" w:rsidRPr="009D0A4A" w:rsidRDefault="00F903A5" w:rsidP="007012B9">
            <w:pPr>
              <w:pStyle w:val="EYBulletnoparaspace"/>
              <w:numPr>
                <w:ilvl w:val="0"/>
                <w:numId w:val="0"/>
              </w:numPr>
              <w:spacing w:after="60"/>
              <w:rPr>
                <w:rFonts w:asciiTheme="minorHAnsi" w:hAnsiTheme="minorHAnsi" w:cstheme="minorHAnsi"/>
                <w:sz w:val="20"/>
                <w:szCs w:val="22"/>
              </w:rPr>
            </w:pPr>
            <w:r w:rsidRPr="009D0A4A">
              <w:rPr>
                <w:rFonts w:asciiTheme="minorHAnsi" w:hAnsiTheme="minorHAnsi" w:cstheme="minorHAnsi"/>
                <w:sz w:val="20"/>
                <w:szCs w:val="22"/>
              </w:rPr>
              <w:t>Individual consultation</w:t>
            </w:r>
          </w:p>
        </w:tc>
        <w:tc>
          <w:tcPr>
            <w:tcW w:w="3194" w:type="pct"/>
            <w:hideMark/>
          </w:tcPr>
          <w:p w14:paraId="0D0CC0EC"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 xml:space="preserve">Institute of Quarrying Australia (1) </w:t>
            </w:r>
          </w:p>
        </w:tc>
      </w:tr>
      <w:tr w:rsidR="00F903A5" w:rsidRPr="009D0A4A" w14:paraId="1D5663B8" w14:textId="77777777" w:rsidTr="00260E6E">
        <w:trPr>
          <w:cnfStyle w:val="000000010000" w:firstRow="0" w:lastRow="0" w:firstColumn="0" w:lastColumn="0" w:oddVBand="0" w:evenVBand="0" w:oddHBand="0" w:evenHBand="1" w:firstRowFirstColumn="0" w:firstRowLastColumn="0" w:lastRowFirstColumn="0" w:lastRowLastColumn="0"/>
          <w:trHeight w:val="624"/>
        </w:trPr>
        <w:tc>
          <w:tcPr>
            <w:tcW w:w="1806" w:type="pct"/>
            <w:hideMark/>
          </w:tcPr>
          <w:p w14:paraId="299B30A4" w14:textId="3EA4C68C" w:rsidR="00F903A5" w:rsidRPr="009D0A4A" w:rsidRDefault="00F903A5" w:rsidP="007012B9">
            <w:pPr>
              <w:pStyle w:val="EYBulletnoparaspace"/>
              <w:numPr>
                <w:ilvl w:val="0"/>
                <w:numId w:val="0"/>
              </w:numPr>
              <w:spacing w:after="60"/>
              <w:rPr>
                <w:rFonts w:asciiTheme="minorHAnsi" w:hAnsiTheme="minorHAnsi" w:cstheme="minorHAnsi"/>
                <w:sz w:val="20"/>
                <w:szCs w:val="22"/>
              </w:rPr>
            </w:pPr>
            <w:r w:rsidRPr="009D0A4A">
              <w:rPr>
                <w:rFonts w:asciiTheme="minorHAnsi" w:hAnsiTheme="minorHAnsi" w:cstheme="minorHAnsi"/>
                <w:sz w:val="20"/>
                <w:szCs w:val="22"/>
              </w:rPr>
              <w:t>Individual consultation</w:t>
            </w:r>
          </w:p>
        </w:tc>
        <w:tc>
          <w:tcPr>
            <w:tcW w:w="3194" w:type="pct"/>
            <w:hideMark/>
          </w:tcPr>
          <w:p w14:paraId="41A5DF97"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 xml:space="preserve">Commonwealth Department of Health (2) </w:t>
            </w:r>
          </w:p>
        </w:tc>
      </w:tr>
      <w:tr w:rsidR="00F903A5" w:rsidRPr="009D0A4A" w14:paraId="4525F2F4" w14:textId="77777777" w:rsidTr="00260E6E">
        <w:trPr>
          <w:cnfStyle w:val="000000100000" w:firstRow="0" w:lastRow="0" w:firstColumn="0" w:lastColumn="0" w:oddVBand="0" w:evenVBand="0" w:oddHBand="1" w:evenHBand="0" w:firstRowFirstColumn="0" w:firstRowLastColumn="0" w:lastRowFirstColumn="0" w:lastRowLastColumn="0"/>
          <w:trHeight w:val="527"/>
        </w:trPr>
        <w:tc>
          <w:tcPr>
            <w:tcW w:w="1806" w:type="pct"/>
            <w:hideMark/>
          </w:tcPr>
          <w:p w14:paraId="163C3C93" w14:textId="77777777" w:rsidR="00F903A5" w:rsidRPr="009D0A4A" w:rsidRDefault="00F903A5" w:rsidP="007012B9">
            <w:pPr>
              <w:pStyle w:val="EYBulletnoparaspace"/>
              <w:numPr>
                <w:ilvl w:val="0"/>
                <w:numId w:val="0"/>
              </w:numPr>
              <w:spacing w:after="60"/>
              <w:rPr>
                <w:rFonts w:asciiTheme="minorHAnsi" w:hAnsiTheme="minorHAnsi" w:cstheme="minorHAnsi"/>
                <w:sz w:val="20"/>
                <w:szCs w:val="22"/>
              </w:rPr>
            </w:pPr>
            <w:r w:rsidRPr="009D0A4A">
              <w:rPr>
                <w:rFonts w:asciiTheme="minorHAnsi" w:hAnsiTheme="minorHAnsi" w:cstheme="minorHAnsi"/>
                <w:sz w:val="20"/>
                <w:szCs w:val="22"/>
              </w:rPr>
              <w:t>Workshop 3: Industry representatives</w:t>
            </w:r>
          </w:p>
        </w:tc>
        <w:tc>
          <w:tcPr>
            <w:tcW w:w="3194" w:type="pct"/>
            <w:hideMark/>
          </w:tcPr>
          <w:p w14:paraId="1FEC85C2"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 xml:space="preserve">Australian Chamber of Commerce and Industry (1) </w:t>
            </w:r>
          </w:p>
          <w:p w14:paraId="4FD41959"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 xml:space="preserve">Australian Industry Group (1) </w:t>
            </w:r>
          </w:p>
        </w:tc>
      </w:tr>
      <w:tr w:rsidR="00F903A5" w:rsidRPr="009D0A4A" w14:paraId="098B8B05" w14:textId="77777777" w:rsidTr="00260E6E">
        <w:trPr>
          <w:cnfStyle w:val="000000010000" w:firstRow="0" w:lastRow="0" w:firstColumn="0" w:lastColumn="0" w:oddVBand="0" w:evenVBand="0" w:oddHBand="0" w:evenHBand="1" w:firstRowFirstColumn="0" w:firstRowLastColumn="0" w:lastRowFirstColumn="0" w:lastRowLastColumn="0"/>
          <w:trHeight w:val="642"/>
        </w:trPr>
        <w:tc>
          <w:tcPr>
            <w:tcW w:w="1806" w:type="pct"/>
          </w:tcPr>
          <w:p w14:paraId="5BE654DA" w14:textId="5261C7B8" w:rsidR="00F903A5" w:rsidRPr="009D0A4A" w:rsidRDefault="00F903A5" w:rsidP="007012B9">
            <w:pPr>
              <w:pStyle w:val="EYBulletnoparaspace"/>
              <w:numPr>
                <w:ilvl w:val="0"/>
                <w:numId w:val="0"/>
              </w:numPr>
              <w:spacing w:after="60"/>
              <w:rPr>
                <w:rFonts w:asciiTheme="minorHAnsi" w:hAnsiTheme="minorHAnsi" w:cstheme="minorHAnsi"/>
                <w:sz w:val="20"/>
                <w:szCs w:val="22"/>
              </w:rPr>
            </w:pPr>
            <w:r w:rsidRPr="009D0A4A">
              <w:rPr>
                <w:rFonts w:asciiTheme="minorHAnsi" w:hAnsiTheme="minorHAnsi" w:cstheme="minorHAnsi"/>
                <w:sz w:val="20"/>
                <w:szCs w:val="22"/>
              </w:rPr>
              <w:t>Individual consultation</w:t>
            </w:r>
          </w:p>
        </w:tc>
        <w:tc>
          <w:tcPr>
            <w:tcW w:w="3194" w:type="pct"/>
          </w:tcPr>
          <w:p w14:paraId="2E5223B6"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 xml:space="preserve">Australian Institute of Health and Welfare (1) </w:t>
            </w:r>
          </w:p>
        </w:tc>
      </w:tr>
      <w:tr w:rsidR="00F903A5" w:rsidRPr="009D0A4A" w14:paraId="5FB5711C" w14:textId="77777777" w:rsidTr="00260E6E">
        <w:trPr>
          <w:cnfStyle w:val="000000100000" w:firstRow="0" w:lastRow="0" w:firstColumn="0" w:lastColumn="0" w:oddVBand="0" w:evenVBand="0" w:oddHBand="1" w:evenHBand="0" w:firstRowFirstColumn="0" w:firstRowLastColumn="0" w:lastRowFirstColumn="0" w:lastRowLastColumn="0"/>
          <w:trHeight w:val="642"/>
        </w:trPr>
        <w:tc>
          <w:tcPr>
            <w:tcW w:w="1806" w:type="pct"/>
          </w:tcPr>
          <w:p w14:paraId="4960F8F6" w14:textId="0C37B60A" w:rsidR="00F903A5" w:rsidRPr="009D0A4A" w:rsidRDefault="00F903A5" w:rsidP="007012B9">
            <w:pPr>
              <w:pStyle w:val="EYBulletnoparaspace"/>
              <w:numPr>
                <w:ilvl w:val="0"/>
                <w:numId w:val="0"/>
              </w:numPr>
              <w:spacing w:after="60"/>
              <w:rPr>
                <w:rFonts w:asciiTheme="minorHAnsi" w:hAnsiTheme="minorHAnsi" w:cstheme="minorHAnsi"/>
                <w:sz w:val="20"/>
                <w:szCs w:val="22"/>
              </w:rPr>
            </w:pPr>
            <w:r w:rsidRPr="009D0A4A">
              <w:rPr>
                <w:rFonts w:asciiTheme="minorHAnsi" w:hAnsiTheme="minorHAnsi" w:cstheme="minorHAnsi"/>
                <w:sz w:val="20"/>
                <w:szCs w:val="22"/>
              </w:rPr>
              <w:t>Individual consultation</w:t>
            </w:r>
          </w:p>
        </w:tc>
        <w:tc>
          <w:tcPr>
            <w:tcW w:w="3194" w:type="pct"/>
          </w:tcPr>
          <w:p w14:paraId="283BCD69" w14:textId="77777777" w:rsidR="00F903A5" w:rsidRPr="009D0A4A" w:rsidRDefault="00F903A5" w:rsidP="00F903A5">
            <w:pPr>
              <w:pStyle w:val="EYBulletnoparaspace"/>
              <w:numPr>
                <w:ilvl w:val="0"/>
                <w:numId w:val="0"/>
              </w:numPr>
              <w:spacing w:after="60"/>
              <w:ind w:left="360"/>
              <w:rPr>
                <w:rFonts w:asciiTheme="minorHAnsi" w:hAnsiTheme="minorHAnsi" w:cstheme="minorHAnsi"/>
                <w:sz w:val="20"/>
                <w:szCs w:val="22"/>
              </w:rPr>
            </w:pPr>
            <w:r w:rsidRPr="009D0A4A">
              <w:rPr>
                <w:rFonts w:asciiTheme="minorHAnsi" w:hAnsiTheme="minorHAnsi" w:cstheme="minorHAnsi"/>
                <w:sz w:val="20"/>
                <w:szCs w:val="22"/>
              </w:rPr>
              <w:t>Cement Concrete and Aggregates Australia (1)</w:t>
            </w:r>
          </w:p>
        </w:tc>
      </w:tr>
    </w:tbl>
    <w:p w14:paraId="4EC12AC5" w14:textId="0E76A419" w:rsidR="008B202E" w:rsidRPr="009D0A4A" w:rsidRDefault="000A4644" w:rsidP="007012B9">
      <w:pPr>
        <w:pStyle w:val="Heading3"/>
      </w:pPr>
      <w:r w:rsidRPr="009D0A4A">
        <w:t>Preliminary c</w:t>
      </w:r>
      <w:r w:rsidR="008B202E" w:rsidRPr="009D0A4A">
        <w:t>onsultation process</w:t>
      </w:r>
    </w:p>
    <w:p w14:paraId="63929B1C" w14:textId="77777777" w:rsidR="008B202E" w:rsidRPr="009D0A4A" w:rsidRDefault="008B202E" w:rsidP="007012B9">
      <w:pPr>
        <w:pStyle w:val="BodyText"/>
        <w:jc w:val="both"/>
      </w:pPr>
      <w:r w:rsidRPr="009D0A4A">
        <w:t xml:space="preserve">Stakeholder feedback during the consultation process informed the development of the problem statement and supporting evidence base. </w:t>
      </w:r>
    </w:p>
    <w:p w14:paraId="0A556F52" w14:textId="008261C5" w:rsidR="008B202E" w:rsidRPr="009D0A4A" w:rsidRDefault="008B202E" w:rsidP="007012B9">
      <w:pPr>
        <w:pStyle w:val="BodyText"/>
        <w:jc w:val="both"/>
      </w:pPr>
      <w:r w:rsidRPr="009D0A4A">
        <w:t>Feedback from all stakeholders was considered to build a more comprehensive understanding of the problem statement and evidence base. Stakeholder feedback on the problem statement was received in workshops and individual consultations, with some stakeholders providing supporting evidence following workshops and consultations. Materials received include quantitative data</w:t>
      </w:r>
      <w:r w:rsidR="000A4644" w:rsidRPr="009D0A4A">
        <w:t>, reports and peer-reviewed papers</w:t>
      </w:r>
      <w:r w:rsidRPr="009D0A4A">
        <w:t>.</w:t>
      </w:r>
    </w:p>
    <w:p w14:paraId="0A9C50B8" w14:textId="33E6C36A" w:rsidR="008B202E" w:rsidRPr="009D0A4A" w:rsidRDefault="008B202E" w:rsidP="007012B9">
      <w:pPr>
        <w:pStyle w:val="BodyText"/>
        <w:jc w:val="both"/>
      </w:pPr>
      <w:r w:rsidRPr="009D0A4A">
        <w:t xml:space="preserve">Stakeholders will have further opportunity to provide feedback on the problem statement and additional evidence in the public consultation phase of </w:t>
      </w:r>
      <w:r w:rsidR="00F903A5" w:rsidRPr="009D0A4A">
        <w:t>this CRIS</w:t>
      </w:r>
      <w:r w:rsidRPr="009D0A4A">
        <w:t>.</w:t>
      </w:r>
    </w:p>
    <w:p w14:paraId="29D1519A" w14:textId="78D9A128" w:rsidR="008B202E" w:rsidRPr="009D0A4A" w:rsidRDefault="00632679" w:rsidP="00F903A5">
      <w:pPr>
        <w:pStyle w:val="Heading3"/>
      </w:pPr>
      <w:r w:rsidRPr="009D0A4A">
        <w:t>Key findings – problem statement</w:t>
      </w:r>
    </w:p>
    <w:p w14:paraId="5E34419B" w14:textId="0B768C9B" w:rsidR="008B202E" w:rsidRPr="009D0A4A" w:rsidRDefault="00436A4C" w:rsidP="007012B9">
      <w:pPr>
        <w:pStyle w:val="BodyText"/>
        <w:jc w:val="both"/>
      </w:pPr>
      <w:r w:rsidRPr="009D0A4A">
        <w:t xml:space="preserve">Stakeholders </w:t>
      </w:r>
      <w:r w:rsidR="008B202E" w:rsidRPr="009D0A4A">
        <w:t xml:space="preserve">raised concerns with explicitly naming </w:t>
      </w:r>
      <w:r w:rsidR="008117ED" w:rsidRPr="009D0A4A">
        <w:t xml:space="preserve">some </w:t>
      </w:r>
      <w:r w:rsidR="008B202E" w:rsidRPr="009D0A4A">
        <w:t>industry sectors in the overarching problem statement. The predomina</w:t>
      </w:r>
      <w:r w:rsidR="00E4614F" w:rsidRPr="009D0A4A">
        <w:t>nt</w:t>
      </w:r>
      <w:r w:rsidR="008B202E" w:rsidRPr="009D0A4A">
        <w:t xml:space="preserve"> concern was that listing individual industry sectors may be misleading due to the different context and varied levels of RCS exposure across industry sectors. As a result, the problem definition was amended to refer to industries in a generalised sense, with a greater focus on individual industries in the evidence base that supports the problem statement.</w:t>
      </w:r>
    </w:p>
    <w:p w14:paraId="15C5CE26" w14:textId="43BF4DBF" w:rsidR="008B202E" w:rsidRPr="009D0A4A" w:rsidRDefault="008B202E" w:rsidP="007012B9">
      <w:pPr>
        <w:pStyle w:val="BodyText"/>
        <w:jc w:val="both"/>
      </w:pPr>
      <w:r w:rsidRPr="009D0A4A">
        <w:lastRenderedPageBreak/>
        <w:t>Additionally, union stakeholders expressed that the problem definition should include a reference to the prevention of illness and premature death.</w:t>
      </w:r>
    </w:p>
    <w:p w14:paraId="7FA1C565" w14:textId="07C95A2B" w:rsidR="008B202E" w:rsidRPr="009D0A4A" w:rsidRDefault="008B202E" w:rsidP="007012B9">
      <w:pPr>
        <w:pStyle w:val="Heading4"/>
      </w:pPr>
      <w:r w:rsidRPr="009D0A4A">
        <w:t xml:space="preserve">Information gaps where workers have developed </w:t>
      </w:r>
      <w:r w:rsidR="00880680" w:rsidRPr="009D0A4A">
        <w:t>silica related</w:t>
      </w:r>
      <w:r w:rsidRPr="009D0A4A">
        <w:t xml:space="preserve"> illnesses</w:t>
      </w:r>
    </w:p>
    <w:p w14:paraId="7C1E9FCF" w14:textId="6AA4852D" w:rsidR="008B202E" w:rsidRPr="009D0A4A" w:rsidRDefault="008B202E" w:rsidP="007012B9">
      <w:pPr>
        <w:pStyle w:val="BodyText"/>
        <w:jc w:val="both"/>
      </w:pPr>
      <w:r w:rsidRPr="009D0A4A">
        <w:t xml:space="preserve">Feedback for the first problem component centred around the lack of consistent and reliable data across jurisdictions. Government stakeholders noted that data gaps include the type of silicosis diagnosed and mapping of these diagnoses across industries. Some regulators and union stakeholders expressed that the quality of reported health monitoring data is inconsistent across jurisdictions. </w:t>
      </w:r>
      <w:r w:rsidR="00E4614F" w:rsidRPr="009D0A4A">
        <w:t>This is r</w:t>
      </w:r>
      <w:r w:rsidRPr="009D0A4A">
        <w:t xml:space="preserve">esulting in challenges for regulators in monitoring and comparing the data effectively. Similarly, the lack of a national requirement to report exposure above the WES threshold has resulted in inadequate and inconsistent records for workplace exposure data across jurisdictions. </w:t>
      </w:r>
    </w:p>
    <w:p w14:paraId="3DE5CC99" w14:textId="4495FC5E" w:rsidR="008B202E" w:rsidRPr="009D0A4A" w:rsidRDefault="008B202E" w:rsidP="007012B9">
      <w:pPr>
        <w:pStyle w:val="BodyText"/>
        <w:jc w:val="both"/>
      </w:pPr>
      <w:r w:rsidRPr="009D0A4A">
        <w:t>It was noted during the consultation process that there has been a focus on improving measurement and data in the last 12 months. However overall data collection and interpretation remains poor. Screening and surveillance programs have been, and continue to be</w:t>
      </w:r>
      <w:r w:rsidR="00E4614F" w:rsidRPr="009D0A4A">
        <w:t>, implemented</w:t>
      </w:r>
      <w:r w:rsidRPr="009D0A4A">
        <w:t xml:space="preserve"> to identify cases and inform data gaps.</w:t>
      </w:r>
    </w:p>
    <w:p w14:paraId="33E6E1EC" w14:textId="3182DD79" w:rsidR="008B202E" w:rsidRPr="009D0A4A" w:rsidRDefault="008B202E" w:rsidP="007012B9">
      <w:pPr>
        <w:pStyle w:val="Heading4"/>
      </w:pPr>
      <w:r w:rsidRPr="009D0A4A">
        <w:t xml:space="preserve">Understanding of </w:t>
      </w:r>
      <w:r w:rsidR="00880680" w:rsidRPr="009D0A4A">
        <w:t>silica related</w:t>
      </w:r>
      <w:r w:rsidRPr="009D0A4A">
        <w:t xml:space="preserve"> risks and current regulatory requirements</w:t>
      </w:r>
    </w:p>
    <w:p w14:paraId="3B75FA7E" w14:textId="6FDEC6EB" w:rsidR="008B202E" w:rsidRPr="009D0A4A" w:rsidRDefault="008B202E" w:rsidP="007012B9">
      <w:pPr>
        <w:pStyle w:val="BodyText"/>
        <w:jc w:val="both"/>
      </w:pPr>
      <w:r w:rsidRPr="009D0A4A">
        <w:t>A range of factors contributing to the lack of understanding of regulatory requirements was noted by stakeholders</w:t>
      </w:r>
      <w:r w:rsidR="00E4614F" w:rsidRPr="009D0A4A">
        <w:t xml:space="preserve"> including</w:t>
      </w:r>
      <w:r w:rsidRPr="009D0A4A">
        <w:t xml:space="preserve">, the risks posed by RCS exposure and the ways to manage those risks. The complexity of regulatory frameworks was identified by regulators and union stakeholders as a key cause for the lack of understanding. Complexities arise from the multiple duty </w:t>
      </w:r>
      <w:r w:rsidR="00EB17F4" w:rsidRPr="009D0A4A">
        <w:t xml:space="preserve">holder </w:t>
      </w:r>
      <w:r w:rsidRPr="009D0A4A">
        <w:t>arrangements on a site (</w:t>
      </w:r>
      <w:r w:rsidR="004E3629" w:rsidRPr="009D0A4A">
        <w:t>e.g.,</w:t>
      </w:r>
      <w:r w:rsidRPr="009D0A4A">
        <w:t xml:space="preserve"> for employees, contractors, suppliers) as well as the technical nature of WHS regulations. </w:t>
      </w:r>
    </w:p>
    <w:p w14:paraId="381792DC" w14:textId="77777777" w:rsidR="008B202E" w:rsidRPr="009D0A4A" w:rsidRDefault="008B202E" w:rsidP="007012B9">
      <w:pPr>
        <w:pStyle w:val="BodyText"/>
        <w:jc w:val="both"/>
      </w:pPr>
      <w:r w:rsidRPr="009D0A4A">
        <w:t xml:space="preserve">Some industry stakeholders also identified complexities arising from inconsistencies across jurisdictions in approaches to awareness campaigns and communication of regulations. Stakeholders noted the delivery of awareness campaigns could be improved upon. Union stakeholders noted that the communication of regulations is often delivered through an unsuitable and inconvenient medium for workers (such as regulator websites) and does not address the needs of workers. There is a lack of plain English explanations and appropriate resources for culturally and linguistically diverse workers. </w:t>
      </w:r>
    </w:p>
    <w:p w14:paraId="7B69C8A7" w14:textId="08E7441F" w:rsidR="008B202E" w:rsidRPr="009D0A4A" w:rsidRDefault="008B202E" w:rsidP="007012B9">
      <w:pPr>
        <w:pStyle w:val="BodyText"/>
        <w:jc w:val="both"/>
      </w:pPr>
      <w:r w:rsidRPr="009D0A4A">
        <w:t>While some industry and government stakeholders expressed that awareness has increased over the last two to three years</w:t>
      </w:r>
      <w:r w:rsidR="00E4614F" w:rsidRPr="009D0A4A">
        <w:t>,</w:t>
      </w:r>
      <w:r w:rsidRPr="009D0A4A">
        <w:t xml:space="preserve"> due to regulator</w:t>
      </w:r>
      <w:r w:rsidR="00FF2409" w:rsidRPr="009D0A4A">
        <w:t>, union and industry</w:t>
      </w:r>
      <w:r w:rsidRPr="009D0A4A">
        <w:t xml:space="preserve"> awareness campaigns, it was recognised there are still gaps in knowledge and</w:t>
      </w:r>
      <w:r w:rsidR="00E4614F" w:rsidRPr="009D0A4A">
        <w:t xml:space="preserve"> an unwillingness</w:t>
      </w:r>
      <w:r w:rsidRPr="009D0A4A">
        <w:t xml:space="preserve"> to change behaviour. For example, one industry stakeholder noted that whilst workers are now more aware of the risks posed by </w:t>
      </w:r>
      <w:r w:rsidR="008117ED" w:rsidRPr="009D0A4A">
        <w:t>RCS</w:t>
      </w:r>
      <w:r w:rsidRPr="009D0A4A">
        <w:t>, this may not translate to knowledge of how to mitigate those risks or willingness to change their behaviour accordingly.</w:t>
      </w:r>
    </w:p>
    <w:p w14:paraId="24439A7E" w14:textId="77777777" w:rsidR="008B202E" w:rsidRPr="009D0A4A" w:rsidRDefault="008B202E" w:rsidP="007012B9">
      <w:pPr>
        <w:pStyle w:val="Heading4"/>
      </w:pPr>
      <w:r w:rsidRPr="009D0A4A">
        <w:t>Inadequate levels of compliance and enforcement of current regulations</w:t>
      </w:r>
    </w:p>
    <w:p w14:paraId="508A95EF" w14:textId="2B2D0E63" w:rsidR="008B202E" w:rsidRPr="009D0A4A" w:rsidRDefault="008B202E" w:rsidP="007012B9">
      <w:pPr>
        <w:pStyle w:val="BodyText"/>
        <w:jc w:val="both"/>
      </w:pPr>
      <w:r w:rsidRPr="009D0A4A">
        <w:t xml:space="preserve">Stakeholder feedback on issues of compliance and enforcement focused on the inconsistency of enforcement capability and activities across jurisdictions, as well as workplace cultural factors contributing to a lack of compliance. Some regulator and industry stakeholders noted that regulator capability and resources vary between jurisdictions, resulting in inconsistent levels of activities including enforcement and prosecution. Additionally, some regulators pointed to a change in regulator skill sets, with a lack of in-house knowledge and capability contributing to insufficient enforcement activity. In terms of workplace compliance, industry stakeholders noted the prevalence of non-compliance in workplace cultural behaviour. For example, control methods such as wet cutting may not be followed if workers are only making one cut, as the effort and time cost associated with these control methods are seen as too cumbersome to be worth it for a minimal amount </w:t>
      </w:r>
      <w:r w:rsidR="00E4614F" w:rsidRPr="009D0A4A">
        <w:t xml:space="preserve">of </w:t>
      </w:r>
      <w:r w:rsidRPr="009D0A4A">
        <w:t>activity. Similarly, workplace dynamics can result in newer employees following the example of more established employees, further entrenching non-compliant behaviours within the workplace.</w:t>
      </w:r>
    </w:p>
    <w:p w14:paraId="6FA6DA92" w14:textId="316448E8" w:rsidR="008B202E" w:rsidRPr="009D0A4A" w:rsidRDefault="008B202E" w:rsidP="007012B9">
      <w:pPr>
        <w:pStyle w:val="Heading3"/>
      </w:pPr>
      <w:r w:rsidRPr="009D0A4A">
        <w:t>Key findings</w:t>
      </w:r>
      <w:r w:rsidR="00D14CC1" w:rsidRPr="009D0A4A">
        <w:t>:</w:t>
      </w:r>
      <w:r w:rsidRPr="009D0A4A">
        <w:t xml:space="preserve"> </w:t>
      </w:r>
      <w:r w:rsidR="00F903A5" w:rsidRPr="009D0A4A">
        <w:t xml:space="preserve">regulatory </w:t>
      </w:r>
      <w:r w:rsidRPr="009D0A4A">
        <w:t xml:space="preserve">and non-regulatory options </w:t>
      </w:r>
    </w:p>
    <w:p w14:paraId="6F1C10B1" w14:textId="02A64845" w:rsidR="008B202E" w:rsidRPr="009D0A4A" w:rsidRDefault="008B202E" w:rsidP="007012B9">
      <w:pPr>
        <w:pStyle w:val="BodyText"/>
        <w:jc w:val="both"/>
      </w:pPr>
      <w:r w:rsidRPr="009D0A4A">
        <w:t xml:space="preserve">Feedback from stakeholders on the policy options focussed primarily on the design of the policy options. Draft options were tested in workshops and individual consultations and were further refined for including in the RIS. While the options did not undergo significant change, an additional option </w:t>
      </w:r>
      <w:r w:rsidR="00EE3193" w:rsidRPr="009D0A4A">
        <w:t>(Option 3)</w:t>
      </w:r>
      <w:r w:rsidRPr="009D0A4A">
        <w:t xml:space="preserve"> was added based on stakeholder feedback. Stakeholders also provided feedback regarding the qualitative benefits and challenges of each option. </w:t>
      </w:r>
    </w:p>
    <w:p w14:paraId="22B947AB" w14:textId="11A8559D" w:rsidR="008B202E" w:rsidRPr="009D0A4A" w:rsidRDefault="00A35AA7" w:rsidP="007012B9">
      <w:pPr>
        <w:pStyle w:val="Heading4"/>
      </w:pPr>
      <w:r w:rsidRPr="009D0A4A">
        <w:lastRenderedPageBreak/>
        <w:t>Option 1</w:t>
      </w:r>
      <w:r w:rsidR="00D14CC1" w:rsidRPr="009D0A4A">
        <w:t>:</w:t>
      </w:r>
      <w:r w:rsidRPr="009D0A4A">
        <w:t xml:space="preserve"> </w:t>
      </w:r>
      <w:r w:rsidR="008B202E" w:rsidRPr="009D0A4A">
        <w:t xml:space="preserve">Base </w:t>
      </w:r>
      <w:r w:rsidR="00E03F7B" w:rsidRPr="009D0A4A">
        <w:t>case</w:t>
      </w:r>
    </w:p>
    <w:p w14:paraId="38FF3E38" w14:textId="288FB0B1" w:rsidR="008B202E" w:rsidRPr="009D0A4A" w:rsidRDefault="008B202E" w:rsidP="007012B9">
      <w:pPr>
        <w:pStyle w:val="BodyText"/>
        <w:jc w:val="both"/>
      </w:pPr>
      <w:r w:rsidRPr="009D0A4A">
        <w:t xml:space="preserve">There was stakeholder consensus that the activities under the </w:t>
      </w:r>
      <w:r w:rsidR="00E03F7B" w:rsidRPr="009D0A4A">
        <w:t xml:space="preserve">base </w:t>
      </w:r>
      <w:r w:rsidRPr="009D0A4A">
        <w:t xml:space="preserve">option are insufficient to address the problem statement. Some stakeholders noted that within the context of the RIS, the </w:t>
      </w:r>
      <w:r w:rsidR="00E03F7B" w:rsidRPr="009D0A4A">
        <w:t>b</w:t>
      </w:r>
      <w:r w:rsidRPr="009D0A4A">
        <w:t xml:space="preserve">ase </w:t>
      </w:r>
      <w:r w:rsidR="00E03F7B" w:rsidRPr="009D0A4A">
        <w:t>c</w:t>
      </w:r>
      <w:r w:rsidRPr="009D0A4A">
        <w:t xml:space="preserve">ase should include recent efforts to address the problem, including concerted efforts by jurisdictions over the last few years focussing on awareness, education, new </w:t>
      </w:r>
      <w:r w:rsidR="00F903A5" w:rsidRPr="009D0A4A">
        <w:t>C</w:t>
      </w:r>
      <w:r w:rsidRPr="009D0A4A">
        <w:t xml:space="preserve">odes </w:t>
      </w:r>
      <w:r w:rsidR="0017402F" w:rsidRPr="009D0A4A">
        <w:t>of Practice</w:t>
      </w:r>
      <w:r w:rsidR="00F903A5" w:rsidRPr="009D0A4A">
        <w:t xml:space="preserve"> </w:t>
      </w:r>
      <w:r w:rsidRPr="009D0A4A">
        <w:t>and compliance campaigns.</w:t>
      </w:r>
    </w:p>
    <w:p w14:paraId="3302AEAE" w14:textId="6B547D27" w:rsidR="008B202E" w:rsidRPr="009D0A4A" w:rsidRDefault="008B202E" w:rsidP="007012B9">
      <w:pPr>
        <w:pStyle w:val="Heading4"/>
      </w:pPr>
      <w:r w:rsidRPr="009D0A4A">
        <w:t>Option 2</w:t>
      </w:r>
      <w:r w:rsidR="00D14CC1" w:rsidRPr="009D0A4A">
        <w:t>:</w:t>
      </w:r>
      <w:r w:rsidRPr="009D0A4A">
        <w:t xml:space="preserve"> Awareness and behaviour change</w:t>
      </w:r>
    </w:p>
    <w:p w14:paraId="08F415DE" w14:textId="1D037BE8" w:rsidR="008B202E" w:rsidRPr="009D0A4A" w:rsidRDefault="008B202E" w:rsidP="007012B9">
      <w:pPr>
        <w:pStyle w:val="BodyText"/>
        <w:jc w:val="both"/>
      </w:pPr>
      <w:r w:rsidRPr="009D0A4A">
        <w:t xml:space="preserve">Stakeholders agreed there is a role for further awareness and behaviour change efforts and that this option would benefit from additional input from industry. It was acknowledged that cultural and behavioural factors do have significant impact on the uptake of messaging. Feedback from some industry stakeholders suggests that tailoring awareness campaigns to different </w:t>
      </w:r>
      <w:r w:rsidR="00EE3193" w:rsidRPr="009D0A4A">
        <w:t>industries</w:t>
      </w:r>
      <w:r w:rsidRPr="009D0A4A">
        <w:t xml:space="preserve"> and risk levels is important in achieving increased awareness and behaviour change. Several stakeholders noted that behavioural economics</w:t>
      </w:r>
      <w:r w:rsidR="001963C8" w:rsidRPr="009D0A4A">
        <w:t xml:space="preserve"> to identify incentives and disincentives for change which </w:t>
      </w:r>
      <w:r w:rsidR="00A35AA7" w:rsidRPr="009D0A4A">
        <w:t>would reduce workplace exposures to RCS</w:t>
      </w:r>
      <w:r w:rsidRPr="009D0A4A">
        <w:t xml:space="preserve">. </w:t>
      </w:r>
    </w:p>
    <w:p w14:paraId="6F206229" w14:textId="6EB3704C" w:rsidR="00C13BF8" w:rsidRPr="009D0A4A" w:rsidRDefault="008B202E" w:rsidP="00A35AA7">
      <w:pPr>
        <w:pStyle w:val="BodyText"/>
        <w:jc w:val="both"/>
      </w:pPr>
      <w:r w:rsidRPr="009D0A4A">
        <w:t xml:space="preserve">Additionally, stakeholders expressed that these campaigns should consider different formats to be more effective for workers, such as audio-visual, online learning and translated materials for </w:t>
      </w:r>
      <w:r w:rsidR="00F903A5" w:rsidRPr="009D0A4A">
        <w:t xml:space="preserve">culturally and linguistically diverse </w:t>
      </w:r>
      <w:r w:rsidRPr="009D0A4A">
        <w:t xml:space="preserve">workers. </w:t>
      </w:r>
    </w:p>
    <w:p w14:paraId="32AEDE53" w14:textId="57BBFAD6" w:rsidR="008B202E" w:rsidRPr="009D0A4A" w:rsidRDefault="008B202E" w:rsidP="00C13BF8">
      <w:pPr>
        <w:pStyle w:val="Heading4"/>
      </w:pPr>
      <w:r w:rsidRPr="009D0A4A">
        <w:t>Option 3</w:t>
      </w:r>
      <w:r w:rsidR="00D14CC1" w:rsidRPr="009D0A4A">
        <w:t xml:space="preserve">: </w:t>
      </w:r>
      <w:r w:rsidRPr="009D0A4A">
        <w:t xml:space="preserve">Clarification of existing requirements in </w:t>
      </w:r>
      <w:r w:rsidR="00E4614F" w:rsidRPr="009D0A4A">
        <w:t xml:space="preserve">the </w:t>
      </w:r>
      <w:r w:rsidRPr="009D0A4A">
        <w:t>model WHS laws</w:t>
      </w:r>
    </w:p>
    <w:p w14:paraId="7993EF2A" w14:textId="58A44EDF" w:rsidR="008B202E" w:rsidRPr="009D0A4A" w:rsidRDefault="008B202E" w:rsidP="007012B9">
      <w:pPr>
        <w:pStyle w:val="BodyText"/>
        <w:jc w:val="both"/>
      </w:pPr>
      <w:r w:rsidRPr="009D0A4A">
        <w:t xml:space="preserve">This option was created </w:t>
      </w:r>
      <w:r w:rsidR="00575C00" w:rsidRPr="009D0A4A">
        <w:t>following feedback from stakeholders</w:t>
      </w:r>
      <w:r w:rsidRPr="009D0A4A">
        <w:t xml:space="preserve"> </w:t>
      </w:r>
      <w:r w:rsidR="00575C00" w:rsidRPr="009D0A4A">
        <w:t>about the need to clarify</w:t>
      </w:r>
      <w:r w:rsidRPr="009D0A4A">
        <w:t xml:space="preserve"> of existing requirements in </w:t>
      </w:r>
      <w:r w:rsidR="00F903A5" w:rsidRPr="009D0A4A">
        <w:t xml:space="preserve">the </w:t>
      </w:r>
      <w:r w:rsidRPr="009D0A4A">
        <w:t>model WHS laws.</w:t>
      </w:r>
    </w:p>
    <w:p w14:paraId="3B4B165E" w14:textId="64F1BF7C" w:rsidR="008B202E" w:rsidRPr="009D0A4A" w:rsidRDefault="008B202E" w:rsidP="007012B9">
      <w:pPr>
        <w:pStyle w:val="Heading4"/>
      </w:pPr>
      <w:r w:rsidRPr="009D0A4A">
        <w:t>Option 4</w:t>
      </w:r>
      <w:r w:rsidR="00D14CC1" w:rsidRPr="009D0A4A">
        <w:t>:</w:t>
      </w:r>
      <w:r w:rsidRPr="009D0A4A">
        <w:t xml:space="preserve"> National licensing framework</w:t>
      </w:r>
    </w:p>
    <w:p w14:paraId="4AA5F495" w14:textId="5D75F889" w:rsidR="008B202E" w:rsidRPr="009D0A4A" w:rsidRDefault="008B202E" w:rsidP="007012B9">
      <w:pPr>
        <w:pStyle w:val="BodyText"/>
        <w:jc w:val="both"/>
      </w:pPr>
      <w:r w:rsidRPr="009D0A4A">
        <w:t xml:space="preserve">Several stakeholders questioned the ability of a licensing framework to effectively achieve the desired outcome. It was noted that many of the proposed </w:t>
      </w:r>
      <w:r w:rsidR="00F903A5" w:rsidRPr="009D0A4A">
        <w:t xml:space="preserve">initiatives, such as </w:t>
      </w:r>
      <w:r w:rsidR="007F692B" w:rsidRPr="009D0A4A">
        <w:t>the licensing framework</w:t>
      </w:r>
      <w:r w:rsidRPr="009D0A4A">
        <w:t xml:space="preserve"> were already in place, which may lead to minimal additional benefit, especially if licensing did not change compliance behaviour as intended. Additionally, stakeholders noted that the licensing fees are an important consideration, as a fee that is set at too high a rate may lead to employers allocating money away from control measures and other compliance activities.</w:t>
      </w:r>
    </w:p>
    <w:p w14:paraId="5BA4C933" w14:textId="4D30636C" w:rsidR="008B202E" w:rsidRPr="009D0A4A" w:rsidRDefault="008B202E" w:rsidP="007012B9">
      <w:pPr>
        <w:pStyle w:val="Heading4"/>
      </w:pPr>
      <w:r w:rsidRPr="009D0A4A">
        <w:t>Option 5a and 5b</w:t>
      </w:r>
      <w:r w:rsidR="00D14CC1" w:rsidRPr="009D0A4A">
        <w:t>:</w:t>
      </w:r>
      <w:r w:rsidRPr="009D0A4A">
        <w:t xml:space="preserve"> Regulation of defined high risk crystalline silica processes</w:t>
      </w:r>
    </w:p>
    <w:p w14:paraId="5BC797E5" w14:textId="5C730045" w:rsidR="008B202E" w:rsidRPr="009D0A4A" w:rsidRDefault="008B202E" w:rsidP="007012B9">
      <w:pPr>
        <w:pStyle w:val="BodyText"/>
        <w:jc w:val="both"/>
      </w:pPr>
      <w:r w:rsidRPr="009D0A4A">
        <w:t xml:space="preserve">Feedback on </w:t>
      </w:r>
      <w:r w:rsidR="00EB17F4" w:rsidRPr="009D0A4A">
        <w:t>these</w:t>
      </w:r>
      <w:r w:rsidRPr="009D0A4A">
        <w:t xml:space="preserve"> option</w:t>
      </w:r>
      <w:r w:rsidR="00EB17F4" w:rsidRPr="009D0A4A">
        <w:t>s</w:t>
      </w:r>
      <w:r w:rsidRPr="009D0A4A">
        <w:t xml:space="preserve"> primarily concerned the design of </w:t>
      </w:r>
      <w:r w:rsidR="00EB17F4" w:rsidRPr="009D0A4A">
        <w:t>each</w:t>
      </w:r>
      <w:r w:rsidRPr="009D0A4A">
        <w:t xml:space="preserve"> option, with stakeholders noting that regulation would need to find balance between </w:t>
      </w:r>
      <w:r w:rsidR="001516E1" w:rsidRPr="009D0A4A">
        <w:t xml:space="preserve">flexibility </w:t>
      </w:r>
      <w:r w:rsidRPr="009D0A4A">
        <w:t xml:space="preserve">and prescriptiveness </w:t>
      </w:r>
      <w:r w:rsidR="00671E5A" w:rsidRPr="009D0A4A">
        <w:t>to</w:t>
      </w:r>
      <w:r w:rsidRPr="009D0A4A">
        <w:t xml:space="preserve"> achieve effective outcomes. </w:t>
      </w:r>
      <w:r w:rsidR="001516E1" w:rsidRPr="009D0A4A">
        <w:t>S</w:t>
      </w:r>
      <w:r w:rsidRPr="009D0A4A">
        <w:t xml:space="preserve">takeholders </w:t>
      </w:r>
      <w:r w:rsidR="001516E1" w:rsidRPr="009D0A4A">
        <w:t xml:space="preserve">also </w:t>
      </w:r>
      <w:r w:rsidRPr="009D0A4A">
        <w:t xml:space="preserve">expressed </w:t>
      </w:r>
      <w:r w:rsidR="001516E1" w:rsidRPr="009D0A4A">
        <w:t xml:space="preserve">concerns that </w:t>
      </w:r>
      <w:r w:rsidR="004E3629" w:rsidRPr="009D0A4A">
        <w:t>regulations</w:t>
      </w:r>
      <w:r w:rsidRPr="009D0A4A">
        <w:t xml:space="preserve"> should consider the specific contexts of industries </w:t>
      </w:r>
      <w:r w:rsidR="001516E1" w:rsidRPr="009D0A4A">
        <w:t>so that they are fit for purpose</w:t>
      </w:r>
      <w:r w:rsidRPr="009D0A4A">
        <w:t xml:space="preserve">. </w:t>
      </w:r>
    </w:p>
    <w:p w14:paraId="131B1B63" w14:textId="77777777" w:rsidR="008B202E" w:rsidRPr="009D0A4A" w:rsidRDefault="008B202E" w:rsidP="007012B9">
      <w:pPr>
        <w:pStyle w:val="BodyText"/>
        <w:jc w:val="both"/>
      </w:pPr>
      <w:r w:rsidRPr="009D0A4A">
        <w:t xml:space="preserve">Feedback on the benefits of this option centred around establishing a regulatory framework that has the potential benefit of future proofing industries. The tailored nature of this option also means that it could be combined with other options such as licensing for maximum effect. </w:t>
      </w:r>
    </w:p>
    <w:p w14:paraId="11F66DB9" w14:textId="79E10350" w:rsidR="008B202E" w:rsidRPr="009D0A4A" w:rsidRDefault="008B202E" w:rsidP="007012B9">
      <w:pPr>
        <w:pStyle w:val="Heading3"/>
      </w:pPr>
      <w:r w:rsidRPr="009D0A4A">
        <w:t>Key findings</w:t>
      </w:r>
      <w:r w:rsidR="00D14CC1" w:rsidRPr="009D0A4A">
        <w:t>:</w:t>
      </w:r>
      <w:r w:rsidRPr="009D0A4A">
        <w:t xml:space="preserve"> Assessment of out of scope options </w:t>
      </w:r>
    </w:p>
    <w:p w14:paraId="35DC13FF" w14:textId="4E615D59" w:rsidR="008B202E" w:rsidRPr="009D0A4A" w:rsidRDefault="008B202E" w:rsidP="007012B9">
      <w:pPr>
        <w:pStyle w:val="BodyText"/>
        <w:jc w:val="both"/>
      </w:pPr>
      <w:r w:rsidRPr="009D0A4A">
        <w:t xml:space="preserve">Several stakeholders raised the possibility of other options that were not considered in the CRIS. The first option was a free assessment service to small businesses; </w:t>
      </w:r>
      <w:r w:rsidR="00ED5A4F" w:rsidRPr="009D0A4A">
        <w:t>however,</w:t>
      </w:r>
      <w:r w:rsidRPr="009D0A4A">
        <w:t xml:space="preserve"> it was noted that this was likely to incur a high cost. Another was the idea of an advisory service provided by regulators whereby PCBUs may engage regulators for advice. </w:t>
      </w:r>
      <w:r w:rsidR="00ED5A4F" w:rsidRPr="009D0A4A">
        <w:t>However,</w:t>
      </w:r>
      <w:r w:rsidRPr="009D0A4A">
        <w:t xml:space="preserve"> it was noted that this option may be minimally effective as the PCBUs that are currently non-compliant and are in greatest need of assistance are unlikely to seek help from regulators.</w:t>
      </w:r>
    </w:p>
    <w:p w14:paraId="13DC4957" w14:textId="117F463D" w:rsidR="000C20A5" w:rsidRPr="009D0A4A" w:rsidRDefault="008B202E" w:rsidP="002F49C9">
      <w:pPr>
        <w:pStyle w:val="BodyText"/>
        <w:jc w:val="both"/>
      </w:pPr>
      <w:r w:rsidRPr="009D0A4A">
        <w:t xml:space="preserve">Finally, union and </w:t>
      </w:r>
      <w:r w:rsidR="00B305AD" w:rsidRPr="009D0A4A">
        <w:t xml:space="preserve">peak </w:t>
      </w:r>
      <w:r w:rsidRPr="009D0A4A">
        <w:t xml:space="preserve">health </w:t>
      </w:r>
      <w:r w:rsidR="00B305AD" w:rsidRPr="009D0A4A">
        <w:t xml:space="preserve">bodies </w:t>
      </w:r>
      <w:r w:rsidRPr="009D0A4A">
        <w:t xml:space="preserve">expressed a preference for the consideration of a ban on engineered stone, or a phased partial ban. Stakeholders noted that the findings from the National Dust Disease Taskforce report recommended that a ban be considered in </w:t>
      </w:r>
      <w:r w:rsidR="001516E1" w:rsidRPr="009D0A4A">
        <w:t xml:space="preserve">July 2024 </w:t>
      </w:r>
      <w:r w:rsidRPr="009D0A4A">
        <w:t xml:space="preserve">if other measures are insufficient in addressing the problem. Stakeholders noted </w:t>
      </w:r>
      <w:r w:rsidR="00397A61" w:rsidRPr="009D0A4A">
        <w:t>that</w:t>
      </w:r>
      <w:r w:rsidRPr="009D0A4A">
        <w:t xml:space="preserve"> a ban </w:t>
      </w:r>
      <w:r w:rsidR="00397A61" w:rsidRPr="009D0A4A">
        <w:t>would eliminate the risks associated with engineered stone installation</w:t>
      </w:r>
      <w:r w:rsidRPr="009D0A4A">
        <w:t xml:space="preserve"> from workplaces, </w:t>
      </w:r>
      <w:r w:rsidR="00DA2852" w:rsidRPr="009D0A4A">
        <w:t xml:space="preserve">consistent with the hierarchy of controls, </w:t>
      </w:r>
      <w:r w:rsidRPr="009D0A4A">
        <w:t>and that it may incentivise research into safer alternatives</w:t>
      </w:r>
      <w:r w:rsidR="00361FDE" w:rsidRPr="009D0A4A">
        <w:t>.</w:t>
      </w:r>
    </w:p>
    <w:p w14:paraId="5AB63FCA" w14:textId="77777777" w:rsidR="000C20A5" w:rsidRPr="009D0A4A" w:rsidRDefault="000C20A5">
      <w:r w:rsidRPr="009D0A4A">
        <w:br w:type="page"/>
      </w:r>
    </w:p>
    <w:p w14:paraId="193F12BB" w14:textId="67F42E39" w:rsidR="006F1AF7" w:rsidRPr="009D0A4A" w:rsidRDefault="006F1AF7" w:rsidP="00041D73">
      <w:pPr>
        <w:pStyle w:val="Heading1"/>
      </w:pPr>
      <w:bookmarkStart w:id="632" w:name="_Toc107395329"/>
      <w:r w:rsidRPr="009D0A4A">
        <w:lastRenderedPageBreak/>
        <w:t>What is the likely impact of each option?</w:t>
      </w:r>
      <w:bookmarkEnd w:id="632"/>
    </w:p>
    <w:p w14:paraId="23BE4A3B" w14:textId="59DCA35E" w:rsidR="006F1AF7" w:rsidRPr="009D0A4A" w:rsidRDefault="006F1AF7" w:rsidP="003801F8">
      <w:pPr>
        <w:pStyle w:val="Heading2"/>
      </w:pPr>
      <w:bookmarkStart w:id="633" w:name="_Toc107395330"/>
      <w:r w:rsidRPr="009D0A4A">
        <w:t>Approach to impact analysis</w:t>
      </w:r>
      <w:bookmarkEnd w:id="633"/>
    </w:p>
    <w:p w14:paraId="5632790C" w14:textId="11CC853A" w:rsidR="006F1AF7" w:rsidRPr="009D0A4A" w:rsidRDefault="006F1AF7" w:rsidP="007012B9">
      <w:pPr>
        <w:pStyle w:val="BodyText"/>
        <w:jc w:val="both"/>
      </w:pPr>
      <w:r w:rsidRPr="009D0A4A">
        <w:t xml:space="preserve">The RIS process seeks to ensure that proposed regulatory and non-regulatory options are well-targeted, effective and appropriate, and any burden imposed on business and the community is comparatively appropriate to address the identified issue. A key part of this process is to compare the impact of the proposed options. </w:t>
      </w:r>
    </w:p>
    <w:p w14:paraId="695AA35D" w14:textId="77777777" w:rsidR="006F1AF7" w:rsidRPr="009D0A4A" w:rsidRDefault="006F1AF7" w:rsidP="007012B9">
      <w:pPr>
        <w:pStyle w:val="BodyText"/>
        <w:jc w:val="both"/>
      </w:pPr>
      <w:r w:rsidRPr="009D0A4A">
        <w:t>Typically, costs imposed on business and government can be assessed quantitatively, while other costs and benefits can be more difficult to estimate in monetary terms. In this CRIS, efforts are made to identify the monetary costs to business and government for the proposed options that are additional to the base case option.</w:t>
      </w:r>
    </w:p>
    <w:p w14:paraId="553A171A" w14:textId="6E1FB34C" w:rsidR="006F1AF7" w:rsidRPr="009D0A4A" w:rsidRDefault="006F1AF7" w:rsidP="007012B9">
      <w:pPr>
        <w:pStyle w:val="BodyText"/>
        <w:jc w:val="both"/>
      </w:pPr>
      <w:r w:rsidRPr="009D0A4A">
        <w:t>Following consultation with OBPR, a combination of multi-criteria analysis</w:t>
      </w:r>
      <w:r w:rsidRPr="009D0A4A">
        <w:rPr>
          <w:b/>
          <w:bCs/>
        </w:rPr>
        <w:t xml:space="preserve"> </w:t>
      </w:r>
      <w:r w:rsidRPr="009D0A4A">
        <w:t>(MCA)</w:t>
      </w:r>
      <w:r w:rsidRPr="009D0A4A">
        <w:rPr>
          <w:b/>
          <w:bCs/>
        </w:rPr>
        <w:t xml:space="preserve"> </w:t>
      </w:r>
      <w:r w:rsidRPr="009D0A4A">
        <w:t xml:space="preserve">and breakeven analysis (BEA) </w:t>
      </w:r>
      <w:r w:rsidR="00FC2B11" w:rsidRPr="009D0A4A">
        <w:t xml:space="preserve">has </w:t>
      </w:r>
      <w:r w:rsidRPr="009D0A4A">
        <w:t xml:space="preserve">been used to measure the impact of each option. </w:t>
      </w:r>
    </w:p>
    <w:p w14:paraId="30952500" w14:textId="7D695426" w:rsidR="006F1AF7" w:rsidRPr="009D0A4A" w:rsidRDefault="006F1AF7" w:rsidP="007012B9">
      <w:pPr>
        <w:pStyle w:val="BodyText"/>
        <w:jc w:val="both"/>
        <w:rPr>
          <w:rFonts w:cstheme="minorHAnsi"/>
        </w:rPr>
      </w:pPr>
      <w:r w:rsidRPr="009D0A4A">
        <w:rPr>
          <w:rFonts w:cstheme="minorHAnsi"/>
        </w:rPr>
        <w:t xml:space="preserve">MCA can be used when it may not be feasible to fully quantify the impacts of an option and allows qualitative information to be used in decision-making. </w:t>
      </w:r>
      <w:r w:rsidR="006443B3" w:rsidRPr="009D0A4A">
        <w:rPr>
          <w:rFonts w:cstheme="minorHAnsi"/>
        </w:rPr>
        <w:t xml:space="preserve">The criteria used to assess each option are described in Section 6.2. </w:t>
      </w:r>
      <w:r w:rsidRPr="009D0A4A">
        <w:rPr>
          <w:rFonts w:cstheme="minorHAnsi"/>
        </w:rPr>
        <w:t xml:space="preserve">This CRIS includes detailed estimates of the additional costs of each option above the </w:t>
      </w:r>
      <w:r w:rsidR="00E03F7B" w:rsidRPr="009D0A4A">
        <w:rPr>
          <w:rFonts w:cstheme="minorHAnsi"/>
        </w:rPr>
        <w:t>b</w:t>
      </w:r>
      <w:r w:rsidRPr="009D0A4A">
        <w:rPr>
          <w:rFonts w:cstheme="minorHAnsi"/>
        </w:rPr>
        <w:t xml:space="preserve">ase </w:t>
      </w:r>
      <w:r w:rsidR="00E03F7B" w:rsidRPr="009D0A4A">
        <w:rPr>
          <w:rFonts w:cstheme="minorHAnsi"/>
        </w:rPr>
        <w:t>case</w:t>
      </w:r>
      <w:r w:rsidR="00FC2B11" w:rsidRPr="009D0A4A">
        <w:rPr>
          <w:rFonts w:cstheme="minorHAnsi"/>
        </w:rPr>
        <w:t>. H</w:t>
      </w:r>
      <w:r w:rsidRPr="009D0A4A">
        <w:rPr>
          <w:rFonts w:cstheme="minorHAnsi"/>
        </w:rPr>
        <w:t>owever</w:t>
      </w:r>
      <w:r w:rsidR="00FC2B11" w:rsidRPr="009D0A4A">
        <w:rPr>
          <w:rFonts w:cstheme="minorHAnsi"/>
        </w:rPr>
        <w:t>,</w:t>
      </w:r>
      <w:r w:rsidRPr="009D0A4A">
        <w:rPr>
          <w:rFonts w:cstheme="minorHAnsi"/>
        </w:rPr>
        <w:t xml:space="preserve"> it was not feasible to quantify the benefits of the effectiveness of each of the proposed options to reduce exposures to RCS and </w:t>
      </w:r>
      <w:r w:rsidR="00260E6E" w:rsidRPr="009D0A4A">
        <w:rPr>
          <w:rFonts w:cstheme="minorHAnsi"/>
        </w:rPr>
        <w:t xml:space="preserve">reduce </w:t>
      </w:r>
      <w:r w:rsidR="00FC2B11" w:rsidRPr="009D0A4A">
        <w:rPr>
          <w:rFonts w:cstheme="minorHAnsi"/>
        </w:rPr>
        <w:t xml:space="preserve">silicosis </w:t>
      </w:r>
      <w:r w:rsidRPr="009D0A4A">
        <w:rPr>
          <w:rFonts w:cstheme="minorHAnsi"/>
        </w:rPr>
        <w:t xml:space="preserve">and </w:t>
      </w:r>
      <w:r w:rsidR="00880680" w:rsidRPr="009D0A4A">
        <w:rPr>
          <w:rFonts w:cstheme="minorHAnsi"/>
        </w:rPr>
        <w:t>silica related</w:t>
      </w:r>
      <w:r w:rsidRPr="009D0A4A">
        <w:rPr>
          <w:rFonts w:cstheme="minorHAnsi"/>
        </w:rPr>
        <w:t xml:space="preserve"> diseases</w:t>
      </w:r>
      <w:r w:rsidR="00260E6E" w:rsidRPr="009D0A4A">
        <w:rPr>
          <w:rFonts w:cstheme="minorHAnsi"/>
        </w:rPr>
        <w:t>,</w:t>
      </w:r>
      <w:r w:rsidRPr="009D0A4A">
        <w:rPr>
          <w:rFonts w:cstheme="minorHAnsi"/>
        </w:rPr>
        <w:t xml:space="preserve"> in monetary terms. This is because there is insufficient data to estimate the benefits of a reduction in workplace exposure in RCS and a reduction in silicosis and silica related disease </w:t>
      </w:r>
      <w:r w:rsidR="00BD2F3B" w:rsidRPr="009D0A4A">
        <w:rPr>
          <w:rFonts w:cstheme="minorHAnsi"/>
        </w:rPr>
        <w:t>for each of</w:t>
      </w:r>
      <w:r w:rsidRPr="009D0A4A">
        <w:rPr>
          <w:rFonts w:cstheme="minorHAnsi"/>
        </w:rPr>
        <w:t xml:space="preserve"> the regulatory and non-regulatory options. Even though Victoria has implemented regulations consistent with Options 4 and 5b, there has been insufficient time to evaluate how these changes have reduced exposures to RCS and reduced silicosis and silica related diseases. </w:t>
      </w:r>
    </w:p>
    <w:p w14:paraId="64B941B2" w14:textId="59B62CC6" w:rsidR="006F1AF7" w:rsidRPr="009D0A4A" w:rsidRDefault="006F1AF7" w:rsidP="007012B9">
      <w:pPr>
        <w:pStyle w:val="BodyText"/>
        <w:jc w:val="both"/>
        <w:rPr>
          <w:rFonts w:cstheme="minorHAnsi"/>
        </w:rPr>
      </w:pPr>
      <w:r w:rsidRPr="009D0A4A">
        <w:rPr>
          <w:rFonts w:cstheme="minorHAnsi"/>
          <w:lang w:bidi="en-AU"/>
        </w:rPr>
        <w:t xml:space="preserve">This CRIS also includes a BEA, which quantifies the economic cost of each case of silicosis and assesses the number of silicosis cases which would need to be avoided under each option for the benefits to outweigh the additional costs. </w:t>
      </w:r>
    </w:p>
    <w:p w14:paraId="321A3B8E" w14:textId="60962E23" w:rsidR="006F1AF7" w:rsidRPr="009D0A4A" w:rsidRDefault="00721636" w:rsidP="003801F8">
      <w:pPr>
        <w:pStyle w:val="Heading2"/>
      </w:pPr>
      <w:r w:rsidRPr="009D0A4A">
        <w:t xml:space="preserve"> </w:t>
      </w:r>
      <w:bookmarkStart w:id="634" w:name="_Toc107395331"/>
      <w:r w:rsidRPr="009D0A4A">
        <w:t>Criteria development for multicriteria analysis</w:t>
      </w:r>
      <w:bookmarkEnd w:id="634"/>
      <w:r w:rsidR="006F1AF7" w:rsidRPr="009D0A4A">
        <w:t xml:space="preserve"> </w:t>
      </w:r>
    </w:p>
    <w:p w14:paraId="336B9406" w14:textId="7452A65C" w:rsidR="006F1AF7" w:rsidRPr="009D0A4A" w:rsidRDefault="006F1AF7" w:rsidP="007012B9">
      <w:pPr>
        <w:pStyle w:val="BodyText"/>
        <w:jc w:val="both"/>
      </w:pPr>
      <w:r w:rsidRPr="009D0A4A">
        <w:t xml:space="preserve">In </w:t>
      </w:r>
      <w:r w:rsidR="007403D4" w:rsidRPr="009D0A4A">
        <w:t>a</w:t>
      </w:r>
      <w:r w:rsidR="00721636" w:rsidRPr="009D0A4A">
        <w:t>n</w:t>
      </w:r>
      <w:r w:rsidR="007403D4" w:rsidRPr="009D0A4A">
        <w:t xml:space="preserve"> </w:t>
      </w:r>
      <w:r w:rsidRPr="009D0A4A">
        <w:t xml:space="preserve">MCA, it is important to clearly define the criteria when assessing options to integrate quantitative and qualitative information in a way that allows options to be compared on a transparent and consistent basis. </w:t>
      </w:r>
    </w:p>
    <w:p w14:paraId="411A7110" w14:textId="77777777" w:rsidR="006F1AF7" w:rsidRPr="009D0A4A" w:rsidRDefault="006F1AF7" w:rsidP="007012B9">
      <w:pPr>
        <w:pStyle w:val="BodyText"/>
        <w:jc w:val="both"/>
      </w:pPr>
      <w:r w:rsidRPr="009D0A4A">
        <w:t xml:space="preserve">This MCA uses the following criteria to assess each option: </w:t>
      </w:r>
    </w:p>
    <w:p w14:paraId="2E704636" w14:textId="1A90E3CA" w:rsidR="006F1AF7" w:rsidRPr="009D0A4A" w:rsidRDefault="007403D4"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the a</w:t>
      </w:r>
      <w:r w:rsidR="006F1AF7" w:rsidRPr="009D0A4A">
        <w:rPr>
          <w:rFonts w:asciiTheme="minorHAnsi" w:hAnsiTheme="minorHAnsi" w:cstheme="minorHAnsi"/>
          <w:sz w:val="20"/>
          <w:szCs w:val="20"/>
        </w:rPr>
        <w:t xml:space="preserve">dditional costs to industry and government: quantitative estimates of the costs to industry of complying with the proposed </w:t>
      </w:r>
      <w:r w:rsidR="00957EC3" w:rsidRPr="009D0A4A">
        <w:rPr>
          <w:rFonts w:asciiTheme="minorHAnsi" w:hAnsiTheme="minorHAnsi" w:cstheme="minorHAnsi"/>
          <w:sz w:val="20"/>
          <w:szCs w:val="20"/>
        </w:rPr>
        <w:t>r</w:t>
      </w:r>
      <w:r w:rsidR="006F1AF7" w:rsidRPr="009D0A4A">
        <w:rPr>
          <w:rFonts w:asciiTheme="minorHAnsi" w:hAnsiTheme="minorHAnsi" w:cstheme="minorHAnsi"/>
          <w:sz w:val="20"/>
          <w:szCs w:val="20"/>
        </w:rPr>
        <w:t xml:space="preserve">egulations and the costs to government of implementing and administering the </w:t>
      </w:r>
      <w:r w:rsidR="00957EC3" w:rsidRPr="009D0A4A">
        <w:rPr>
          <w:rFonts w:asciiTheme="minorHAnsi" w:hAnsiTheme="minorHAnsi" w:cstheme="minorHAnsi"/>
          <w:sz w:val="20"/>
          <w:szCs w:val="20"/>
        </w:rPr>
        <w:t>r</w:t>
      </w:r>
      <w:r w:rsidR="006F1AF7" w:rsidRPr="009D0A4A">
        <w:rPr>
          <w:rFonts w:asciiTheme="minorHAnsi" w:hAnsiTheme="minorHAnsi" w:cstheme="minorHAnsi"/>
          <w:sz w:val="20"/>
          <w:szCs w:val="20"/>
        </w:rPr>
        <w:t xml:space="preserve">egulations above those of the </w:t>
      </w:r>
      <w:r w:rsidR="00E03F7B" w:rsidRPr="009D0A4A">
        <w:rPr>
          <w:rFonts w:asciiTheme="minorHAnsi" w:hAnsiTheme="minorHAnsi" w:cstheme="minorHAnsi"/>
          <w:sz w:val="20"/>
          <w:szCs w:val="20"/>
        </w:rPr>
        <w:t>b</w:t>
      </w:r>
      <w:r w:rsidR="00FC2B11" w:rsidRPr="009D0A4A">
        <w:rPr>
          <w:rFonts w:asciiTheme="minorHAnsi" w:hAnsiTheme="minorHAnsi" w:cstheme="minorHAnsi"/>
          <w:sz w:val="20"/>
          <w:szCs w:val="20"/>
        </w:rPr>
        <w:t xml:space="preserve">ase </w:t>
      </w:r>
      <w:r w:rsidR="00E03F7B" w:rsidRPr="009D0A4A">
        <w:rPr>
          <w:rFonts w:asciiTheme="minorHAnsi" w:hAnsiTheme="minorHAnsi" w:cstheme="minorHAnsi"/>
          <w:sz w:val="20"/>
          <w:szCs w:val="20"/>
        </w:rPr>
        <w:t>c</w:t>
      </w:r>
      <w:r w:rsidR="00FC2B11" w:rsidRPr="009D0A4A">
        <w:rPr>
          <w:rFonts w:asciiTheme="minorHAnsi" w:hAnsiTheme="minorHAnsi" w:cstheme="minorHAnsi"/>
          <w:sz w:val="20"/>
          <w:szCs w:val="20"/>
        </w:rPr>
        <w:t>ase (Option 1)</w:t>
      </w:r>
      <w:r w:rsidRPr="009D0A4A">
        <w:rPr>
          <w:rFonts w:asciiTheme="minorHAnsi" w:hAnsiTheme="minorHAnsi" w:cstheme="minorHAnsi"/>
          <w:sz w:val="20"/>
          <w:szCs w:val="20"/>
        </w:rPr>
        <w:t xml:space="preserve">, and </w:t>
      </w:r>
    </w:p>
    <w:p w14:paraId="24423F77" w14:textId="6D1AF79F" w:rsidR="006F1AF7" w:rsidRPr="009D0A4A" w:rsidRDefault="007403D4"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the e</w:t>
      </w:r>
      <w:r w:rsidR="006F1AF7" w:rsidRPr="009D0A4A">
        <w:rPr>
          <w:rFonts w:asciiTheme="minorHAnsi" w:hAnsiTheme="minorHAnsi" w:cstheme="minorHAnsi"/>
          <w:sz w:val="20"/>
          <w:szCs w:val="20"/>
        </w:rPr>
        <w:t xml:space="preserve">ffectiveness: qualitative assessment of the effectiveness of each option in reducing occupational exposures to </w:t>
      </w:r>
      <w:r w:rsidR="00880680" w:rsidRPr="009D0A4A">
        <w:rPr>
          <w:rFonts w:asciiTheme="minorHAnsi" w:hAnsiTheme="minorHAnsi" w:cstheme="minorHAnsi"/>
          <w:sz w:val="20"/>
          <w:szCs w:val="20"/>
        </w:rPr>
        <w:t>RCS</w:t>
      </w:r>
      <w:r w:rsidR="006F1AF7" w:rsidRPr="009D0A4A">
        <w:rPr>
          <w:rFonts w:asciiTheme="minorHAnsi" w:hAnsiTheme="minorHAnsi" w:cstheme="minorHAnsi"/>
          <w:sz w:val="20"/>
          <w:szCs w:val="20"/>
        </w:rPr>
        <w:t xml:space="preserve"> and the </w:t>
      </w:r>
      <w:r w:rsidR="00397CB8" w:rsidRPr="009D0A4A">
        <w:rPr>
          <w:rFonts w:asciiTheme="minorHAnsi" w:hAnsiTheme="minorHAnsi" w:cstheme="minorHAnsi"/>
          <w:sz w:val="20"/>
          <w:szCs w:val="20"/>
        </w:rPr>
        <w:t>number of cases</w:t>
      </w:r>
      <w:r w:rsidR="006F1AF7" w:rsidRPr="009D0A4A">
        <w:rPr>
          <w:rFonts w:asciiTheme="minorHAnsi" w:hAnsiTheme="minorHAnsi" w:cstheme="minorHAnsi"/>
          <w:sz w:val="20"/>
          <w:szCs w:val="20"/>
        </w:rPr>
        <w:t xml:space="preserve"> of silicosis and </w:t>
      </w:r>
      <w:r w:rsidR="00880680" w:rsidRPr="009D0A4A">
        <w:rPr>
          <w:rFonts w:asciiTheme="minorHAnsi" w:hAnsiTheme="minorHAnsi" w:cstheme="minorHAnsi"/>
          <w:sz w:val="20"/>
          <w:szCs w:val="20"/>
        </w:rPr>
        <w:t>silica related</w:t>
      </w:r>
      <w:r w:rsidR="006F1AF7" w:rsidRPr="009D0A4A">
        <w:rPr>
          <w:rFonts w:asciiTheme="minorHAnsi" w:hAnsiTheme="minorHAnsi" w:cstheme="minorHAnsi"/>
          <w:sz w:val="20"/>
          <w:szCs w:val="20"/>
        </w:rPr>
        <w:t xml:space="preserve"> diseases.</w:t>
      </w:r>
    </w:p>
    <w:p w14:paraId="6043416C" w14:textId="0020B23B" w:rsidR="006F1AF7" w:rsidRPr="009D0A4A" w:rsidRDefault="006F1AF7" w:rsidP="003801F8">
      <w:pPr>
        <w:pStyle w:val="Heading2"/>
      </w:pPr>
      <w:bookmarkStart w:id="635" w:name="_Toc107395332"/>
      <w:r w:rsidRPr="009D0A4A">
        <w:lastRenderedPageBreak/>
        <w:t>Defining the additional costs to industry and government</w:t>
      </w:r>
      <w:bookmarkStart w:id="636" w:name="_Toc97017619"/>
      <w:bookmarkEnd w:id="635"/>
    </w:p>
    <w:bookmarkEnd w:id="636"/>
    <w:p w14:paraId="0F31BA4F" w14:textId="5571E3EE" w:rsidR="006F1AF7" w:rsidRPr="009D0A4A" w:rsidRDefault="006F1AF7" w:rsidP="007012B9">
      <w:pPr>
        <w:pStyle w:val="BodyText"/>
        <w:jc w:val="both"/>
      </w:pPr>
      <w:r w:rsidRPr="009D0A4A">
        <w:t xml:space="preserve">Analysis of the costs to industry and government for Options 2-5 has been undertaken using information available at the time of drafting. The costs presented below do not include costs of controls associated with complying with the current requirements of the model WHS laws. </w:t>
      </w:r>
    </w:p>
    <w:p w14:paraId="01C515A9" w14:textId="407A7597" w:rsidR="006F1AF7" w:rsidRPr="009D0A4A" w:rsidRDefault="006F1AF7" w:rsidP="007012B9">
      <w:pPr>
        <w:pStyle w:val="BodyText"/>
        <w:jc w:val="both"/>
      </w:pPr>
      <w:r w:rsidRPr="009D0A4A">
        <w:t xml:space="preserve">Safe Work Australia is seeking stakeholder feedback on the identified costs and key assumptions underpinning the estimated cost to industry and government for each option. </w:t>
      </w:r>
      <w:r w:rsidR="00EC444A" w:rsidRPr="009D0A4A">
        <w:t xml:space="preserve">The </w:t>
      </w:r>
      <w:r w:rsidRPr="009D0A4A">
        <w:t xml:space="preserve">methodology and assumptions presented in Appendix </w:t>
      </w:r>
      <w:r w:rsidR="007B26FD" w:rsidRPr="009D0A4A">
        <w:t>D</w:t>
      </w:r>
      <w:r w:rsidRPr="009D0A4A">
        <w:t xml:space="preserve">. </w:t>
      </w:r>
    </w:p>
    <w:p w14:paraId="00DCA746" w14:textId="77777777" w:rsidR="006F1AF7" w:rsidRPr="009D0A4A" w:rsidRDefault="006F1AF7" w:rsidP="0030750F">
      <w:pPr>
        <w:pStyle w:val="Heading3"/>
      </w:pPr>
      <w:r w:rsidRPr="009D0A4A">
        <w:t>Additional costs to industry</w:t>
      </w:r>
    </w:p>
    <w:p w14:paraId="1331C5D7" w14:textId="5E5D7D6E" w:rsidR="006F1AF7" w:rsidRPr="009D0A4A" w:rsidRDefault="006F1AF7" w:rsidP="000823EF">
      <w:pPr>
        <w:pStyle w:val="BodyText"/>
        <w:jc w:val="both"/>
      </w:pPr>
      <w:r w:rsidRPr="009D0A4A">
        <w:t xml:space="preserve">A description of the additional costs to industry are summarised in </w:t>
      </w:r>
      <w:r w:rsidR="0047326B" w:rsidRPr="009D0A4A">
        <w:t xml:space="preserve">Table </w:t>
      </w:r>
      <w:r w:rsidR="00FC2B11" w:rsidRPr="009D0A4A">
        <w:t>1</w:t>
      </w:r>
      <w:r w:rsidR="003F5102" w:rsidRPr="009D0A4A">
        <w:t>1</w:t>
      </w:r>
      <w:r w:rsidR="00FC2B11" w:rsidRPr="009D0A4A">
        <w:t xml:space="preserve"> </w:t>
      </w:r>
      <w:r w:rsidRPr="009D0A4A">
        <w:t>below. No additional costs to industry would be incurred for Options 2 and 3</w:t>
      </w:r>
      <w:r w:rsidR="00FC2B11" w:rsidRPr="009D0A4A">
        <w:t>. Under Option 4, there</w:t>
      </w:r>
      <w:r w:rsidRPr="009D0A4A">
        <w:t xml:space="preserve"> would also be no additional cost to industry to provide instruction, </w:t>
      </w:r>
      <w:r w:rsidR="00957EC3" w:rsidRPr="009D0A4A">
        <w:t>information,</w:t>
      </w:r>
      <w:r w:rsidRPr="009D0A4A">
        <w:t xml:space="preserve"> and training to workers prior to commencing work with engineered stone, and to implement specific control measures under Option 4 as these are already required under the model WHS laws.</w:t>
      </w:r>
      <w:bookmarkStart w:id="637" w:name="_Ref103768711"/>
    </w:p>
    <w:p w14:paraId="777F781F" w14:textId="7B17430B" w:rsidR="006F1AF7" w:rsidRPr="009D0A4A" w:rsidRDefault="006F1AF7" w:rsidP="006F1AF7">
      <w:pPr>
        <w:pStyle w:val="Caption"/>
      </w:pPr>
      <w:r w:rsidRPr="009D0A4A">
        <w:t xml:space="preserve">Table </w:t>
      </w:r>
      <w:bookmarkEnd w:id="637"/>
      <w:r w:rsidR="00FC2B11" w:rsidRPr="009D0A4A">
        <w:t>1</w:t>
      </w:r>
      <w:r w:rsidR="003F5102" w:rsidRPr="009D0A4A">
        <w:t>1</w:t>
      </w:r>
      <w:r w:rsidRPr="009D0A4A">
        <w:t>: Description of additional costs to industry of Options 4, 5a and 5b</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802"/>
      </w:tblGrid>
      <w:tr w:rsidR="00D61EA3" w:rsidRPr="009D0A4A" w14:paraId="012DB627" w14:textId="77777777" w:rsidTr="00EF0E04">
        <w:trPr>
          <w:trHeight w:val="257"/>
          <w:tblHeader/>
        </w:trPr>
        <w:tc>
          <w:tcPr>
            <w:tcW w:w="1667" w:type="pct"/>
            <w:shd w:val="clear" w:color="auto" w:fill="D1D1D1" w:themeFill="background2"/>
            <w:vAlign w:val="center"/>
          </w:tcPr>
          <w:p w14:paraId="4CF6B545" w14:textId="77777777" w:rsidR="00D61EA3" w:rsidRPr="009D0A4A" w:rsidRDefault="00D61EA3" w:rsidP="007012B9">
            <w:pPr>
              <w:spacing w:before="60" w:after="60"/>
              <w:rPr>
                <w:b/>
                <w:bCs/>
              </w:rPr>
            </w:pPr>
            <w:bookmarkStart w:id="638" w:name="_Hlk106791720"/>
            <w:r w:rsidRPr="009D0A4A">
              <w:rPr>
                <w:b/>
                <w:bCs/>
              </w:rPr>
              <w:t xml:space="preserve">Cost to industry </w:t>
            </w:r>
          </w:p>
        </w:tc>
        <w:tc>
          <w:tcPr>
            <w:tcW w:w="3333" w:type="pct"/>
            <w:shd w:val="clear" w:color="auto" w:fill="D1D1D1" w:themeFill="background2"/>
            <w:vAlign w:val="center"/>
          </w:tcPr>
          <w:p w14:paraId="2F94F953" w14:textId="77777777" w:rsidR="00D61EA3" w:rsidRPr="009D0A4A" w:rsidRDefault="00D61EA3" w:rsidP="007012B9">
            <w:pPr>
              <w:spacing w:before="60" w:after="60"/>
              <w:rPr>
                <w:b/>
                <w:bCs/>
              </w:rPr>
            </w:pPr>
            <w:r w:rsidRPr="009D0A4A">
              <w:rPr>
                <w:b/>
                <w:bCs/>
              </w:rPr>
              <w:t>Description</w:t>
            </w:r>
          </w:p>
        </w:tc>
      </w:tr>
      <w:tr w:rsidR="00D61EA3" w:rsidRPr="009D0A4A" w14:paraId="29CE3935" w14:textId="77777777" w:rsidTr="00EF0E04">
        <w:trPr>
          <w:trHeight w:val="257"/>
        </w:trPr>
        <w:tc>
          <w:tcPr>
            <w:tcW w:w="5000" w:type="pct"/>
            <w:gridSpan w:val="2"/>
            <w:tcBorders>
              <w:bottom w:val="single" w:sz="4" w:space="0" w:color="auto"/>
            </w:tcBorders>
            <w:shd w:val="clear" w:color="auto" w:fill="D1D1D1" w:themeFill="background2"/>
            <w:vAlign w:val="center"/>
          </w:tcPr>
          <w:p w14:paraId="51B1B734" w14:textId="77777777" w:rsidR="00D61EA3" w:rsidRPr="009D0A4A" w:rsidRDefault="00D61EA3" w:rsidP="007012B9">
            <w:pPr>
              <w:spacing w:before="60" w:after="60"/>
              <w:rPr>
                <w:b/>
                <w:bCs/>
              </w:rPr>
            </w:pPr>
            <w:r w:rsidRPr="009D0A4A">
              <w:rPr>
                <w:rFonts w:cstheme="minorHAnsi"/>
                <w:b/>
                <w:bCs/>
                <w:i/>
                <w:iCs/>
              </w:rPr>
              <w:t>Option 4</w:t>
            </w:r>
          </w:p>
        </w:tc>
      </w:tr>
      <w:tr w:rsidR="00D61EA3" w:rsidRPr="009D0A4A" w14:paraId="648EC076" w14:textId="77777777" w:rsidTr="00EF0E04">
        <w:trPr>
          <w:trHeight w:val="416"/>
        </w:trPr>
        <w:tc>
          <w:tcPr>
            <w:tcW w:w="1667" w:type="pct"/>
            <w:tcBorders>
              <w:top w:val="single" w:sz="4" w:space="0" w:color="auto"/>
              <w:bottom w:val="single" w:sz="4" w:space="0" w:color="auto"/>
            </w:tcBorders>
            <w:vAlign w:val="center"/>
          </w:tcPr>
          <w:p w14:paraId="67757A19" w14:textId="0231D78E" w:rsidR="00D61EA3" w:rsidRPr="009D0A4A" w:rsidRDefault="00260E6E" w:rsidP="007012B9">
            <w:pPr>
              <w:pStyle w:val="BodyText"/>
              <w:spacing w:before="60" w:after="60"/>
              <w:rPr>
                <w:sz w:val="18"/>
                <w:szCs w:val="18"/>
              </w:rPr>
            </w:pPr>
            <w:r w:rsidRPr="009D0A4A">
              <w:rPr>
                <w:sz w:val="18"/>
                <w:szCs w:val="18"/>
              </w:rPr>
              <w:t>L</w:t>
            </w:r>
            <w:r w:rsidR="00FC2B11" w:rsidRPr="009D0A4A">
              <w:rPr>
                <w:sz w:val="18"/>
                <w:szCs w:val="18"/>
              </w:rPr>
              <w:t xml:space="preserve">icence </w:t>
            </w:r>
            <w:r w:rsidR="00D61EA3" w:rsidRPr="009D0A4A">
              <w:rPr>
                <w:sz w:val="18"/>
                <w:szCs w:val="18"/>
              </w:rPr>
              <w:t>application</w:t>
            </w:r>
          </w:p>
        </w:tc>
        <w:tc>
          <w:tcPr>
            <w:tcW w:w="3333" w:type="pct"/>
            <w:tcBorders>
              <w:top w:val="single" w:sz="4" w:space="0" w:color="auto"/>
              <w:bottom w:val="single" w:sz="4" w:space="0" w:color="auto"/>
            </w:tcBorders>
            <w:vAlign w:val="center"/>
          </w:tcPr>
          <w:p w14:paraId="20D9F4BD" w14:textId="6C9CCA10" w:rsidR="00D61EA3" w:rsidRPr="009D0A4A" w:rsidRDefault="00D61EA3" w:rsidP="007012B9">
            <w:pPr>
              <w:pStyle w:val="BodyText"/>
              <w:spacing w:before="60" w:after="60"/>
              <w:jc w:val="both"/>
              <w:rPr>
                <w:sz w:val="18"/>
                <w:szCs w:val="18"/>
              </w:rPr>
            </w:pPr>
            <w:r w:rsidRPr="009D0A4A">
              <w:rPr>
                <w:sz w:val="18"/>
                <w:szCs w:val="18"/>
              </w:rPr>
              <w:t xml:space="preserve">Labour to prepare a </w:t>
            </w:r>
            <w:r w:rsidR="00FC2B11" w:rsidRPr="009D0A4A">
              <w:rPr>
                <w:sz w:val="18"/>
                <w:szCs w:val="18"/>
              </w:rPr>
              <w:t xml:space="preserve">licence </w:t>
            </w:r>
            <w:r w:rsidRPr="009D0A4A">
              <w:rPr>
                <w:sz w:val="18"/>
                <w:szCs w:val="18"/>
              </w:rPr>
              <w:t xml:space="preserve">application </w:t>
            </w:r>
          </w:p>
        </w:tc>
      </w:tr>
      <w:tr w:rsidR="00D61EA3" w:rsidRPr="009D0A4A" w14:paraId="779042B4" w14:textId="77777777" w:rsidTr="00EF0E04">
        <w:trPr>
          <w:trHeight w:val="257"/>
        </w:trPr>
        <w:tc>
          <w:tcPr>
            <w:tcW w:w="1667" w:type="pct"/>
            <w:tcBorders>
              <w:top w:val="single" w:sz="4" w:space="0" w:color="auto"/>
              <w:bottom w:val="single" w:sz="4" w:space="0" w:color="auto"/>
            </w:tcBorders>
            <w:vAlign w:val="center"/>
          </w:tcPr>
          <w:p w14:paraId="537A6BD9" w14:textId="77777777" w:rsidR="00D61EA3" w:rsidRPr="009D0A4A" w:rsidRDefault="00D61EA3" w:rsidP="007012B9">
            <w:pPr>
              <w:pStyle w:val="BodyText"/>
              <w:spacing w:before="60" w:after="60"/>
              <w:rPr>
                <w:sz w:val="18"/>
                <w:szCs w:val="18"/>
              </w:rPr>
            </w:pPr>
            <w:r w:rsidRPr="009D0A4A">
              <w:rPr>
                <w:sz w:val="18"/>
                <w:szCs w:val="18"/>
              </w:rPr>
              <w:t>Engineered stone suppliers – retention of records</w:t>
            </w:r>
          </w:p>
        </w:tc>
        <w:tc>
          <w:tcPr>
            <w:tcW w:w="3333" w:type="pct"/>
            <w:tcBorders>
              <w:top w:val="single" w:sz="4" w:space="0" w:color="auto"/>
              <w:bottom w:val="single" w:sz="4" w:space="0" w:color="auto"/>
            </w:tcBorders>
            <w:vAlign w:val="center"/>
          </w:tcPr>
          <w:p w14:paraId="1A883CC6" w14:textId="6CC8D50A" w:rsidR="00D61EA3" w:rsidRPr="009D0A4A" w:rsidRDefault="00D61EA3" w:rsidP="007012B9">
            <w:pPr>
              <w:pStyle w:val="BodyText"/>
              <w:spacing w:before="60" w:after="60"/>
              <w:jc w:val="both"/>
              <w:rPr>
                <w:sz w:val="18"/>
                <w:szCs w:val="18"/>
              </w:rPr>
            </w:pPr>
            <w:r w:rsidRPr="009D0A4A">
              <w:rPr>
                <w:sz w:val="18"/>
                <w:szCs w:val="18"/>
              </w:rPr>
              <w:t xml:space="preserve">Labour for suppliers of engineered stone </w:t>
            </w:r>
            <w:r w:rsidRPr="009D0A4A">
              <w:rPr>
                <w:color w:val="191919"/>
                <w:sz w:val="18"/>
                <w:szCs w:val="18"/>
              </w:rPr>
              <w:t>to retain records of PCBUs who have been supplied engineered stone</w:t>
            </w:r>
            <w:r w:rsidR="00FB6024" w:rsidRPr="009D0A4A">
              <w:rPr>
                <w:color w:val="191919"/>
                <w:sz w:val="18"/>
                <w:szCs w:val="18"/>
              </w:rPr>
              <w:t xml:space="preserve">. </w:t>
            </w:r>
          </w:p>
        </w:tc>
      </w:tr>
      <w:tr w:rsidR="00D61EA3" w:rsidRPr="009D0A4A" w14:paraId="7657A3A2" w14:textId="77777777" w:rsidTr="00EF0E04">
        <w:trPr>
          <w:trHeight w:val="466"/>
        </w:trPr>
        <w:tc>
          <w:tcPr>
            <w:tcW w:w="1667" w:type="pct"/>
            <w:tcBorders>
              <w:top w:val="single" w:sz="4" w:space="0" w:color="auto"/>
              <w:bottom w:val="single" w:sz="4" w:space="0" w:color="auto"/>
            </w:tcBorders>
            <w:vAlign w:val="center"/>
          </w:tcPr>
          <w:p w14:paraId="745BFE3B" w14:textId="5600B6DB" w:rsidR="00D61EA3" w:rsidRPr="009D0A4A" w:rsidRDefault="00FC2B11" w:rsidP="007012B9">
            <w:pPr>
              <w:pStyle w:val="BodyText"/>
              <w:spacing w:before="60" w:after="60"/>
              <w:rPr>
                <w:sz w:val="18"/>
                <w:szCs w:val="18"/>
              </w:rPr>
            </w:pPr>
            <w:r w:rsidRPr="009D0A4A">
              <w:rPr>
                <w:sz w:val="18"/>
                <w:szCs w:val="18"/>
              </w:rPr>
              <w:t xml:space="preserve">Licence </w:t>
            </w:r>
            <w:r w:rsidR="00D61EA3" w:rsidRPr="009D0A4A">
              <w:rPr>
                <w:sz w:val="18"/>
                <w:szCs w:val="18"/>
              </w:rPr>
              <w:t xml:space="preserve">fee </w:t>
            </w:r>
          </w:p>
        </w:tc>
        <w:tc>
          <w:tcPr>
            <w:tcW w:w="3333" w:type="pct"/>
            <w:tcBorders>
              <w:top w:val="single" w:sz="4" w:space="0" w:color="auto"/>
              <w:bottom w:val="single" w:sz="4" w:space="0" w:color="auto"/>
            </w:tcBorders>
            <w:vAlign w:val="center"/>
          </w:tcPr>
          <w:p w14:paraId="08350D9B" w14:textId="7473D0E3" w:rsidR="00D61EA3" w:rsidRPr="009D0A4A" w:rsidRDefault="00D61EA3" w:rsidP="007012B9">
            <w:pPr>
              <w:pStyle w:val="BodyText"/>
              <w:spacing w:before="60" w:after="60"/>
              <w:jc w:val="both"/>
              <w:rPr>
                <w:sz w:val="18"/>
                <w:szCs w:val="18"/>
              </w:rPr>
            </w:pPr>
            <w:r w:rsidRPr="009D0A4A">
              <w:rPr>
                <w:sz w:val="18"/>
                <w:szCs w:val="18"/>
              </w:rPr>
              <w:t>Licen</w:t>
            </w:r>
            <w:r w:rsidR="007C706E" w:rsidRPr="009D0A4A">
              <w:rPr>
                <w:sz w:val="18"/>
                <w:szCs w:val="18"/>
              </w:rPr>
              <w:t>c</w:t>
            </w:r>
            <w:r w:rsidRPr="009D0A4A">
              <w:rPr>
                <w:sz w:val="18"/>
                <w:szCs w:val="18"/>
              </w:rPr>
              <w:t>e fee paid by PCBUs to work with engineered stone for a period of 5 years</w:t>
            </w:r>
            <w:r w:rsidR="00FC2B11" w:rsidRPr="009D0A4A">
              <w:rPr>
                <w:sz w:val="18"/>
                <w:szCs w:val="18"/>
              </w:rPr>
              <w:t>. Note that this would be set in jurisdictional legislation and not under the model WHS laws.</w:t>
            </w:r>
          </w:p>
        </w:tc>
      </w:tr>
      <w:tr w:rsidR="002F49C9" w:rsidRPr="009D0A4A" w14:paraId="79565D02" w14:textId="77777777" w:rsidTr="00EF0E04">
        <w:trPr>
          <w:trHeight w:val="491"/>
        </w:trPr>
        <w:tc>
          <w:tcPr>
            <w:tcW w:w="1667" w:type="pct"/>
            <w:tcBorders>
              <w:top w:val="single" w:sz="4" w:space="0" w:color="auto"/>
              <w:bottom w:val="single" w:sz="4" w:space="0" w:color="auto"/>
            </w:tcBorders>
            <w:vAlign w:val="center"/>
          </w:tcPr>
          <w:p w14:paraId="1B2D8420" w14:textId="353DD44E" w:rsidR="002F49C9" w:rsidRPr="009D0A4A" w:rsidRDefault="002F49C9" w:rsidP="002F49C9">
            <w:pPr>
              <w:pStyle w:val="BodyText"/>
              <w:spacing w:before="60" w:after="60"/>
              <w:rPr>
                <w:sz w:val="18"/>
                <w:szCs w:val="18"/>
              </w:rPr>
            </w:pPr>
            <w:r w:rsidRPr="009D0A4A">
              <w:rPr>
                <w:sz w:val="18"/>
                <w:szCs w:val="18"/>
              </w:rPr>
              <w:t xml:space="preserve">Engineered stone control plan </w:t>
            </w:r>
          </w:p>
        </w:tc>
        <w:tc>
          <w:tcPr>
            <w:tcW w:w="3333" w:type="pct"/>
            <w:tcBorders>
              <w:top w:val="single" w:sz="4" w:space="0" w:color="auto"/>
              <w:bottom w:val="single" w:sz="4" w:space="0" w:color="auto"/>
            </w:tcBorders>
            <w:vAlign w:val="center"/>
          </w:tcPr>
          <w:p w14:paraId="3C328648" w14:textId="384A78A4" w:rsidR="002F49C9" w:rsidRPr="009D0A4A" w:rsidRDefault="002F49C9" w:rsidP="002F49C9">
            <w:pPr>
              <w:pStyle w:val="BodyText"/>
              <w:spacing w:before="60" w:after="60"/>
              <w:jc w:val="both"/>
              <w:rPr>
                <w:sz w:val="18"/>
                <w:szCs w:val="18"/>
              </w:rPr>
            </w:pPr>
            <w:r w:rsidRPr="009D0A4A">
              <w:rPr>
                <w:sz w:val="18"/>
                <w:szCs w:val="18"/>
              </w:rPr>
              <w:t>Labour to develop an engineered stone control plan</w:t>
            </w:r>
            <w:r w:rsidR="00A92605" w:rsidRPr="009D0A4A">
              <w:rPr>
                <w:sz w:val="18"/>
                <w:szCs w:val="18"/>
              </w:rPr>
              <w:t>, including a risk assessment</w:t>
            </w:r>
          </w:p>
        </w:tc>
      </w:tr>
      <w:tr w:rsidR="002F49C9" w:rsidRPr="009D0A4A" w14:paraId="12EDFB43" w14:textId="77777777" w:rsidTr="00EF0E04">
        <w:trPr>
          <w:trHeight w:val="491"/>
        </w:trPr>
        <w:tc>
          <w:tcPr>
            <w:tcW w:w="1667" w:type="pct"/>
            <w:tcBorders>
              <w:top w:val="single" w:sz="4" w:space="0" w:color="auto"/>
              <w:bottom w:val="single" w:sz="4" w:space="0" w:color="auto"/>
            </w:tcBorders>
            <w:vAlign w:val="center"/>
          </w:tcPr>
          <w:p w14:paraId="013B024D" w14:textId="77777777" w:rsidR="002F49C9" w:rsidRPr="009D0A4A" w:rsidRDefault="002F49C9" w:rsidP="002F49C9">
            <w:pPr>
              <w:pStyle w:val="BodyText"/>
              <w:spacing w:before="60" w:after="60"/>
              <w:rPr>
                <w:sz w:val="18"/>
                <w:szCs w:val="18"/>
              </w:rPr>
            </w:pPr>
            <w:r w:rsidRPr="009D0A4A">
              <w:rPr>
                <w:sz w:val="18"/>
                <w:szCs w:val="18"/>
              </w:rPr>
              <w:t>Compliance and monitoring enforcement</w:t>
            </w:r>
          </w:p>
        </w:tc>
        <w:tc>
          <w:tcPr>
            <w:tcW w:w="3333" w:type="pct"/>
            <w:tcBorders>
              <w:top w:val="single" w:sz="4" w:space="0" w:color="auto"/>
              <w:bottom w:val="single" w:sz="4" w:space="0" w:color="auto"/>
            </w:tcBorders>
            <w:vAlign w:val="center"/>
          </w:tcPr>
          <w:p w14:paraId="4FD3FF17" w14:textId="6FA1D91D" w:rsidR="002F49C9" w:rsidRPr="009D0A4A" w:rsidRDefault="002F49C9" w:rsidP="002F49C9">
            <w:pPr>
              <w:pStyle w:val="BodyText"/>
              <w:spacing w:before="60" w:after="60"/>
              <w:jc w:val="both"/>
              <w:rPr>
                <w:sz w:val="18"/>
                <w:szCs w:val="18"/>
              </w:rPr>
            </w:pPr>
            <w:r w:rsidRPr="009D0A4A">
              <w:rPr>
                <w:sz w:val="18"/>
                <w:szCs w:val="18"/>
              </w:rPr>
              <w:t xml:space="preserve">Labour to participate in scheduled and unscheduled audits </w:t>
            </w:r>
          </w:p>
        </w:tc>
      </w:tr>
      <w:tr w:rsidR="002F49C9" w:rsidRPr="009D0A4A" w14:paraId="10FBB17F" w14:textId="77777777" w:rsidTr="00EF0E04">
        <w:trPr>
          <w:trHeight w:val="491"/>
        </w:trPr>
        <w:tc>
          <w:tcPr>
            <w:tcW w:w="1667" w:type="pct"/>
            <w:tcBorders>
              <w:top w:val="single" w:sz="4" w:space="0" w:color="auto"/>
              <w:bottom w:val="single" w:sz="4" w:space="0" w:color="auto"/>
            </w:tcBorders>
            <w:vAlign w:val="center"/>
          </w:tcPr>
          <w:p w14:paraId="4ECCF97A" w14:textId="77777777" w:rsidR="002F49C9" w:rsidRPr="009D0A4A" w:rsidRDefault="002F49C9" w:rsidP="002F49C9">
            <w:pPr>
              <w:pStyle w:val="BodyText"/>
              <w:spacing w:before="60" w:after="60"/>
              <w:rPr>
                <w:sz w:val="18"/>
                <w:szCs w:val="18"/>
              </w:rPr>
            </w:pPr>
            <w:r w:rsidRPr="009D0A4A">
              <w:rPr>
                <w:sz w:val="18"/>
                <w:szCs w:val="18"/>
              </w:rPr>
              <w:t>Health monitoring – provision of report to regulators</w:t>
            </w:r>
          </w:p>
        </w:tc>
        <w:tc>
          <w:tcPr>
            <w:tcW w:w="3333" w:type="pct"/>
            <w:tcBorders>
              <w:top w:val="single" w:sz="4" w:space="0" w:color="auto"/>
              <w:bottom w:val="single" w:sz="4" w:space="0" w:color="auto"/>
            </w:tcBorders>
            <w:vAlign w:val="center"/>
          </w:tcPr>
          <w:p w14:paraId="288BA9BE" w14:textId="77777777" w:rsidR="002F49C9" w:rsidRPr="009D0A4A" w:rsidRDefault="002F49C9" w:rsidP="002F49C9">
            <w:pPr>
              <w:pStyle w:val="BodyText"/>
              <w:spacing w:before="60" w:after="60"/>
              <w:jc w:val="both"/>
              <w:rPr>
                <w:sz w:val="18"/>
                <w:szCs w:val="18"/>
              </w:rPr>
            </w:pPr>
            <w:r w:rsidRPr="009D0A4A">
              <w:rPr>
                <w:sz w:val="18"/>
                <w:szCs w:val="18"/>
              </w:rPr>
              <w:t>Labour to submit health monitoring report to regulators</w:t>
            </w:r>
          </w:p>
        </w:tc>
      </w:tr>
      <w:tr w:rsidR="002F49C9" w:rsidRPr="009D0A4A" w14:paraId="218CD9AF" w14:textId="77777777" w:rsidTr="00EF0E04">
        <w:trPr>
          <w:trHeight w:val="491"/>
        </w:trPr>
        <w:tc>
          <w:tcPr>
            <w:tcW w:w="1667" w:type="pct"/>
            <w:tcBorders>
              <w:top w:val="single" w:sz="4" w:space="0" w:color="auto"/>
              <w:bottom w:val="single" w:sz="4" w:space="0" w:color="auto"/>
            </w:tcBorders>
            <w:vAlign w:val="center"/>
          </w:tcPr>
          <w:p w14:paraId="22D515F4" w14:textId="77777777" w:rsidR="002F49C9" w:rsidRPr="009D0A4A" w:rsidRDefault="002F49C9" w:rsidP="002F49C9">
            <w:pPr>
              <w:pStyle w:val="BodyText"/>
              <w:spacing w:before="60" w:after="60"/>
              <w:rPr>
                <w:sz w:val="18"/>
                <w:szCs w:val="18"/>
              </w:rPr>
            </w:pPr>
            <w:r w:rsidRPr="009D0A4A">
              <w:rPr>
                <w:sz w:val="18"/>
                <w:szCs w:val="18"/>
              </w:rPr>
              <w:t xml:space="preserve">Air monitoring – provision of report to regulators </w:t>
            </w:r>
          </w:p>
        </w:tc>
        <w:tc>
          <w:tcPr>
            <w:tcW w:w="3333" w:type="pct"/>
            <w:tcBorders>
              <w:top w:val="single" w:sz="4" w:space="0" w:color="auto"/>
              <w:bottom w:val="single" w:sz="4" w:space="0" w:color="auto"/>
            </w:tcBorders>
            <w:vAlign w:val="center"/>
          </w:tcPr>
          <w:p w14:paraId="63B7E9AF" w14:textId="77777777" w:rsidR="002F49C9" w:rsidRPr="009D0A4A" w:rsidRDefault="002F49C9" w:rsidP="002F49C9">
            <w:pPr>
              <w:pStyle w:val="BodyText"/>
              <w:spacing w:before="60" w:after="60"/>
              <w:jc w:val="both"/>
              <w:rPr>
                <w:sz w:val="18"/>
                <w:szCs w:val="18"/>
              </w:rPr>
            </w:pPr>
            <w:r w:rsidRPr="009D0A4A">
              <w:rPr>
                <w:sz w:val="18"/>
                <w:szCs w:val="18"/>
              </w:rPr>
              <w:t>Labour to submit air monitoring report to regulators</w:t>
            </w:r>
          </w:p>
        </w:tc>
      </w:tr>
      <w:tr w:rsidR="002F49C9" w:rsidRPr="009D0A4A" w14:paraId="7CAD418D" w14:textId="77777777" w:rsidTr="00EF0E04">
        <w:trPr>
          <w:trHeight w:val="491"/>
        </w:trPr>
        <w:tc>
          <w:tcPr>
            <w:tcW w:w="5000" w:type="pct"/>
            <w:gridSpan w:val="2"/>
            <w:tcBorders>
              <w:top w:val="single" w:sz="4" w:space="0" w:color="auto"/>
              <w:bottom w:val="single" w:sz="4" w:space="0" w:color="auto"/>
            </w:tcBorders>
            <w:shd w:val="clear" w:color="auto" w:fill="D9D9D9" w:themeFill="background1" w:themeFillShade="D9"/>
            <w:vAlign w:val="center"/>
          </w:tcPr>
          <w:p w14:paraId="3387D2C3" w14:textId="77777777" w:rsidR="002F49C9" w:rsidRPr="009D0A4A" w:rsidRDefault="002F49C9" w:rsidP="002F49C9">
            <w:pPr>
              <w:spacing w:before="60" w:after="60"/>
              <w:rPr>
                <w:rFonts w:cstheme="minorHAnsi"/>
                <w:b/>
                <w:bCs/>
                <w:i/>
                <w:iCs/>
                <w:sz w:val="18"/>
                <w:szCs w:val="18"/>
              </w:rPr>
            </w:pPr>
            <w:r w:rsidRPr="009D0A4A">
              <w:rPr>
                <w:rFonts w:cstheme="minorHAnsi"/>
                <w:b/>
                <w:bCs/>
                <w:i/>
                <w:iCs/>
                <w:sz w:val="18"/>
                <w:szCs w:val="18"/>
              </w:rPr>
              <w:t>Option 5a and 5b</w:t>
            </w:r>
          </w:p>
        </w:tc>
      </w:tr>
      <w:tr w:rsidR="002F49C9" w:rsidRPr="009D0A4A" w14:paraId="1778919A" w14:textId="77777777" w:rsidTr="00EF0E04">
        <w:trPr>
          <w:trHeight w:val="515"/>
        </w:trPr>
        <w:tc>
          <w:tcPr>
            <w:tcW w:w="1667" w:type="pct"/>
            <w:tcBorders>
              <w:top w:val="single" w:sz="4" w:space="0" w:color="auto"/>
              <w:bottom w:val="single" w:sz="4" w:space="0" w:color="auto"/>
            </w:tcBorders>
            <w:vAlign w:val="center"/>
          </w:tcPr>
          <w:p w14:paraId="1DB8BFB3" w14:textId="77777777" w:rsidR="002F49C9" w:rsidRPr="009D0A4A" w:rsidRDefault="002F49C9" w:rsidP="002F49C9">
            <w:pPr>
              <w:pStyle w:val="BodyText"/>
              <w:spacing w:before="60" w:after="60"/>
              <w:rPr>
                <w:sz w:val="18"/>
                <w:szCs w:val="18"/>
              </w:rPr>
            </w:pPr>
            <w:r w:rsidRPr="009D0A4A">
              <w:rPr>
                <w:sz w:val="18"/>
                <w:szCs w:val="18"/>
              </w:rPr>
              <w:t xml:space="preserve">Risk assessment </w:t>
            </w:r>
          </w:p>
        </w:tc>
        <w:tc>
          <w:tcPr>
            <w:tcW w:w="3333" w:type="pct"/>
            <w:tcBorders>
              <w:top w:val="single" w:sz="4" w:space="0" w:color="auto"/>
              <w:bottom w:val="single" w:sz="4" w:space="0" w:color="auto"/>
            </w:tcBorders>
            <w:vAlign w:val="center"/>
          </w:tcPr>
          <w:p w14:paraId="539F0B12" w14:textId="77777777" w:rsidR="002F49C9" w:rsidRPr="009D0A4A" w:rsidRDefault="002F49C9" w:rsidP="002F49C9">
            <w:pPr>
              <w:pStyle w:val="BodyText"/>
              <w:spacing w:before="60" w:after="60"/>
              <w:jc w:val="both"/>
              <w:rPr>
                <w:sz w:val="18"/>
                <w:szCs w:val="18"/>
              </w:rPr>
            </w:pPr>
            <w:r w:rsidRPr="009D0A4A">
              <w:rPr>
                <w:sz w:val="18"/>
                <w:szCs w:val="18"/>
              </w:rPr>
              <w:t xml:space="preserve">Labour to undertake risk assessment, supported by sampling of substrate in the quarrying, mining, and tunnelling industries </w:t>
            </w:r>
          </w:p>
        </w:tc>
      </w:tr>
      <w:tr w:rsidR="002F49C9" w:rsidRPr="009D0A4A" w14:paraId="2497F385" w14:textId="77777777" w:rsidTr="00EF0E04">
        <w:trPr>
          <w:trHeight w:val="427"/>
        </w:trPr>
        <w:tc>
          <w:tcPr>
            <w:tcW w:w="1667" w:type="pct"/>
            <w:tcBorders>
              <w:top w:val="single" w:sz="4" w:space="0" w:color="auto"/>
              <w:bottom w:val="single" w:sz="4" w:space="0" w:color="auto"/>
            </w:tcBorders>
            <w:vAlign w:val="center"/>
          </w:tcPr>
          <w:p w14:paraId="07766F2E" w14:textId="77777777" w:rsidR="002F49C9" w:rsidRPr="009D0A4A" w:rsidRDefault="002F49C9" w:rsidP="002F49C9">
            <w:pPr>
              <w:pStyle w:val="BodyText"/>
              <w:spacing w:before="60" w:after="60"/>
              <w:rPr>
                <w:sz w:val="18"/>
                <w:szCs w:val="18"/>
              </w:rPr>
            </w:pPr>
            <w:r w:rsidRPr="009D0A4A">
              <w:rPr>
                <w:sz w:val="18"/>
                <w:szCs w:val="18"/>
              </w:rPr>
              <w:t xml:space="preserve">Silica risk control plan </w:t>
            </w:r>
          </w:p>
        </w:tc>
        <w:tc>
          <w:tcPr>
            <w:tcW w:w="3333" w:type="pct"/>
            <w:tcBorders>
              <w:top w:val="single" w:sz="4" w:space="0" w:color="auto"/>
              <w:bottom w:val="single" w:sz="4" w:space="0" w:color="auto"/>
            </w:tcBorders>
            <w:vAlign w:val="center"/>
          </w:tcPr>
          <w:p w14:paraId="6593EDF5" w14:textId="77777777" w:rsidR="002F49C9" w:rsidRPr="009D0A4A" w:rsidRDefault="002F49C9" w:rsidP="002F49C9">
            <w:pPr>
              <w:pStyle w:val="BodyText"/>
              <w:spacing w:before="60" w:after="60"/>
              <w:jc w:val="both"/>
              <w:rPr>
                <w:sz w:val="18"/>
                <w:szCs w:val="18"/>
              </w:rPr>
            </w:pPr>
            <w:r w:rsidRPr="009D0A4A">
              <w:rPr>
                <w:sz w:val="18"/>
                <w:szCs w:val="18"/>
              </w:rPr>
              <w:t>Labour to develop a silica risk control plan based on the outcomes of the risk assessment.</w:t>
            </w:r>
          </w:p>
          <w:p w14:paraId="771CBD52" w14:textId="3A2E3292" w:rsidR="002F49C9" w:rsidRPr="009D0A4A" w:rsidRDefault="002F49C9" w:rsidP="002F49C9">
            <w:pPr>
              <w:pStyle w:val="BodyText"/>
              <w:spacing w:before="60" w:after="60"/>
              <w:jc w:val="both"/>
              <w:rPr>
                <w:i/>
                <w:iCs/>
                <w:sz w:val="18"/>
                <w:szCs w:val="18"/>
              </w:rPr>
            </w:pPr>
            <w:r w:rsidRPr="009D0A4A">
              <w:rPr>
                <w:sz w:val="18"/>
                <w:szCs w:val="18"/>
              </w:rPr>
              <w:t xml:space="preserve">Note: For high risk crystalline silica work that is high risk construction work, preparation of a SWMS would be sufficient to meet the requirement for a silica risk control plan. This is an existing requirement of the model WHS laws. </w:t>
            </w:r>
          </w:p>
        </w:tc>
      </w:tr>
      <w:tr w:rsidR="00E02C42" w:rsidRPr="009D0A4A" w14:paraId="1FE3935F" w14:textId="77777777" w:rsidTr="00BF7B7E">
        <w:trPr>
          <w:trHeight w:val="491"/>
        </w:trPr>
        <w:tc>
          <w:tcPr>
            <w:tcW w:w="1667" w:type="pct"/>
            <w:tcBorders>
              <w:top w:val="single" w:sz="4" w:space="0" w:color="auto"/>
              <w:bottom w:val="single" w:sz="4" w:space="0" w:color="auto"/>
            </w:tcBorders>
            <w:vAlign w:val="center"/>
          </w:tcPr>
          <w:p w14:paraId="73FD1856" w14:textId="77777777" w:rsidR="00E02C42" w:rsidRPr="009D0A4A" w:rsidRDefault="00E02C42" w:rsidP="00BF7B7E">
            <w:pPr>
              <w:pStyle w:val="BodyText"/>
              <w:spacing w:before="60" w:after="60"/>
              <w:rPr>
                <w:sz w:val="18"/>
                <w:szCs w:val="18"/>
              </w:rPr>
            </w:pPr>
            <w:r w:rsidRPr="009D0A4A">
              <w:rPr>
                <w:sz w:val="18"/>
                <w:szCs w:val="18"/>
              </w:rPr>
              <w:t>Compliance and monitoring enforcement</w:t>
            </w:r>
          </w:p>
        </w:tc>
        <w:tc>
          <w:tcPr>
            <w:tcW w:w="3333" w:type="pct"/>
            <w:tcBorders>
              <w:top w:val="single" w:sz="4" w:space="0" w:color="auto"/>
              <w:bottom w:val="single" w:sz="4" w:space="0" w:color="auto"/>
            </w:tcBorders>
            <w:vAlign w:val="center"/>
          </w:tcPr>
          <w:p w14:paraId="4F9B9D04" w14:textId="77777777" w:rsidR="00E02C42" w:rsidRPr="009D0A4A" w:rsidRDefault="00E02C42" w:rsidP="00BF7B7E">
            <w:pPr>
              <w:pStyle w:val="BodyText"/>
              <w:spacing w:before="60" w:after="60"/>
              <w:jc w:val="both"/>
              <w:rPr>
                <w:sz w:val="18"/>
                <w:szCs w:val="18"/>
              </w:rPr>
            </w:pPr>
            <w:r w:rsidRPr="009D0A4A">
              <w:rPr>
                <w:sz w:val="18"/>
                <w:szCs w:val="18"/>
              </w:rPr>
              <w:t xml:space="preserve">Labour to participate in scheduled and unscheduled audits </w:t>
            </w:r>
          </w:p>
        </w:tc>
      </w:tr>
      <w:tr w:rsidR="002F49C9" w:rsidRPr="009D0A4A" w14:paraId="65F86FE9" w14:textId="77777777" w:rsidTr="00EF0E04">
        <w:trPr>
          <w:trHeight w:val="257"/>
        </w:trPr>
        <w:tc>
          <w:tcPr>
            <w:tcW w:w="1667" w:type="pct"/>
            <w:tcBorders>
              <w:top w:val="single" w:sz="4" w:space="0" w:color="auto"/>
              <w:bottom w:val="single" w:sz="4" w:space="0" w:color="auto"/>
            </w:tcBorders>
            <w:vAlign w:val="center"/>
          </w:tcPr>
          <w:p w14:paraId="7465EB30" w14:textId="77777777" w:rsidR="002F49C9" w:rsidRPr="009D0A4A" w:rsidRDefault="002F49C9" w:rsidP="002F49C9">
            <w:pPr>
              <w:pStyle w:val="BodyText"/>
              <w:spacing w:before="60" w:after="60"/>
              <w:rPr>
                <w:sz w:val="18"/>
                <w:szCs w:val="18"/>
              </w:rPr>
            </w:pPr>
            <w:bookmarkStart w:id="639" w:name="_Hlk106791739"/>
            <w:bookmarkEnd w:id="638"/>
            <w:r w:rsidRPr="009D0A4A">
              <w:rPr>
                <w:sz w:val="18"/>
                <w:szCs w:val="18"/>
              </w:rPr>
              <w:t>Health monitoring – provision of report to regulators</w:t>
            </w:r>
          </w:p>
        </w:tc>
        <w:tc>
          <w:tcPr>
            <w:tcW w:w="3333" w:type="pct"/>
            <w:tcBorders>
              <w:top w:val="single" w:sz="4" w:space="0" w:color="auto"/>
              <w:bottom w:val="single" w:sz="4" w:space="0" w:color="auto"/>
            </w:tcBorders>
            <w:vAlign w:val="center"/>
          </w:tcPr>
          <w:p w14:paraId="04FC8149" w14:textId="77777777" w:rsidR="002F49C9" w:rsidRPr="009D0A4A" w:rsidRDefault="002F49C9" w:rsidP="002F49C9">
            <w:pPr>
              <w:pStyle w:val="BodyText"/>
              <w:spacing w:before="60" w:after="60"/>
              <w:jc w:val="both"/>
              <w:rPr>
                <w:sz w:val="18"/>
                <w:szCs w:val="18"/>
              </w:rPr>
            </w:pPr>
            <w:r w:rsidRPr="009D0A4A">
              <w:rPr>
                <w:sz w:val="18"/>
                <w:szCs w:val="18"/>
              </w:rPr>
              <w:t>Labour to submit health monitoring report to regulators</w:t>
            </w:r>
          </w:p>
        </w:tc>
      </w:tr>
      <w:tr w:rsidR="002F49C9" w:rsidRPr="009D0A4A" w14:paraId="4F048A59" w14:textId="77777777" w:rsidTr="00EF0E04">
        <w:trPr>
          <w:trHeight w:val="652"/>
        </w:trPr>
        <w:tc>
          <w:tcPr>
            <w:tcW w:w="1667" w:type="pct"/>
            <w:tcBorders>
              <w:top w:val="single" w:sz="4" w:space="0" w:color="auto"/>
              <w:bottom w:val="single" w:sz="4" w:space="0" w:color="D1D1D1" w:themeColor="background2"/>
            </w:tcBorders>
            <w:vAlign w:val="center"/>
          </w:tcPr>
          <w:p w14:paraId="06EA25CC" w14:textId="77777777" w:rsidR="002F49C9" w:rsidRPr="009D0A4A" w:rsidRDefault="002F49C9" w:rsidP="002F49C9">
            <w:pPr>
              <w:pStyle w:val="BodyText"/>
              <w:spacing w:before="60" w:after="60"/>
              <w:rPr>
                <w:sz w:val="18"/>
                <w:szCs w:val="18"/>
              </w:rPr>
            </w:pPr>
            <w:r w:rsidRPr="009D0A4A">
              <w:rPr>
                <w:sz w:val="18"/>
                <w:szCs w:val="18"/>
              </w:rPr>
              <w:t xml:space="preserve">Air monitoring – provision of report to regulators </w:t>
            </w:r>
          </w:p>
        </w:tc>
        <w:tc>
          <w:tcPr>
            <w:tcW w:w="3333" w:type="pct"/>
            <w:tcBorders>
              <w:top w:val="single" w:sz="4" w:space="0" w:color="auto"/>
              <w:bottom w:val="single" w:sz="4" w:space="0" w:color="D1D1D1" w:themeColor="background2"/>
            </w:tcBorders>
            <w:vAlign w:val="center"/>
          </w:tcPr>
          <w:p w14:paraId="5FB8C904" w14:textId="77777777" w:rsidR="002F49C9" w:rsidRPr="009D0A4A" w:rsidRDefault="002F49C9" w:rsidP="002F49C9">
            <w:pPr>
              <w:pStyle w:val="BodyText"/>
              <w:spacing w:before="60" w:after="60"/>
              <w:jc w:val="both"/>
              <w:rPr>
                <w:sz w:val="18"/>
                <w:szCs w:val="18"/>
              </w:rPr>
            </w:pPr>
            <w:r w:rsidRPr="009D0A4A">
              <w:rPr>
                <w:sz w:val="18"/>
                <w:szCs w:val="18"/>
              </w:rPr>
              <w:t>Labour to submit air monitoring report to regulators</w:t>
            </w:r>
          </w:p>
        </w:tc>
      </w:tr>
      <w:bookmarkEnd w:id="639"/>
    </w:tbl>
    <w:p w14:paraId="05A8D31B" w14:textId="77777777" w:rsidR="006F1AF7" w:rsidRPr="009D0A4A" w:rsidRDefault="006F1AF7" w:rsidP="006F1AF7">
      <w:pPr>
        <w:rPr>
          <w:sz w:val="4"/>
          <w:szCs w:val="4"/>
        </w:rPr>
      </w:pPr>
    </w:p>
    <w:p w14:paraId="38B77977" w14:textId="77777777" w:rsidR="006F1AF7" w:rsidRPr="009D0A4A" w:rsidRDefault="006F1AF7" w:rsidP="0030750F">
      <w:pPr>
        <w:pStyle w:val="Heading3"/>
      </w:pPr>
      <w:r w:rsidRPr="009D0A4A">
        <w:lastRenderedPageBreak/>
        <w:t>Additional costs to government</w:t>
      </w:r>
    </w:p>
    <w:p w14:paraId="71BBAF15" w14:textId="1956D5BC" w:rsidR="006F1AF7" w:rsidRPr="009D0A4A" w:rsidRDefault="0047326B" w:rsidP="007012B9">
      <w:pPr>
        <w:pStyle w:val="BodyText"/>
        <w:jc w:val="both"/>
      </w:pPr>
      <w:r w:rsidRPr="009D0A4A">
        <w:t xml:space="preserve">Table </w:t>
      </w:r>
      <w:r w:rsidR="00FC2B11" w:rsidRPr="009D0A4A">
        <w:t>1</w:t>
      </w:r>
      <w:r w:rsidR="003F5102" w:rsidRPr="009D0A4A">
        <w:t>2</w:t>
      </w:r>
      <w:r w:rsidR="00FC2B11" w:rsidRPr="009D0A4A">
        <w:t xml:space="preserve"> </w:t>
      </w:r>
      <w:r w:rsidR="006F1AF7" w:rsidRPr="009D0A4A">
        <w:t xml:space="preserve">summarises the additional costs to government for Options 2-5 above the baseline option (Option 1). </w:t>
      </w:r>
    </w:p>
    <w:p w14:paraId="4838A533" w14:textId="33525B86" w:rsidR="006F1AF7" w:rsidRPr="009D0A4A" w:rsidRDefault="006F1AF7" w:rsidP="006F1AF7">
      <w:pPr>
        <w:pStyle w:val="Caption"/>
      </w:pPr>
      <w:bookmarkStart w:id="640" w:name="_Ref103241943"/>
      <w:r w:rsidRPr="009D0A4A">
        <w:t xml:space="preserve">Table </w:t>
      </w:r>
      <w:bookmarkEnd w:id="640"/>
      <w:r w:rsidR="00FC2B11" w:rsidRPr="009D0A4A">
        <w:t>1</w:t>
      </w:r>
      <w:r w:rsidR="003F5102" w:rsidRPr="009D0A4A">
        <w:t>2</w:t>
      </w:r>
      <w:r w:rsidRPr="009D0A4A">
        <w:t>: Description of additional costs to government of Options 2-5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6024"/>
      </w:tblGrid>
      <w:tr w:rsidR="006F1AF7" w:rsidRPr="009D0A4A" w14:paraId="716A9486" w14:textId="77777777" w:rsidTr="00D61EA3">
        <w:trPr>
          <w:trHeight w:val="257"/>
          <w:tblHeader/>
        </w:trPr>
        <w:tc>
          <w:tcPr>
            <w:tcW w:w="2048" w:type="pct"/>
            <w:tcBorders>
              <w:bottom w:val="single" w:sz="4" w:space="0" w:color="D1D1D1" w:themeColor="background2"/>
            </w:tcBorders>
            <w:shd w:val="clear" w:color="auto" w:fill="D1D1D1" w:themeFill="background2"/>
            <w:vAlign w:val="center"/>
          </w:tcPr>
          <w:p w14:paraId="40267702" w14:textId="77777777" w:rsidR="006F1AF7" w:rsidRPr="009D0A4A" w:rsidRDefault="006F1AF7" w:rsidP="007012B9">
            <w:pPr>
              <w:spacing w:before="60" w:after="60"/>
              <w:rPr>
                <w:rFonts w:asciiTheme="majorHAnsi" w:hAnsiTheme="majorHAnsi"/>
                <w:b/>
                <w:bCs/>
                <w:sz w:val="18"/>
                <w:szCs w:val="18"/>
              </w:rPr>
            </w:pPr>
            <w:r w:rsidRPr="009D0A4A">
              <w:rPr>
                <w:rFonts w:asciiTheme="majorHAnsi" w:hAnsiTheme="majorHAnsi"/>
                <w:b/>
                <w:bCs/>
                <w:sz w:val="18"/>
                <w:szCs w:val="18"/>
              </w:rPr>
              <w:t>Cost to government</w:t>
            </w:r>
          </w:p>
        </w:tc>
        <w:tc>
          <w:tcPr>
            <w:tcW w:w="2952" w:type="pct"/>
            <w:tcBorders>
              <w:bottom w:val="single" w:sz="4" w:space="0" w:color="D1D1D1" w:themeColor="background2"/>
            </w:tcBorders>
            <w:shd w:val="clear" w:color="auto" w:fill="D1D1D1" w:themeFill="background2"/>
            <w:vAlign w:val="center"/>
          </w:tcPr>
          <w:p w14:paraId="1EB06DA2" w14:textId="77777777" w:rsidR="006F1AF7" w:rsidRPr="009D0A4A" w:rsidRDefault="006F1AF7" w:rsidP="007012B9">
            <w:pPr>
              <w:spacing w:before="60" w:after="60"/>
              <w:rPr>
                <w:rFonts w:asciiTheme="majorHAnsi" w:hAnsiTheme="majorHAnsi"/>
                <w:b/>
                <w:bCs/>
                <w:sz w:val="18"/>
                <w:szCs w:val="18"/>
              </w:rPr>
            </w:pPr>
            <w:r w:rsidRPr="009D0A4A">
              <w:rPr>
                <w:rFonts w:asciiTheme="majorHAnsi" w:hAnsiTheme="majorHAnsi"/>
                <w:b/>
                <w:bCs/>
                <w:sz w:val="18"/>
                <w:szCs w:val="18"/>
              </w:rPr>
              <w:t>Description</w:t>
            </w:r>
          </w:p>
        </w:tc>
      </w:tr>
      <w:tr w:rsidR="006F1AF7" w:rsidRPr="009D0A4A" w14:paraId="0559DC3B" w14:textId="77777777" w:rsidTr="00D61EA3">
        <w:trPr>
          <w:trHeight w:val="257"/>
        </w:trPr>
        <w:tc>
          <w:tcPr>
            <w:tcW w:w="5000" w:type="pct"/>
            <w:gridSpan w:val="2"/>
            <w:tcBorders>
              <w:top w:val="single" w:sz="4" w:space="0" w:color="D1D1D1" w:themeColor="background2"/>
              <w:bottom w:val="single" w:sz="4" w:space="0" w:color="auto"/>
            </w:tcBorders>
            <w:shd w:val="clear" w:color="auto" w:fill="D9D9D9" w:themeFill="background1" w:themeFillShade="D9"/>
            <w:vAlign w:val="center"/>
          </w:tcPr>
          <w:p w14:paraId="20D0CD1F" w14:textId="77777777" w:rsidR="006F1AF7" w:rsidRPr="009D0A4A" w:rsidRDefault="006F1AF7" w:rsidP="007012B9">
            <w:pPr>
              <w:spacing w:before="60" w:after="60"/>
              <w:rPr>
                <w:rFonts w:asciiTheme="majorHAnsi" w:hAnsiTheme="majorHAnsi" w:cstheme="minorHAnsi"/>
                <w:b/>
                <w:bCs/>
                <w:sz w:val="18"/>
                <w:szCs w:val="18"/>
              </w:rPr>
            </w:pPr>
            <w:r w:rsidRPr="009D0A4A">
              <w:rPr>
                <w:rFonts w:asciiTheme="majorHAnsi" w:hAnsiTheme="majorHAnsi" w:cstheme="minorHAnsi"/>
                <w:b/>
                <w:bCs/>
                <w:i/>
                <w:iCs/>
                <w:sz w:val="18"/>
                <w:szCs w:val="18"/>
              </w:rPr>
              <w:t>Option 2</w:t>
            </w:r>
          </w:p>
        </w:tc>
      </w:tr>
      <w:tr w:rsidR="006F1AF7" w:rsidRPr="009D0A4A" w14:paraId="254CD8AE" w14:textId="77777777" w:rsidTr="00AF6E84">
        <w:trPr>
          <w:trHeight w:val="257"/>
        </w:trPr>
        <w:tc>
          <w:tcPr>
            <w:tcW w:w="2048" w:type="pct"/>
            <w:tcBorders>
              <w:top w:val="single" w:sz="4" w:space="0" w:color="auto"/>
              <w:bottom w:val="single" w:sz="4" w:space="0" w:color="auto"/>
            </w:tcBorders>
            <w:vAlign w:val="center"/>
          </w:tcPr>
          <w:p w14:paraId="63627F39" w14:textId="2C85F9AC" w:rsidR="006F1AF7" w:rsidRPr="009D0A4A" w:rsidRDefault="00524934" w:rsidP="007012B9">
            <w:pPr>
              <w:pStyle w:val="BodyText"/>
              <w:spacing w:before="60" w:after="60"/>
              <w:rPr>
                <w:rFonts w:cstheme="minorHAnsi"/>
                <w:sz w:val="18"/>
                <w:szCs w:val="18"/>
              </w:rPr>
            </w:pPr>
            <w:r w:rsidRPr="009D0A4A">
              <w:rPr>
                <w:rFonts w:cstheme="minorHAnsi"/>
                <w:sz w:val="18"/>
                <w:szCs w:val="18"/>
              </w:rPr>
              <w:t>Planning and design of a</w:t>
            </w:r>
            <w:r w:rsidR="009E2B1D" w:rsidRPr="009D0A4A">
              <w:rPr>
                <w:rFonts w:cstheme="minorHAnsi"/>
                <w:sz w:val="18"/>
                <w:szCs w:val="18"/>
              </w:rPr>
              <w:t xml:space="preserve">wareness </w:t>
            </w:r>
            <w:r w:rsidRPr="009D0A4A">
              <w:rPr>
                <w:rFonts w:cstheme="minorHAnsi"/>
                <w:sz w:val="18"/>
                <w:szCs w:val="18"/>
              </w:rPr>
              <w:t xml:space="preserve">raising </w:t>
            </w:r>
            <w:r w:rsidR="009E2B1D" w:rsidRPr="009D0A4A">
              <w:rPr>
                <w:rFonts w:cstheme="minorHAnsi"/>
                <w:sz w:val="18"/>
                <w:szCs w:val="18"/>
              </w:rPr>
              <w:t>and b</w:t>
            </w:r>
            <w:r w:rsidR="006F1AF7" w:rsidRPr="009D0A4A">
              <w:rPr>
                <w:sz w:val="18"/>
                <w:szCs w:val="18"/>
              </w:rPr>
              <w:t xml:space="preserve">ehaviour change initiative </w:t>
            </w:r>
          </w:p>
        </w:tc>
        <w:tc>
          <w:tcPr>
            <w:tcW w:w="2952" w:type="pct"/>
            <w:tcBorders>
              <w:top w:val="single" w:sz="4" w:space="0" w:color="auto"/>
              <w:bottom w:val="single" w:sz="4" w:space="0" w:color="auto"/>
            </w:tcBorders>
            <w:vAlign w:val="center"/>
          </w:tcPr>
          <w:p w14:paraId="54B7ABF6" w14:textId="292ED9A2" w:rsidR="006F1AF7" w:rsidRPr="009D0A4A" w:rsidRDefault="00FC2B11" w:rsidP="007012B9">
            <w:pPr>
              <w:pStyle w:val="BodyText"/>
              <w:spacing w:before="60" w:after="60"/>
              <w:jc w:val="both"/>
              <w:rPr>
                <w:sz w:val="18"/>
                <w:szCs w:val="18"/>
              </w:rPr>
            </w:pPr>
            <w:r w:rsidRPr="009D0A4A">
              <w:rPr>
                <w:sz w:val="18"/>
                <w:szCs w:val="18"/>
              </w:rPr>
              <w:t>Labour</w:t>
            </w:r>
            <w:r w:rsidR="006F1AF7" w:rsidRPr="009D0A4A">
              <w:rPr>
                <w:sz w:val="18"/>
                <w:szCs w:val="18"/>
              </w:rPr>
              <w:t xml:space="preserve"> to plan and design behaviour change initiatives</w:t>
            </w:r>
          </w:p>
        </w:tc>
      </w:tr>
      <w:tr w:rsidR="006F1AF7" w:rsidRPr="009D0A4A" w14:paraId="0E8C2954" w14:textId="77777777" w:rsidTr="00AF6E84">
        <w:trPr>
          <w:trHeight w:val="242"/>
        </w:trPr>
        <w:tc>
          <w:tcPr>
            <w:tcW w:w="2048" w:type="pct"/>
            <w:tcBorders>
              <w:top w:val="single" w:sz="4" w:space="0" w:color="auto"/>
              <w:bottom w:val="single" w:sz="4" w:space="0" w:color="auto"/>
            </w:tcBorders>
            <w:vAlign w:val="center"/>
          </w:tcPr>
          <w:p w14:paraId="10215CA9" w14:textId="08BCD003" w:rsidR="006F1AF7" w:rsidRPr="009D0A4A" w:rsidRDefault="00524934" w:rsidP="007012B9">
            <w:pPr>
              <w:pStyle w:val="BodyText"/>
              <w:spacing w:before="60" w:after="60"/>
              <w:rPr>
                <w:rFonts w:cstheme="minorHAnsi"/>
                <w:sz w:val="18"/>
                <w:szCs w:val="18"/>
              </w:rPr>
            </w:pPr>
            <w:r w:rsidRPr="009D0A4A">
              <w:rPr>
                <w:sz w:val="18"/>
                <w:szCs w:val="18"/>
              </w:rPr>
              <w:t>Roll out across a range of industry sectors of a</w:t>
            </w:r>
            <w:r w:rsidR="009E2B1D" w:rsidRPr="009D0A4A">
              <w:rPr>
                <w:sz w:val="18"/>
                <w:szCs w:val="18"/>
              </w:rPr>
              <w:t xml:space="preserve">wareness raising and behaviour </w:t>
            </w:r>
            <w:r w:rsidR="006F1AF7" w:rsidRPr="009D0A4A">
              <w:rPr>
                <w:sz w:val="18"/>
                <w:szCs w:val="18"/>
              </w:rPr>
              <w:t xml:space="preserve">change initiative </w:t>
            </w:r>
          </w:p>
        </w:tc>
        <w:tc>
          <w:tcPr>
            <w:tcW w:w="2952" w:type="pct"/>
            <w:tcBorders>
              <w:top w:val="single" w:sz="4" w:space="0" w:color="auto"/>
              <w:bottom w:val="single" w:sz="4" w:space="0" w:color="auto"/>
            </w:tcBorders>
            <w:vAlign w:val="center"/>
          </w:tcPr>
          <w:p w14:paraId="6AEC83E0" w14:textId="35138784" w:rsidR="006F1AF7" w:rsidRPr="009D0A4A" w:rsidRDefault="00FC2B11" w:rsidP="007012B9">
            <w:pPr>
              <w:pStyle w:val="BodyText"/>
              <w:spacing w:before="60" w:after="60"/>
              <w:jc w:val="both"/>
              <w:rPr>
                <w:sz w:val="18"/>
                <w:szCs w:val="18"/>
              </w:rPr>
            </w:pPr>
            <w:r w:rsidRPr="009D0A4A">
              <w:rPr>
                <w:sz w:val="18"/>
                <w:szCs w:val="18"/>
              </w:rPr>
              <w:t>R</w:t>
            </w:r>
            <w:r w:rsidR="006F1AF7" w:rsidRPr="009D0A4A">
              <w:rPr>
                <w:sz w:val="18"/>
                <w:szCs w:val="18"/>
              </w:rPr>
              <w:t xml:space="preserve">oll out of awareness/behaviour change initiative across </w:t>
            </w:r>
            <w:r w:rsidR="008917CC" w:rsidRPr="009D0A4A">
              <w:rPr>
                <w:sz w:val="18"/>
                <w:szCs w:val="18"/>
              </w:rPr>
              <w:t>a range of</w:t>
            </w:r>
            <w:r w:rsidR="006F1AF7" w:rsidRPr="009D0A4A">
              <w:rPr>
                <w:sz w:val="18"/>
                <w:szCs w:val="18"/>
              </w:rPr>
              <w:t xml:space="preserve"> industry sectors</w:t>
            </w:r>
          </w:p>
        </w:tc>
      </w:tr>
      <w:tr w:rsidR="006F1AF7" w:rsidRPr="009D0A4A" w14:paraId="3504AFDB" w14:textId="77777777" w:rsidTr="00AF6E84">
        <w:trPr>
          <w:trHeight w:val="410"/>
        </w:trPr>
        <w:tc>
          <w:tcPr>
            <w:tcW w:w="5000" w:type="pct"/>
            <w:gridSpan w:val="2"/>
            <w:tcBorders>
              <w:top w:val="single" w:sz="4" w:space="0" w:color="auto"/>
              <w:bottom w:val="single" w:sz="4" w:space="0" w:color="auto"/>
            </w:tcBorders>
            <w:shd w:val="clear" w:color="auto" w:fill="D9D9D9" w:themeFill="background1" w:themeFillShade="D9"/>
            <w:vAlign w:val="center"/>
          </w:tcPr>
          <w:p w14:paraId="321A4638" w14:textId="77777777" w:rsidR="006F1AF7" w:rsidRPr="009D0A4A" w:rsidRDefault="006F1AF7" w:rsidP="007012B9">
            <w:pPr>
              <w:spacing w:before="60" w:after="60"/>
              <w:rPr>
                <w:rFonts w:asciiTheme="majorHAnsi" w:hAnsiTheme="majorHAnsi" w:cstheme="minorHAnsi"/>
                <w:sz w:val="18"/>
                <w:szCs w:val="18"/>
              </w:rPr>
            </w:pPr>
            <w:r w:rsidRPr="009D0A4A">
              <w:rPr>
                <w:rFonts w:asciiTheme="majorHAnsi" w:hAnsiTheme="majorHAnsi" w:cstheme="minorHAnsi"/>
                <w:b/>
                <w:bCs/>
                <w:i/>
                <w:iCs/>
                <w:sz w:val="18"/>
                <w:szCs w:val="18"/>
              </w:rPr>
              <w:t>Option 3</w:t>
            </w:r>
          </w:p>
        </w:tc>
      </w:tr>
      <w:tr w:rsidR="006F1AF7" w:rsidRPr="009D0A4A" w14:paraId="1C91D068" w14:textId="77777777" w:rsidTr="00AF6E84">
        <w:trPr>
          <w:trHeight w:val="257"/>
        </w:trPr>
        <w:tc>
          <w:tcPr>
            <w:tcW w:w="2048" w:type="pct"/>
            <w:tcBorders>
              <w:top w:val="single" w:sz="4" w:space="0" w:color="auto"/>
              <w:bottom w:val="single" w:sz="4" w:space="0" w:color="auto"/>
            </w:tcBorders>
            <w:vAlign w:val="center"/>
          </w:tcPr>
          <w:p w14:paraId="14950327" w14:textId="75DAD383" w:rsidR="006F1AF7" w:rsidRPr="009D0A4A" w:rsidRDefault="006F1AF7" w:rsidP="007012B9">
            <w:pPr>
              <w:pStyle w:val="BodyText"/>
              <w:spacing w:before="60" w:after="60"/>
              <w:rPr>
                <w:sz w:val="18"/>
                <w:szCs w:val="18"/>
              </w:rPr>
            </w:pPr>
            <w:r w:rsidRPr="009D0A4A">
              <w:rPr>
                <w:sz w:val="18"/>
                <w:szCs w:val="18"/>
              </w:rPr>
              <w:t xml:space="preserve">Implementation of a national </w:t>
            </w:r>
            <w:r w:rsidR="00A72DB5" w:rsidRPr="009D0A4A">
              <w:rPr>
                <w:sz w:val="18"/>
                <w:szCs w:val="18"/>
              </w:rPr>
              <w:t xml:space="preserve">education and </w:t>
            </w:r>
            <w:r w:rsidRPr="009D0A4A">
              <w:rPr>
                <w:sz w:val="18"/>
                <w:szCs w:val="18"/>
              </w:rPr>
              <w:t>awareness campaign to support the regulatory change</w:t>
            </w:r>
          </w:p>
        </w:tc>
        <w:tc>
          <w:tcPr>
            <w:tcW w:w="2952" w:type="pct"/>
            <w:tcBorders>
              <w:top w:val="single" w:sz="4" w:space="0" w:color="auto"/>
              <w:bottom w:val="single" w:sz="4" w:space="0" w:color="auto"/>
            </w:tcBorders>
            <w:vAlign w:val="center"/>
          </w:tcPr>
          <w:p w14:paraId="33A6AEEF" w14:textId="562895A8" w:rsidR="006F1AF7" w:rsidRPr="009D0A4A" w:rsidRDefault="006F1AF7" w:rsidP="007012B9">
            <w:pPr>
              <w:pStyle w:val="BodyText"/>
              <w:spacing w:before="60" w:after="60"/>
              <w:jc w:val="both"/>
              <w:rPr>
                <w:sz w:val="18"/>
                <w:szCs w:val="18"/>
              </w:rPr>
            </w:pPr>
            <w:r w:rsidRPr="009D0A4A">
              <w:rPr>
                <w:sz w:val="18"/>
                <w:szCs w:val="18"/>
              </w:rPr>
              <w:t>Cost of campaign to inform PCBUs and other relevant duty holders of regulatory changes</w:t>
            </w:r>
          </w:p>
        </w:tc>
      </w:tr>
      <w:tr w:rsidR="006F1AF7" w:rsidRPr="009D0A4A" w14:paraId="6E61B213" w14:textId="77777777" w:rsidTr="00AF6E84">
        <w:trPr>
          <w:trHeight w:val="257"/>
        </w:trPr>
        <w:tc>
          <w:tcPr>
            <w:tcW w:w="5000" w:type="pct"/>
            <w:gridSpan w:val="2"/>
            <w:tcBorders>
              <w:top w:val="single" w:sz="4" w:space="0" w:color="auto"/>
              <w:bottom w:val="single" w:sz="4" w:space="0" w:color="auto"/>
            </w:tcBorders>
            <w:shd w:val="clear" w:color="auto" w:fill="D9D9D9" w:themeFill="background1" w:themeFillShade="D9"/>
            <w:vAlign w:val="center"/>
          </w:tcPr>
          <w:p w14:paraId="20F4E77F" w14:textId="77777777" w:rsidR="006F1AF7" w:rsidRPr="009D0A4A" w:rsidRDefault="006F1AF7" w:rsidP="007012B9">
            <w:pPr>
              <w:spacing w:before="60" w:after="60"/>
              <w:rPr>
                <w:rFonts w:asciiTheme="majorHAnsi" w:hAnsiTheme="majorHAnsi" w:cstheme="minorHAnsi"/>
                <w:b/>
                <w:bCs/>
                <w:sz w:val="18"/>
                <w:szCs w:val="18"/>
              </w:rPr>
            </w:pPr>
            <w:r w:rsidRPr="009D0A4A">
              <w:rPr>
                <w:rFonts w:asciiTheme="majorHAnsi" w:hAnsiTheme="majorHAnsi" w:cstheme="minorHAnsi"/>
                <w:b/>
                <w:bCs/>
                <w:i/>
                <w:iCs/>
                <w:sz w:val="18"/>
                <w:szCs w:val="18"/>
              </w:rPr>
              <w:t>Option 4</w:t>
            </w:r>
          </w:p>
        </w:tc>
      </w:tr>
      <w:tr w:rsidR="006F1AF7" w:rsidRPr="009D0A4A" w14:paraId="0C576C74" w14:textId="77777777" w:rsidTr="00AF6E84">
        <w:trPr>
          <w:trHeight w:val="257"/>
        </w:trPr>
        <w:tc>
          <w:tcPr>
            <w:tcW w:w="2048" w:type="pct"/>
            <w:tcBorders>
              <w:top w:val="single" w:sz="4" w:space="0" w:color="auto"/>
              <w:bottom w:val="single" w:sz="4" w:space="0" w:color="auto"/>
            </w:tcBorders>
            <w:vAlign w:val="center"/>
          </w:tcPr>
          <w:p w14:paraId="469DA138" w14:textId="77777777" w:rsidR="006F1AF7" w:rsidRPr="009D0A4A" w:rsidRDefault="006F1AF7" w:rsidP="007012B9">
            <w:pPr>
              <w:pStyle w:val="BodyText"/>
              <w:spacing w:before="60" w:after="60"/>
              <w:rPr>
                <w:sz w:val="18"/>
                <w:szCs w:val="18"/>
              </w:rPr>
            </w:pPr>
            <w:r w:rsidRPr="009D0A4A">
              <w:rPr>
                <w:sz w:val="18"/>
                <w:szCs w:val="18"/>
              </w:rPr>
              <w:t>Implementation of a national awareness campaign to support the regulatory change</w:t>
            </w:r>
          </w:p>
        </w:tc>
        <w:tc>
          <w:tcPr>
            <w:tcW w:w="2952" w:type="pct"/>
            <w:tcBorders>
              <w:top w:val="single" w:sz="4" w:space="0" w:color="auto"/>
              <w:bottom w:val="single" w:sz="4" w:space="0" w:color="auto"/>
            </w:tcBorders>
            <w:vAlign w:val="center"/>
          </w:tcPr>
          <w:p w14:paraId="283ECD51" w14:textId="629B34DF" w:rsidR="006F1AF7" w:rsidRPr="009D0A4A" w:rsidRDefault="006F1AF7" w:rsidP="007012B9">
            <w:pPr>
              <w:pStyle w:val="BodyText"/>
              <w:spacing w:before="60" w:after="60"/>
              <w:jc w:val="both"/>
              <w:rPr>
                <w:sz w:val="18"/>
                <w:szCs w:val="18"/>
              </w:rPr>
            </w:pPr>
            <w:r w:rsidRPr="009D0A4A">
              <w:rPr>
                <w:sz w:val="18"/>
                <w:szCs w:val="18"/>
              </w:rPr>
              <w:t>Cost of campaign to inform PCBUs and other relevant duty holders of regulatory changes</w:t>
            </w:r>
          </w:p>
        </w:tc>
      </w:tr>
      <w:tr w:rsidR="006F1AF7" w:rsidRPr="009D0A4A" w14:paraId="4A8302E0" w14:textId="77777777" w:rsidTr="00AF6E84">
        <w:trPr>
          <w:trHeight w:val="257"/>
        </w:trPr>
        <w:tc>
          <w:tcPr>
            <w:tcW w:w="2048" w:type="pct"/>
            <w:tcBorders>
              <w:top w:val="single" w:sz="4" w:space="0" w:color="auto"/>
              <w:bottom w:val="single" w:sz="4" w:space="0" w:color="auto"/>
            </w:tcBorders>
            <w:vAlign w:val="center"/>
          </w:tcPr>
          <w:p w14:paraId="10E85152" w14:textId="4F4ABDB0" w:rsidR="006F1AF7" w:rsidRPr="009D0A4A" w:rsidRDefault="006F1AF7" w:rsidP="007012B9">
            <w:pPr>
              <w:pStyle w:val="BodyText"/>
              <w:spacing w:before="60" w:after="60"/>
              <w:rPr>
                <w:sz w:val="18"/>
                <w:szCs w:val="18"/>
              </w:rPr>
            </w:pPr>
            <w:r w:rsidRPr="009D0A4A">
              <w:rPr>
                <w:sz w:val="18"/>
                <w:szCs w:val="18"/>
              </w:rPr>
              <w:t xml:space="preserve">Development, </w:t>
            </w:r>
            <w:r w:rsidR="002E0457" w:rsidRPr="009D0A4A">
              <w:rPr>
                <w:sz w:val="18"/>
                <w:szCs w:val="18"/>
              </w:rPr>
              <w:t>implementation,</w:t>
            </w:r>
            <w:r w:rsidRPr="009D0A4A">
              <w:rPr>
                <w:sz w:val="18"/>
                <w:szCs w:val="18"/>
              </w:rPr>
              <w:t xml:space="preserve"> and maintenance of a </w:t>
            </w:r>
            <w:r w:rsidR="00CB2A97" w:rsidRPr="009D0A4A">
              <w:rPr>
                <w:sz w:val="18"/>
                <w:szCs w:val="18"/>
              </w:rPr>
              <w:t>system for administration of licensing</w:t>
            </w:r>
            <w:r w:rsidRPr="009D0A4A">
              <w:rPr>
                <w:sz w:val="18"/>
                <w:szCs w:val="18"/>
              </w:rPr>
              <w:t xml:space="preserve"> </w:t>
            </w:r>
            <w:r w:rsidR="00CB2A97" w:rsidRPr="009D0A4A">
              <w:rPr>
                <w:sz w:val="18"/>
                <w:szCs w:val="18"/>
              </w:rPr>
              <w:t>framework</w:t>
            </w:r>
          </w:p>
        </w:tc>
        <w:tc>
          <w:tcPr>
            <w:tcW w:w="2952" w:type="pct"/>
            <w:tcBorders>
              <w:top w:val="single" w:sz="4" w:space="0" w:color="auto"/>
              <w:bottom w:val="single" w:sz="4" w:space="0" w:color="auto"/>
            </w:tcBorders>
            <w:vAlign w:val="center"/>
          </w:tcPr>
          <w:p w14:paraId="3B846C97" w14:textId="21C4FBFA" w:rsidR="006F1AF7" w:rsidRPr="009D0A4A" w:rsidRDefault="00CB2A97" w:rsidP="007012B9">
            <w:pPr>
              <w:pStyle w:val="BodyText"/>
              <w:spacing w:before="60" w:after="60"/>
              <w:jc w:val="both"/>
              <w:rPr>
                <w:sz w:val="18"/>
                <w:szCs w:val="18"/>
              </w:rPr>
            </w:pPr>
            <w:bookmarkStart w:id="641" w:name="_Hlk101014040"/>
            <w:r w:rsidRPr="009D0A4A">
              <w:rPr>
                <w:sz w:val="18"/>
                <w:szCs w:val="18"/>
              </w:rPr>
              <w:t>Labour</w:t>
            </w:r>
            <w:r w:rsidR="006F1AF7" w:rsidRPr="009D0A4A">
              <w:rPr>
                <w:sz w:val="18"/>
                <w:szCs w:val="18"/>
              </w:rPr>
              <w:t xml:space="preserve"> to develop </w:t>
            </w:r>
            <w:r w:rsidR="00D1393E" w:rsidRPr="009D0A4A">
              <w:rPr>
                <w:sz w:val="18"/>
                <w:szCs w:val="18"/>
              </w:rPr>
              <w:t xml:space="preserve">the administration system to support the licensing framework </w:t>
            </w:r>
            <w:r w:rsidR="006F1AF7" w:rsidRPr="009D0A4A">
              <w:rPr>
                <w:sz w:val="18"/>
                <w:szCs w:val="18"/>
              </w:rPr>
              <w:t>and impleme</w:t>
            </w:r>
            <w:r w:rsidR="002E0457" w:rsidRPr="009D0A4A">
              <w:rPr>
                <w:sz w:val="18"/>
                <w:szCs w:val="18"/>
              </w:rPr>
              <w:t>nt</w:t>
            </w:r>
            <w:r w:rsidR="006F1AF7" w:rsidRPr="009D0A4A">
              <w:rPr>
                <w:sz w:val="18"/>
                <w:szCs w:val="18"/>
              </w:rPr>
              <w:t xml:space="preserve"> in each jurisdiction </w:t>
            </w:r>
          </w:p>
          <w:p w14:paraId="6246A05D" w14:textId="3AD7E60E" w:rsidR="006F1AF7" w:rsidRPr="009D0A4A" w:rsidRDefault="006F1AF7" w:rsidP="007012B9">
            <w:pPr>
              <w:pStyle w:val="BodyText"/>
              <w:spacing w:before="60" w:after="60"/>
              <w:jc w:val="both"/>
              <w:rPr>
                <w:sz w:val="18"/>
                <w:szCs w:val="18"/>
              </w:rPr>
            </w:pPr>
            <w:r w:rsidRPr="009D0A4A">
              <w:rPr>
                <w:sz w:val="18"/>
                <w:szCs w:val="18"/>
              </w:rPr>
              <w:t xml:space="preserve">Note: the </w:t>
            </w:r>
            <w:r w:rsidR="00D1393E" w:rsidRPr="009D0A4A">
              <w:rPr>
                <w:sz w:val="18"/>
                <w:szCs w:val="18"/>
              </w:rPr>
              <w:t>system</w:t>
            </w:r>
            <w:r w:rsidRPr="009D0A4A">
              <w:rPr>
                <w:sz w:val="18"/>
                <w:szCs w:val="18"/>
              </w:rPr>
              <w:t xml:space="preserve"> </w:t>
            </w:r>
            <w:r w:rsidR="001165D9" w:rsidRPr="009D0A4A">
              <w:rPr>
                <w:sz w:val="18"/>
                <w:szCs w:val="18"/>
              </w:rPr>
              <w:t xml:space="preserve">could </w:t>
            </w:r>
            <w:r w:rsidRPr="009D0A4A">
              <w:rPr>
                <w:sz w:val="18"/>
                <w:szCs w:val="18"/>
              </w:rPr>
              <w:t>also be used to collate health and air monitoring data</w:t>
            </w:r>
            <w:bookmarkEnd w:id="641"/>
          </w:p>
        </w:tc>
      </w:tr>
      <w:tr w:rsidR="006F1AF7" w:rsidRPr="009D0A4A" w14:paraId="7796600E" w14:textId="77777777" w:rsidTr="00AF6E84">
        <w:trPr>
          <w:trHeight w:val="257"/>
        </w:trPr>
        <w:tc>
          <w:tcPr>
            <w:tcW w:w="2048" w:type="pct"/>
            <w:tcBorders>
              <w:top w:val="single" w:sz="4" w:space="0" w:color="auto"/>
              <w:bottom w:val="single" w:sz="4" w:space="0" w:color="auto"/>
            </w:tcBorders>
            <w:vAlign w:val="center"/>
          </w:tcPr>
          <w:p w14:paraId="1F122537" w14:textId="2A75C795" w:rsidR="006F1AF7" w:rsidRPr="009D0A4A" w:rsidRDefault="006F1AF7" w:rsidP="007012B9">
            <w:pPr>
              <w:pStyle w:val="BodyText"/>
              <w:spacing w:before="60" w:after="60"/>
              <w:rPr>
                <w:sz w:val="18"/>
                <w:szCs w:val="18"/>
              </w:rPr>
            </w:pPr>
            <w:r w:rsidRPr="009D0A4A">
              <w:rPr>
                <w:sz w:val="18"/>
                <w:szCs w:val="18"/>
              </w:rPr>
              <w:t xml:space="preserve">Processing of </w:t>
            </w:r>
            <w:r w:rsidR="001165D9" w:rsidRPr="009D0A4A">
              <w:rPr>
                <w:sz w:val="18"/>
                <w:szCs w:val="18"/>
              </w:rPr>
              <w:t>licences</w:t>
            </w:r>
          </w:p>
        </w:tc>
        <w:tc>
          <w:tcPr>
            <w:tcW w:w="2952" w:type="pct"/>
            <w:tcBorders>
              <w:top w:val="single" w:sz="4" w:space="0" w:color="auto"/>
              <w:bottom w:val="single" w:sz="4" w:space="0" w:color="auto"/>
            </w:tcBorders>
            <w:vAlign w:val="center"/>
          </w:tcPr>
          <w:p w14:paraId="162A80A8" w14:textId="037669B0" w:rsidR="006F1AF7" w:rsidRPr="009D0A4A" w:rsidRDefault="006F1AF7" w:rsidP="007012B9">
            <w:pPr>
              <w:pStyle w:val="BodyText"/>
              <w:spacing w:before="60" w:after="60"/>
              <w:jc w:val="both"/>
              <w:rPr>
                <w:sz w:val="18"/>
                <w:szCs w:val="18"/>
              </w:rPr>
            </w:pPr>
            <w:r w:rsidRPr="009D0A4A">
              <w:rPr>
                <w:sz w:val="18"/>
                <w:szCs w:val="18"/>
              </w:rPr>
              <w:t xml:space="preserve">Labour to assess </w:t>
            </w:r>
            <w:r w:rsidR="001165D9" w:rsidRPr="009D0A4A">
              <w:rPr>
                <w:sz w:val="18"/>
                <w:szCs w:val="18"/>
              </w:rPr>
              <w:t xml:space="preserve">licence </w:t>
            </w:r>
            <w:r w:rsidRPr="009D0A4A">
              <w:rPr>
                <w:sz w:val="18"/>
                <w:szCs w:val="18"/>
              </w:rPr>
              <w:t>applications</w:t>
            </w:r>
          </w:p>
        </w:tc>
      </w:tr>
      <w:tr w:rsidR="006F1AF7" w:rsidRPr="009D0A4A" w14:paraId="36DECCEC" w14:textId="77777777" w:rsidTr="00AF6E84">
        <w:trPr>
          <w:trHeight w:val="257"/>
        </w:trPr>
        <w:tc>
          <w:tcPr>
            <w:tcW w:w="2048" w:type="pct"/>
            <w:tcBorders>
              <w:top w:val="single" w:sz="4" w:space="0" w:color="auto"/>
              <w:bottom w:val="single" w:sz="4" w:space="0" w:color="auto"/>
            </w:tcBorders>
            <w:vAlign w:val="center"/>
          </w:tcPr>
          <w:p w14:paraId="5EEFEDAC" w14:textId="77777777" w:rsidR="006F1AF7" w:rsidRPr="009D0A4A" w:rsidRDefault="006F1AF7" w:rsidP="007012B9">
            <w:pPr>
              <w:pStyle w:val="BodyText"/>
              <w:spacing w:before="60" w:after="60"/>
              <w:rPr>
                <w:sz w:val="18"/>
                <w:szCs w:val="18"/>
              </w:rPr>
            </w:pPr>
            <w:r w:rsidRPr="009D0A4A">
              <w:rPr>
                <w:sz w:val="18"/>
                <w:szCs w:val="18"/>
              </w:rPr>
              <w:t>Compliance and monitoring enforcement</w:t>
            </w:r>
          </w:p>
        </w:tc>
        <w:tc>
          <w:tcPr>
            <w:tcW w:w="2952" w:type="pct"/>
            <w:tcBorders>
              <w:top w:val="single" w:sz="4" w:space="0" w:color="auto"/>
              <w:bottom w:val="single" w:sz="4" w:space="0" w:color="auto"/>
            </w:tcBorders>
            <w:vAlign w:val="center"/>
          </w:tcPr>
          <w:p w14:paraId="357DD19A" w14:textId="77777777" w:rsidR="006F1AF7" w:rsidRPr="009D0A4A" w:rsidRDefault="006F1AF7" w:rsidP="007012B9">
            <w:pPr>
              <w:pStyle w:val="BodyText"/>
              <w:spacing w:before="60" w:after="60"/>
              <w:jc w:val="both"/>
              <w:rPr>
                <w:sz w:val="18"/>
                <w:szCs w:val="18"/>
              </w:rPr>
            </w:pPr>
            <w:r w:rsidRPr="009D0A4A">
              <w:rPr>
                <w:sz w:val="18"/>
                <w:szCs w:val="18"/>
              </w:rPr>
              <w:t>Labour to participate in additional scheduled and unscheduled audits</w:t>
            </w:r>
          </w:p>
        </w:tc>
      </w:tr>
      <w:tr w:rsidR="006F1AF7" w:rsidRPr="009D0A4A" w14:paraId="6A6933EA" w14:textId="77777777" w:rsidTr="00AF6E84">
        <w:trPr>
          <w:trHeight w:val="257"/>
        </w:trPr>
        <w:tc>
          <w:tcPr>
            <w:tcW w:w="5000" w:type="pct"/>
            <w:gridSpan w:val="2"/>
            <w:tcBorders>
              <w:top w:val="single" w:sz="4" w:space="0" w:color="auto"/>
              <w:bottom w:val="single" w:sz="4" w:space="0" w:color="auto"/>
            </w:tcBorders>
            <w:shd w:val="clear" w:color="auto" w:fill="D9D9D9" w:themeFill="background1" w:themeFillShade="D9"/>
            <w:vAlign w:val="center"/>
          </w:tcPr>
          <w:p w14:paraId="1C685A9F" w14:textId="77777777" w:rsidR="006F1AF7" w:rsidRPr="009D0A4A" w:rsidRDefault="006F1AF7" w:rsidP="007012B9">
            <w:pPr>
              <w:spacing w:before="60" w:after="60"/>
              <w:rPr>
                <w:rFonts w:asciiTheme="majorHAnsi" w:hAnsiTheme="majorHAnsi" w:cstheme="minorHAnsi"/>
                <w:b/>
                <w:bCs/>
                <w:sz w:val="18"/>
                <w:szCs w:val="18"/>
              </w:rPr>
            </w:pPr>
            <w:r w:rsidRPr="009D0A4A">
              <w:rPr>
                <w:rFonts w:asciiTheme="majorHAnsi" w:hAnsiTheme="majorHAnsi" w:cstheme="minorHAnsi"/>
                <w:b/>
                <w:bCs/>
                <w:i/>
                <w:iCs/>
                <w:sz w:val="18"/>
                <w:szCs w:val="18"/>
              </w:rPr>
              <w:t xml:space="preserve">Options 5a and 5b </w:t>
            </w:r>
          </w:p>
        </w:tc>
      </w:tr>
      <w:tr w:rsidR="006F1AF7" w:rsidRPr="009D0A4A" w14:paraId="448AE450" w14:textId="77777777" w:rsidTr="00AF6E84">
        <w:trPr>
          <w:trHeight w:val="257"/>
        </w:trPr>
        <w:tc>
          <w:tcPr>
            <w:tcW w:w="2048" w:type="pct"/>
            <w:tcBorders>
              <w:top w:val="single" w:sz="4" w:space="0" w:color="auto"/>
              <w:bottom w:val="single" w:sz="4" w:space="0" w:color="auto"/>
            </w:tcBorders>
            <w:vAlign w:val="center"/>
          </w:tcPr>
          <w:p w14:paraId="7DC7D94C" w14:textId="2395AC2C" w:rsidR="006F1AF7" w:rsidRPr="009D0A4A" w:rsidRDefault="006F1AF7" w:rsidP="007012B9">
            <w:pPr>
              <w:spacing w:before="60" w:after="60"/>
              <w:rPr>
                <w:rFonts w:cstheme="minorHAnsi"/>
                <w:sz w:val="18"/>
                <w:szCs w:val="18"/>
              </w:rPr>
            </w:pPr>
            <w:r w:rsidRPr="009D0A4A">
              <w:rPr>
                <w:rFonts w:cstheme="minorHAnsi"/>
                <w:sz w:val="18"/>
                <w:szCs w:val="18"/>
              </w:rPr>
              <w:t>Implementation of a national awareness campaign to support the regulatory change</w:t>
            </w:r>
            <w:r w:rsidR="002E0457" w:rsidRPr="009D0A4A">
              <w:rPr>
                <w:rFonts w:cstheme="minorHAnsi"/>
                <w:sz w:val="18"/>
                <w:szCs w:val="18"/>
              </w:rPr>
              <w:t>s</w:t>
            </w:r>
          </w:p>
        </w:tc>
        <w:tc>
          <w:tcPr>
            <w:tcW w:w="2952" w:type="pct"/>
            <w:tcBorders>
              <w:top w:val="single" w:sz="4" w:space="0" w:color="auto"/>
              <w:bottom w:val="single" w:sz="4" w:space="0" w:color="auto"/>
            </w:tcBorders>
            <w:vAlign w:val="center"/>
          </w:tcPr>
          <w:p w14:paraId="76E8301E" w14:textId="07A1722B" w:rsidR="006F1AF7" w:rsidRPr="009D0A4A" w:rsidRDefault="006F1AF7" w:rsidP="007012B9">
            <w:pPr>
              <w:pStyle w:val="BodyText"/>
              <w:spacing w:before="60" w:after="60"/>
              <w:rPr>
                <w:sz w:val="18"/>
                <w:szCs w:val="18"/>
              </w:rPr>
            </w:pPr>
            <w:r w:rsidRPr="009D0A4A">
              <w:rPr>
                <w:sz w:val="18"/>
                <w:szCs w:val="18"/>
              </w:rPr>
              <w:t xml:space="preserve">Cost of campaign to inform PCBUs and other relevant duty holders of </w:t>
            </w:r>
            <w:r w:rsidR="00D1393E" w:rsidRPr="009D0A4A">
              <w:rPr>
                <w:sz w:val="18"/>
                <w:szCs w:val="18"/>
              </w:rPr>
              <w:t xml:space="preserve">additional </w:t>
            </w:r>
            <w:r w:rsidRPr="009D0A4A">
              <w:rPr>
                <w:sz w:val="18"/>
                <w:szCs w:val="18"/>
              </w:rPr>
              <w:t>requirements resulting from regulatory changes</w:t>
            </w:r>
          </w:p>
        </w:tc>
      </w:tr>
      <w:tr w:rsidR="006F1AF7" w:rsidRPr="009D0A4A" w14:paraId="157783CE" w14:textId="77777777" w:rsidTr="00D53738">
        <w:trPr>
          <w:trHeight w:val="257"/>
        </w:trPr>
        <w:tc>
          <w:tcPr>
            <w:tcW w:w="2048" w:type="pct"/>
            <w:tcBorders>
              <w:top w:val="single" w:sz="4" w:space="0" w:color="auto"/>
              <w:bottom w:val="single" w:sz="4" w:space="0" w:color="auto"/>
            </w:tcBorders>
            <w:vAlign w:val="center"/>
          </w:tcPr>
          <w:p w14:paraId="1F659CD1" w14:textId="05754380" w:rsidR="006F1AF7" w:rsidRPr="009D0A4A" w:rsidRDefault="00D40F19" w:rsidP="007012B9">
            <w:pPr>
              <w:spacing w:before="60" w:after="60"/>
              <w:rPr>
                <w:rFonts w:cstheme="minorHAnsi"/>
                <w:sz w:val="18"/>
                <w:szCs w:val="18"/>
              </w:rPr>
            </w:pPr>
            <w:r w:rsidRPr="009D0A4A">
              <w:rPr>
                <w:rFonts w:cstheme="minorHAnsi"/>
                <w:sz w:val="18"/>
                <w:szCs w:val="18"/>
              </w:rPr>
              <w:t xml:space="preserve">Administration related to </w:t>
            </w:r>
            <w:r w:rsidR="00543F84" w:rsidRPr="009D0A4A">
              <w:rPr>
                <w:rFonts w:cstheme="minorHAnsi"/>
                <w:sz w:val="18"/>
                <w:szCs w:val="18"/>
              </w:rPr>
              <w:t>collation</w:t>
            </w:r>
            <w:r w:rsidR="00C07B64" w:rsidRPr="009D0A4A">
              <w:rPr>
                <w:rFonts w:cstheme="minorHAnsi"/>
                <w:sz w:val="18"/>
                <w:szCs w:val="18"/>
              </w:rPr>
              <w:t xml:space="preserve"> and analysis of reports</w:t>
            </w:r>
          </w:p>
        </w:tc>
        <w:tc>
          <w:tcPr>
            <w:tcW w:w="2952" w:type="pct"/>
            <w:tcBorders>
              <w:top w:val="single" w:sz="4" w:space="0" w:color="auto"/>
              <w:bottom w:val="single" w:sz="4" w:space="0" w:color="auto"/>
            </w:tcBorders>
            <w:vAlign w:val="center"/>
          </w:tcPr>
          <w:p w14:paraId="183DC9E8" w14:textId="6D9FC8AF" w:rsidR="0010786D" w:rsidRPr="009D0A4A" w:rsidRDefault="00C07B64" w:rsidP="007012B9">
            <w:pPr>
              <w:pStyle w:val="BodyText"/>
              <w:spacing w:before="60" w:after="60"/>
              <w:rPr>
                <w:rFonts w:cstheme="minorHAnsi"/>
                <w:sz w:val="18"/>
                <w:szCs w:val="18"/>
              </w:rPr>
            </w:pPr>
            <w:r w:rsidRPr="009D0A4A">
              <w:rPr>
                <w:rFonts w:cstheme="minorHAnsi"/>
                <w:sz w:val="18"/>
                <w:szCs w:val="18"/>
              </w:rPr>
              <w:t>Labour associated with developing an administrative system to</w:t>
            </w:r>
            <w:r w:rsidR="00543F84" w:rsidRPr="009D0A4A">
              <w:rPr>
                <w:rFonts w:cstheme="minorHAnsi"/>
                <w:sz w:val="18"/>
                <w:szCs w:val="18"/>
              </w:rPr>
              <w:t xml:space="preserve"> support the collation and analysis of air and health monitoring reports.</w:t>
            </w:r>
            <w:r w:rsidRPr="009D0A4A">
              <w:rPr>
                <w:rFonts w:cstheme="minorHAnsi"/>
                <w:sz w:val="18"/>
                <w:szCs w:val="18"/>
              </w:rPr>
              <w:t xml:space="preserve"> </w:t>
            </w:r>
            <w:r w:rsidR="006F1AF7" w:rsidRPr="009D0A4A">
              <w:rPr>
                <w:rFonts w:cstheme="minorHAnsi"/>
                <w:sz w:val="18"/>
                <w:szCs w:val="18"/>
              </w:rPr>
              <w:t>Labour associated with processing</w:t>
            </w:r>
            <w:r w:rsidR="0010786D" w:rsidRPr="009D0A4A">
              <w:rPr>
                <w:rFonts w:cstheme="minorHAnsi"/>
                <w:sz w:val="18"/>
                <w:szCs w:val="18"/>
              </w:rPr>
              <w:t xml:space="preserve"> and anal</w:t>
            </w:r>
            <w:r w:rsidR="0043616E" w:rsidRPr="009D0A4A">
              <w:rPr>
                <w:rFonts w:cstheme="minorHAnsi"/>
                <w:sz w:val="18"/>
                <w:szCs w:val="18"/>
              </w:rPr>
              <w:t>ysis</w:t>
            </w:r>
            <w:r w:rsidR="006F1AF7" w:rsidRPr="009D0A4A">
              <w:rPr>
                <w:rFonts w:cstheme="minorHAnsi"/>
                <w:sz w:val="18"/>
                <w:szCs w:val="18"/>
              </w:rPr>
              <w:t xml:space="preserve"> of </w:t>
            </w:r>
            <w:r w:rsidR="00543F84" w:rsidRPr="009D0A4A">
              <w:rPr>
                <w:rFonts w:cstheme="minorHAnsi"/>
                <w:sz w:val="18"/>
                <w:szCs w:val="18"/>
              </w:rPr>
              <w:t>the</w:t>
            </w:r>
            <w:r w:rsidR="006F1AF7" w:rsidRPr="009D0A4A">
              <w:rPr>
                <w:rFonts w:cstheme="minorHAnsi"/>
                <w:sz w:val="18"/>
                <w:szCs w:val="18"/>
              </w:rPr>
              <w:t xml:space="preserve"> reports submitted by PCBUs on an annual basis</w:t>
            </w:r>
          </w:p>
        </w:tc>
      </w:tr>
      <w:tr w:rsidR="00835FD4" w:rsidRPr="009D0A4A" w14:paraId="2B6BEC2A" w14:textId="77777777" w:rsidTr="00D53738">
        <w:trPr>
          <w:trHeight w:val="257"/>
        </w:trPr>
        <w:tc>
          <w:tcPr>
            <w:tcW w:w="2048" w:type="pct"/>
            <w:tcBorders>
              <w:top w:val="single" w:sz="4" w:space="0" w:color="auto"/>
            </w:tcBorders>
            <w:vAlign w:val="center"/>
          </w:tcPr>
          <w:p w14:paraId="39F67EAB" w14:textId="77777777" w:rsidR="00835FD4" w:rsidRPr="009D0A4A" w:rsidRDefault="00835FD4" w:rsidP="007012B9">
            <w:pPr>
              <w:spacing w:before="60" w:after="60"/>
              <w:rPr>
                <w:rFonts w:cstheme="minorHAnsi"/>
                <w:sz w:val="18"/>
                <w:szCs w:val="18"/>
              </w:rPr>
            </w:pPr>
          </w:p>
        </w:tc>
        <w:tc>
          <w:tcPr>
            <w:tcW w:w="2952" w:type="pct"/>
            <w:tcBorders>
              <w:top w:val="single" w:sz="4" w:space="0" w:color="auto"/>
            </w:tcBorders>
            <w:vAlign w:val="center"/>
          </w:tcPr>
          <w:p w14:paraId="406630D3" w14:textId="77777777" w:rsidR="00835FD4" w:rsidRPr="009D0A4A" w:rsidRDefault="00835FD4" w:rsidP="007012B9">
            <w:pPr>
              <w:pStyle w:val="BodyText"/>
              <w:spacing w:before="60" w:after="60"/>
              <w:rPr>
                <w:rFonts w:cstheme="minorHAnsi"/>
                <w:sz w:val="18"/>
                <w:szCs w:val="18"/>
              </w:rPr>
            </w:pPr>
          </w:p>
        </w:tc>
      </w:tr>
    </w:tbl>
    <w:p w14:paraId="250823FE" w14:textId="115904F5" w:rsidR="006F1AF7" w:rsidRPr="009D0A4A" w:rsidRDefault="006F1AF7" w:rsidP="003801F8">
      <w:pPr>
        <w:pStyle w:val="Heading2"/>
      </w:pPr>
      <w:bookmarkStart w:id="642" w:name="_Toc107395333"/>
      <w:r w:rsidRPr="009D0A4A">
        <w:t>Cost of options</w:t>
      </w:r>
      <w:bookmarkEnd w:id="642"/>
    </w:p>
    <w:p w14:paraId="44599CEB" w14:textId="529D9372" w:rsidR="006F1AF7" w:rsidRPr="009D0A4A" w:rsidRDefault="006F1AF7" w:rsidP="0030750F">
      <w:pPr>
        <w:pStyle w:val="Heading3"/>
      </w:pPr>
      <w:r w:rsidRPr="009D0A4A">
        <w:t>Option 1</w:t>
      </w:r>
      <w:r w:rsidR="00D14CC1" w:rsidRPr="009D0A4A">
        <w:t>:</w:t>
      </w:r>
      <w:r w:rsidRPr="009D0A4A">
        <w:t xml:space="preserve"> Base </w:t>
      </w:r>
      <w:r w:rsidR="00E03F7B" w:rsidRPr="009D0A4A">
        <w:t>case</w:t>
      </w:r>
    </w:p>
    <w:p w14:paraId="3CE5AE73" w14:textId="7153DE83" w:rsidR="006F1AF7" w:rsidRPr="009D0A4A" w:rsidRDefault="008917CC" w:rsidP="007012B9">
      <w:pPr>
        <w:pStyle w:val="BodyText"/>
        <w:jc w:val="both"/>
      </w:pPr>
      <w:r w:rsidRPr="009D0A4A">
        <w:t>T</w:t>
      </w:r>
      <w:r w:rsidR="006F1AF7" w:rsidRPr="009D0A4A">
        <w:t xml:space="preserve">he </w:t>
      </w:r>
      <w:r w:rsidR="00E03F7B" w:rsidRPr="009D0A4A">
        <w:t>base case</w:t>
      </w:r>
      <w:r w:rsidR="006F1AF7" w:rsidRPr="009D0A4A">
        <w:t xml:space="preserve"> has been included as a baseline option to demonstrate the incremental impact of regulatory/non-regulatory changes over and above the baseline costs. There would be no additional costs to industry or government under the </w:t>
      </w:r>
      <w:r w:rsidR="00E03F7B" w:rsidRPr="009D0A4A">
        <w:t>b</w:t>
      </w:r>
      <w:r w:rsidR="006F1AF7" w:rsidRPr="009D0A4A">
        <w:t xml:space="preserve">ase </w:t>
      </w:r>
      <w:r w:rsidR="00E03F7B" w:rsidRPr="009D0A4A">
        <w:t>case</w:t>
      </w:r>
      <w:r w:rsidR="006F1AF7" w:rsidRPr="009D0A4A">
        <w:t>.</w:t>
      </w:r>
    </w:p>
    <w:p w14:paraId="52624BC4" w14:textId="1FF35C74" w:rsidR="006F1AF7" w:rsidRPr="009D0A4A" w:rsidRDefault="006F1AF7" w:rsidP="0030750F">
      <w:pPr>
        <w:pStyle w:val="Heading3"/>
      </w:pPr>
      <w:r w:rsidRPr="009D0A4A">
        <w:t>Option 2</w:t>
      </w:r>
      <w:r w:rsidR="00D14CC1" w:rsidRPr="009D0A4A">
        <w:t>:</w:t>
      </w:r>
      <w:r w:rsidRPr="009D0A4A">
        <w:t xml:space="preserve"> </w:t>
      </w:r>
      <w:r w:rsidR="00640676" w:rsidRPr="009D0A4A">
        <w:t>National a</w:t>
      </w:r>
      <w:r w:rsidRPr="009D0A4A">
        <w:t xml:space="preserve">wareness and behaviour change initiatives </w:t>
      </w:r>
    </w:p>
    <w:p w14:paraId="20017DD0" w14:textId="77777777" w:rsidR="006F1AF7" w:rsidRPr="009D0A4A" w:rsidRDefault="006F1AF7" w:rsidP="0030750F">
      <w:pPr>
        <w:pStyle w:val="Heading4"/>
      </w:pPr>
      <w:r w:rsidRPr="009D0A4A">
        <w:t xml:space="preserve">Costs to industry </w:t>
      </w:r>
    </w:p>
    <w:p w14:paraId="744465B5" w14:textId="2D8AF438" w:rsidR="006F1AF7" w:rsidRDefault="006F1AF7" w:rsidP="007012B9">
      <w:pPr>
        <w:pStyle w:val="BodyText"/>
        <w:jc w:val="both"/>
      </w:pPr>
      <w:r w:rsidRPr="009D0A4A">
        <w:t>Awareness campaigns and behaviour change initiatives would not present an additional cost to industry as the cost of development and distribution would be borne by government.</w:t>
      </w:r>
    </w:p>
    <w:p w14:paraId="46C7E27B" w14:textId="77777777" w:rsidR="00D53738" w:rsidRPr="009D0A4A" w:rsidRDefault="00D53738" w:rsidP="007012B9">
      <w:pPr>
        <w:pStyle w:val="BodyText"/>
        <w:jc w:val="both"/>
      </w:pPr>
    </w:p>
    <w:p w14:paraId="7EFEC617" w14:textId="77777777" w:rsidR="006F1AF7" w:rsidRPr="009D0A4A" w:rsidRDefault="006F1AF7" w:rsidP="0030750F">
      <w:pPr>
        <w:pStyle w:val="Heading4"/>
      </w:pPr>
      <w:r w:rsidRPr="009D0A4A">
        <w:lastRenderedPageBreak/>
        <w:t>Costs to government</w:t>
      </w:r>
    </w:p>
    <w:p w14:paraId="0F024B95" w14:textId="017B393F" w:rsidR="006F1AF7" w:rsidRPr="009D0A4A" w:rsidRDefault="006F1AF7" w:rsidP="007012B9">
      <w:pPr>
        <w:pStyle w:val="BodyText"/>
        <w:jc w:val="both"/>
        <w:rPr>
          <w:rFonts w:cstheme="minorHAnsi"/>
        </w:rPr>
      </w:pPr>
      <w:r w:rsidRPr="009D0A4A">
        <w:rPr>
          <w:rFonts w:cstheme="minorHAnsi"/>
        </w:rPr>
        <w:t xml:space="preserve">Compared to the </w:t>
      </w:r>
      <w:r w:rsidR="00E03F7B" w:rsidRPr="009D0A4A">
        <w:rPr>
          <w:rFonts w:cstheme="minorHAnsi"/>
        </w:rPr>
        <w:t>base case</w:t>
      </w:r>
      <w:r w:rsidRPr="009D0A4A">
        <w:rPr>
          <w:rFonts w:cstheme="minorHAnsi"/>
        </w:rPr>
        <w:t xml:space="preserve">, additional costs borne by government relate to the planning and design and the subsequent development and distribution of information for behaviour change and awareness </w:t>
      </w:r>
      <w:r w:rsidR="00E03F7B" w:rsidRPr="009D0A4A">
        <w:rPr>
          <w:rFonts w:cstheme="minorHAnsi"/>
        </w:rPr>
        <w:t>initiatives</w:t>
      </w:r>
      <w:r w:rsidRPr="009D0A4A">
        <w:rPr>
          <w:rFonts w:cstheme="minorHAnsi"/>
        </w:rPr>
        <w:t xml:space="preserve"> on an annual basis. </w:t>
      </w:r>
    </w:p>
    <w:p w14:paraId="661A43E8" w14:textId="6DFE42AC" w:rsidR="006F1AF7" w:rsidRPr="009D0A4A" w:rsidRDefault="006F1AF7" w:rsidP="007012B9">
      <w:pPr>
        <w:pStyle w:val="BodyText"/>
        <w:jc w:val="both"/>
        <w:rPr>
          <w:rFonts w:cstheme="minorHAnsi"/>
        </w:rPr>
      </w:pPr>
      <w:r w:rsidRPr="009D0A4A">
        <w:rPr>
          <w:rFonts w:cstheme="minorHAnsi"/>
        </w:rPr>
        <w:t xml:space="preserve">The total estimated net present cost over a </w:t>
      </w:r>
      <w:r w:rsidR="004E3629" w:rsidRPr="009D0A4A">
        <w:rPr>
          <w:rFonts w:cstheme="minorHAnsi"/>
        </w:rPr>
        <w:t>10-year</w:t>
      </w:r>
      <w:r w:rsidRPr="009D0A4A">
        <w:rPr>
          <w:rFonts w:cstheme="minorHAnsi"/>
        </w:rPr>
        <w:t xml:space="preserve"> forecast period is presented in</w:t>
      </w:r>
      <w:r w:rsidR="0047326B" w:rsidRPr="009D0A4A">
        <w:rPr>
          <w:rFonts w:cstheme="minorHAnsi"/>
        </w:rPr>
        <w:t xml:space="preserve"> Table </w:t>
      </w:r>
      <w:r w:rsidR="001165D9" w:rsidRPr="009D0A4A">
        <w:rPr>
          <w:rFonts w:cstheme="minorHAnsi"/>
        </w:rPr>
        <w:t>1</w:t>
      </w:r>
      <w:r w:rsidR="003F5102" w:rsidRPr="009D0A4A">
        <w:rPr>
          <w:rFonts w:cstheme="minorHAnsi"/>
        </w:rPr>
        <w:t>3</w:t>
      </w:r>
      <w:r w:rsidRPr="009D0A4A">
        <w:rPr>
          <w:rFonts w:cstheme="minorHAnsi"/>
        </w:rPr>
        <w:t>.</w:t>
      </w:r>
    </w:p>
    <w:p w14:paraId="18ABFEA4" w14:textId="05AE9952" w:rsidR="006F1AF7" w:rsidRPr="009D0A4A" w:rsidRDefault="006F1AF7" w:rsidP="006F1AF7">
      <w:pPr>
        <w:pStyle w:val="Caption"/>
      </w:pPr>
      <w:bookmarkStart w:id="643" w:name="_Ref99984060"/>
      <w:r w:rsidRPr="009D0A4A">
        <w:t xml:space="preserve">Table </w:t>
      </w:r>
      <w:bookmarkEnd w:id="643"/>
      <w:r w:rsidR="001165D9" w:rsidRPr="009D0A4A">
        <w:t>1</w:t>
      </w:r>
      <w:r w:rsidR="003F5102" w:rsidRPr="009D0A4A">
        <w:t>3</w:t>
      </w:r>
      <w:r w:rsidRPr="009D0A4A">
        <w:t xml:space="preserve">: Net present cost to government of awareness and behaviour </w:t>
      </w:r>
      <w:r w:rsidR="004E3629" w:rsidRPr="009D0A4A">
        <w:t>changes</w:t>
      </w:r>
      <w:r w:rsidRPr="009D0A4A">
        <w:t xml:space="preserve"> initiatives (Option 2) over 10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2"/>
        <w:gridCol w:w="4082"/>
      </w:tblGrid>
      <w:tr w:rsidR="006F1AF7" w:rsidRPr="009D0A4A" w14:paraId="487206F5" w14:textId="77777777" w:rsidTr="00AF6E84">
        <w:trPr>
          <w:trHeight w:val="188"/>
          <w:tblHeader/>
        </w:trPr>
        <w:tc>
          <w:tcPr>
            <w:tcW w:w="3000" w:type="pct"/>
            <w:shd w:val="clear" w:color="auto" w:fill="D1D1D1" w:themeFill="background2"/>
            <w:vAlign w:val="center"/>
          </w:tcPr>
          <w:p w14:paraId="19548783" w14:textId="77777777" w:rsidR="006F1AF7" w:rsidRPr="009D0A4A" w:rsidRDefault="006F1AF7" w:rsidP="007012B9">
            <w:pPr>
              <w:spacing w:before="60" w:after="60"/>
              <w:rPr>
                <w:rStyle w:val="Strong"/>
                <w:rFonts w:asciiTheme="majorHAnsi" w:hAnsiTheme="majorHAnsi" w:cstheme="minorHAnsi"/>
                <w:b w:val="0"/>
                <w:iCs/>
                <w:color w:val="014463" w:themeColor="text2"/>
                <w:sz w:val="18"/>
                <w:szCs w:val="18"/>
              </w:rPr>
            </w:pPr>
            <w:r w:rsidRPr="009D0A4A">
              <w:rPr>
                <w:rStyle w:val="Strong"/>
                <w:rFonts w:asciiTheme="majorHAnsi" w:hAnsiTheme="majorHAnsi" w:cstheme="minorHAnsi"/>
                <w:sz w:val="18"/>
                <w:szCs w:val="18"/>
              </w:rPr>
              <w:t>Cost</w:t>
            </w:r>
          </w:p>
        </w:tc>
        <w:tc>
          <w:tcPr>
            <w:tcW w:w="2000" w:type="pct"/>
            <w:shd w:val="clear" w:color="auto" w:fill="D1D1D1" w:themeFill="background2"/>
            <w:vAlign w:val="center"/>
          </w:tcPr>
          <w:p w14:paraId="5ADF6D54" w14:textId="0DF859B9" w:rsidR="006F1AF7" w:rsidRPr="009D0A4A" w:rsidRDefault="00BD31D8" w:rsidP="007012B9">
            <w:pPr>
              <w:spacing w:before="60" w:after="60"/>
              <w:rPr>
                <w:rStyle w:val="Strong"/>
                <w:rFonts w:asciiTheme="majorHAnsi" w:hAnsiTheme="majorHAnsi" w:cstheme="minorHAnsi"/>
                <w:sz w:val="18"/>
                <w:szCs w:val="18"/>
              </w:rPr>
            </w:pPr>
            <w:r w:rsidRPr="009D0A4A">
              <w:rPr>
                <w:rStyle w:val="Strong"/>
                <w:rFonts w:asciiTheme="majorHAnsi" w:hAnsiTheme="majorHAnsi" w:cstheme="minorHAnsi"/>
                <w:sz w:val="18"/>
                <w:szCs w:val="18"/>
              </w:rPr>
              <w:t xml:space="preserve">Net present cost over </w:t>
            </w:r>
            <w:r w:rsidR="004E3629" w:rsidRPr="009D0A4A">
              <w:rPr>
                <w:rStyle w:val="Strong"/>
                <w:rFonts w:asciiTheme="majorHAnsi" w:hAnsiTheme="majorHAnsi" w:cstheme="minorHAnsi"/>
                <w:sz w:val="18"/>
                <w:szCs w:val="18"/>
              </w:rPr>
              <w:t>10-year</w:t>
            </w:r>
            <w:r w:rsidRPr="009D0A4A">
              <w:rPr>
                <w:rStyle w:val="Strong"/>
                <w:rFonts w:asciiTheme="majorHAnsi" w:hAnsiTheme="majorHAnsi" w:cstheme="minorHAnsi"/>
                <w:sz w:val="18"/>
                <w:szCs w:val="18"/>
              </w:rPr>
              <w:t xml:space="preserve"> period ($m)</w:t>
            </w:r>
          </w:p>
        </w:tc>
      </w:tr>
      <w:tr w:rsidR="006F1AF7" w:rsidRPr="009D0A4A" w14:paraId="682D7BE3" w14:textId="77777777" w:rsidTr="00AF6E84">
        <w:trPr>
          <w:trHeight w:val="355"/>
        </w:trPr>
        <w:tc>
          <w:tcPr>
            <w:tcW w:w="3000" w:type="pct"/>
            <w:tcBorders>
              <w:bottom w:val="single" w:sz="8" w:space="0" w:color="D1D1D1" w:themeColor="background2"/>
            </w:tcBorders>
            <w:vAlign w:val="center"/>
          </w:tcPr>
          <w:p w14:paraId="5981BDDE" w14:textId="34D62342" w:rsidR="006F1AF7" w:rsidRPr="009D0A4A" w:rsidRDefault="00E03F7B" w:rsidP="007012B9">
            <w:pPr>
              <w:spacing w:before="60" w:after="60"/>
              <w:rPr>
                <w:rFonts w:cstheme="minorHAnsi"/>
                <w:sz w:val="18"/>
                <w:szCs w:val="18"/>
              </w:rPr>
            </w:pPr>
            <w:r w:rsidRPr="009D0A4A">
              <w:rPr>
                <w:sz w:val="18"/>
                <w:szCs w:val="18"/>
              </w:rPr>
              <w:t>Awareness and b</w:t>
            </w:r>
            <w:r w:rsidR="006F1AF7" w:rsidRPr="009D0A4A">
              <w:rPr>
                <w:sz w:val="18"/>
                <w:szCs w:val="18"/>
              </w:rPr>
              <w:t>ehaviour change initiative</w:t>
            </w:r>
            <w:r w:rsidRPr="009D0A4A">
              <w:rPr>
                <w:sz w:val="18"/>
                <w:szCs w:val="18"/>
              </w:rPr>
              <w:t>s</w:t>
            </w:r>
            <w:r w:rsidR="006F1AF7" w:rsidRPr="009D0A4A">
              <w:rPr>
                <w:sz w:val="18"/>
                <w:szCs w:val="18"/>
              </w:rPr>
              <w:t xml:space="preserve"> – planning and design</w:t>
            </w:r>
          </w:p>
        </w:tc>
        <w:tc>
          <w:tcPr>
            <w:tcW w:w="2000" w:type="pct"/>
            <w:tcBorders>
              <w:bottom w:val="single" w:sz="8" w:space="0" w:color="D1D1D1" w:themeColor="background2"/>
            </w:tcBorders>
            <w:vAlign w:val="center"/>
          </w:tcPr>
          <w:p w14:paraId="615DD7D2" w14:textId="77777777" w:rsidR="006F1AF7" w:rsidRPr="009D0A4A" w:rsidRDefault="006F1AF7" w:rsidP="007012B9">
            <w:pPr>
              <w:spacing w:before="60" w:after="60"/>
              <w:jc w:val="center"/>
              <w:rPr>
                <w:rFonts w:cstheme="minorHAnsi"/>
                <w:sz w:val="18"/>
                <w:szCs w:val="18"/>
              </w:rPr>
            </w:pPr>
            <w:r w:rsidRPr="009D0A4A">
              <w:rPr>
                <w:rFonts w:ascii="Calibri" w:hAnsi="Calibri" w:cs="Calibri"/>
                <w:color w:val="262626"/>
                <w:sz w:val="18"/>
                <w:szCs w:val="18"/>
              </w:rPr>
              <w:t>$0.11</w:t>
            </w:r>
          </w:p>
        </w:tc>
      </w:tr>
      <w:tr w:rsidR="006F1AF7" w:rsidRPr="009D0A4A" w14:paraId="643EDD30" w14:textId="77777777" w:rsidTr="00AF6E84">
        <w:trPr>
          <w:trHeight w:val="355"/>
        </w:trPr>
        <w:tc>
          <w:tcPr>
            <w:tcW w:w="3000" w:type="pct"/>
            <w:tcBorders>
              <w:top w:val="single" w:sz="8" w:space="0" w:color="D1D1D1" w:themeColor="background2"/>
              <w:bottom w:val="single" w:sz="8" w:space="0" w:color="D1D1D1" w:themeColor="background2"/>
            </w:tcBorders>
            <w:vAlign w:val="center"/>
          </w:tcPr>
          <w:p w14:paraId="33F6A32F" w14:textId="4EDC152E" w:rsidR="006F1AF7" w:rsidRPr="009D0A4A" w:rsidRDefault="00E03F7B" w:rsidP="007012B9">
            <w:pPr>
              <w:spacing w:before="60" w:after="60"/>
              <w:rPr>
                <w:rFonts w:cstheme="minorHAnsi"/>
                <w:sz w:val="18"/>
                <w:szCs w:val="18"/>
              </w:rPr>
            </w:pPr>
            <w:r w:rsidRPr="009D0A4A">
              <w:rPr>
                <w:sz w:val="18"/>
                <w:szCs w:val="18"/>
              </w:rPr>
              <w:t>Awareness and b</w:t>
            </w:r>
            <w:r w:rsidR="006F1AF7" w:rsidRPr="009D0A4A">
              <w:rPr>
                <w:sz w:val="18"/>
                <w:szCs w:val="18"/>
              </w:rPr>
              <w:t xml:space="preserve">ehaviour change initiative – roll out across all industry sectors </w:t>
            </w:r>
          </w:p>
        </w:tc>
        <w:tc>
          <w:tcPr>
            <w:tcW w:w="2000" w:type="pct"/>
            <w:tcBorders>
              <w:top w:val="single" w:sz="8" w:space="0" w:color="D1D1D1" w:themeColor="background2"/>
              <w:bottom w:val="single" w:sz="8" w:space="0" w:color="D1D1D1" w:themeColor="background2"/>
            </w:tcBorders>
            <w:vAlign w:val="center"/>
          </w:tcPr>
          <w:p w14:paraId="17DF153F" w14:textId="77777777" w:rsidR="006F1AF7" w:rsidRPr="009D0A4A" w:rsidRDefault="006F1AF7" w:rsidP="007012B9">
            <w:pPr>
              <w:spacing w:before="60" w:after="60"/>
              <w:jc w:val="center"/>
              <w:rPr>
                <w:rFonts w:cstheme="minorHAnsi"/>
                <w:sz w:val="18"/>
                <w:szCs w:val="18"/>
              </w:rPr>
            </w:pPr>
            <w:r w:rsidRPr="009D0A4A">
              <w:rPr>
                <w:rFonts w:ascii="Calibri" w:hAnsi="Calibri" w:cs="Calibri"/>
                <w:color w:val="262626"/>
                <w:sz w:val="18"/>
                <w:szCs w:val="18"/>
              </w:rPr>
              <w:t>$5.96</w:t>
            </w:r>
          </w:p>
        </w:tc>
      </w:tr>
      <w:tr w:rsidR="006F1AF7" w:rsidRPr="009D0A4A" w14:paraId="760A5EE5" w14:textId="77777777" w:rsidTr="00AF6E84">
        <w:trPr>
          <w:trHeight w:val="355"/>
        </w:trPr>
        <w:tc>
          <w:tcPr>
            <w:tcW w:w="3000"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5AB86954" w14:textId="77777777" w:rsidR="006F1AF7" w:rsidRPr="009D0A4A" w:rsidRDefault="006F1AF7" w:rsidP="007012B9">
            <w:pPr>
              <w:spacing w:before="60" w:afterLines="60" w:after="144"/>
              <w:rPr>
                <w:rFonts w:cstheme="minorHAnsi"/>
                <w:b/>
                <w:bCs/>
                <w:sz w:val="18"/>
                <w:szCs w:val="18"/>
              </w:rPr>
            </w:pPr>
            <w:r w:rsidRPr="009D0A4A">
              <w:rPr>
                <w:rFonts w:cstheme="minorHAnsi"/>
                <w:b/>
                <w:bCs/>
                <w:sz w:val="18"/>
                <w:szCs w:val="18"/>
              </w:rPr>
              <w:t>Total</w:t>
            </w:r>
          </w:p>
        </w:tc>
        <w:tc>
          <w:tcPr>
            <w:tcW w:w="2000"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6FADB51F" w14:textId="77777777" w:rsidR="006F1AF7" w:rsidRPr="009D0A4A" w:rsidRDefault="006F1AF7" w:rsidP="007012B9">
            <w:pPr>
              <w:spacing w:before="60" w:afterLines="60" w:after="144"/>
              <w:jc w:val="center"/>
              <w:rPr>
                <w:rFonts w:ascii="Calibri" w:hAnsi="Calibri" w:cs="Calibri"/>
                <w:b/>
                <w:bCs/>
                <w:color w:val="262626"/>
                <w:sz w:val="18"/>
                <w:szCs w:val="18"/>
              </w:rPr>
            </w:pPr>
            <w:r w:rsidRPr="009D0A4A">
              <w:rPr>
                <w:rFonts w:ascii="Calibri" w:hAnsi="Calibri" w:cs="Calibri"/>
                <w:b/>
                <w:bCs/>
                <w:color w:val="262626"/>
                <w:sz w:val="18"/>
                <w:szCs w:val="18"/>
              </w:rPr>
              <w:t>$6.08</w:t>
            </w:r>
          </w:p>
        </w:tc>
      </w:tr>
    </w:tbl>
    <w:p w14:paraId="06E7621E" w14:textId="39E3C6F9" w:rsidR="006F1AF7" w:rsidRPr="009D0A4A" w:rsidRDefault="006F1AF7" w:rsidP="00D53738">
      <w:pPr>
        <w:pStyle w:val="Heading3"/>
        <w:spacing w:before="360"/>
      </w:pPr>
      <w:r w:rsidRPr="009D0A4A">
        <w:t>Option 3</w:t>
      </w:r>
      <w:r w:rsidR="00D14CC1" w:rsidRPr="009D0A4A">
        <w:t>:</w:t>
      </w:r>
      <w:r w:rsidR="00BA32F3" w:rsidRPr="009D0A4A">
        <w:t xml:space="preserve"> </w:t>
      </w:r>
      <w:r w:rsidRPr="009D0A4A">
        <w:t xml:space="preserve">Clarification of existing requirements in model WHS laws </w:t>
      </w:r>
    </w:p>
    <w:p w14:paraId="75ABD42A" w14:textId="25E67878" w:rsidR="006F1AF7" w:rsidRPr="009D0A4A" w:rsidRDefault="006F1AF7" w:rsidP="0030750F">
      <w:pPr>
        <w:pStyle w:val="Heading4"/>
      </w:pPr>
      <w:r w:rsidRPr="009D0A4A">
        <w:t>Cost</w:t>
      </w:r>
      <w:r w:rsidR="002E0457" w:rsidRPr="009D0A4A">
        <w:t>s</w:t>
      </w:r>
      <w:r w:rsidRPr="009D0A4A">
        <w:t xml:space="preserve"> to industry</w:t>
      </w:r>
    </w:p>
    <w:p w14:paraId="5BF74318" w14:textId="5DB5E739" w:rsidR="006F1AF7" w:rsidRPr="009D0A4A" w:rsidRDefault="006F1AF7" w:rsidP="007012B9">
      <w:pPr>
        <w:pStyle w:val="BodyText"/>
        <w:jc w:val="both"/>
      </w:pPr>
      <w:r w:rsidRPr="009D0A4A">
        <w:t xml:space="preserve">This option presents no additional regulatory burden to industry and as such, poses no additional costs of compliance compared with the </w:t>
      </w:r>
      <w:r w:rsidR="00E03F7B" w:rsidRPr="009D0A4A">
        <w:t>base case</w:t>
      </w:r>
      <w:r w:rsidRPr="009D0A4A">
        <w:t>.</w:t>
      </w:r>
    </w:p>
    <w:p w14:paraId="37D5E907" w14:textId="77777777" w:rsidR="006F1AF7" w:rsidRPr="009D0A4A" w:rsidRDefault="006F1AF7" w:rsidP="0030750F">
      <w:pPr>
        <w:pStyle w:val="Heading4"/>
      </w:pPr>
      <w:r w:rsidRPr="009D0A4A">
        <w:t>Costs to government</w:t>
      </w:r>
    </w:p>
    <w:p w14:paraId="24598E4E" w14:textId="254E81B0" w:rsidR="006F1AF7" w:rsidRPr="009D0A4A" w:rsidRDefault="006F1AF7">
      <w:pPr>
        <w:pStyle w:val="BodyText"/>
        <w:jc w:val="both"/>
        <w:rPr>
          <w:rFonts w:cstheme="minorHAnsi"/>
        </w:rPr>
      </w:pPr>
      <w:r w:rsidRPr="009D0A4A">
        <w:rPr>
          <w:rFonts w:cstheme="minorHAnsi"/>
        </w:rPr>
        <w:t xml:space="preserve">Compared to the </w:t>
      </w:r>
      <w:r w:rsidR="00E03F7B" w:rsidRPr="009D0A4A">
        <w:rPr>
          <w:rFonts w:cstheme="minorHAnsi"/>
        </w:rPr>
        <w:t>base case</w:t>
      </w:r>
      <w:r w:rsidRPr="009D0A4A">
        <w:rPr>
          <w:rFonts w:cstheme="minorHAnsi"/>
        </w:rPr>
        <w:t>, additional costs borne by government include the drafting of regulations, and the implementation of an information and awareness campaign to promote the changes.</w:t>
      </w:r>
    </w:p>
    <w:p w14:paraId="1AB51B3B" w14:textId="163C7FAF" w:rsidR="006F1AF7" w:rsidRPr="009D0A4A" w:rsidRDefault="006F1AF7" w:rsidP="007012B9">
      <w:pPr>
        <w:pStyle w:val="BodyText"/>
        <w:jc w:val="both"/>
        <w:rPr>
          <w:rFonts w:cstheme="minorHAnsi"/>
        </w:rPr>
      </w:pPr>
      <w:r w:rsidRPr="009D0A4A">
        <w:rPr>
          <w:rFonts w:cstheme="minorHAnsi"/>
        </w:rPr>
        <w:t xml:space="preserve">The total estimated </w:t>
      </w:r>
      <w:r w:rsidR="00BA32F3" w:rsidRPr="009D0A4A">
        <w:rPr>
          <w:rFonts w:cstheme="minorHAnsi"/>
        </w:rPr>
        <w:t>net present cost</w:t>
      </w:r>
      <w:r w:rsidRPr="009D0A4A">
        <w:rPr>
          <w:rFonts w:cstheme="minorHAnsi"/>
        </w:rPr>
        <w:t xml:space="preserve"> over a </w:t>
      </w:r>
      <w:r w:rsidR="004E3629" w:rsidRPr="009D0A4A">
        <w:rPr>
          <w:rFonts w:cstheme="minorHAnsi"/>
        </w:rPr>
        <w:t>10-year</w:t>
      </w:r>
      <w:r w:rsidRPr="009D0A4A">
        <w:rPr>
          <w:rFonts w:cstheme="minorHAnsi"/>
        </w:rPr>
        <w:t xml:space="preserve"> forecast period is presented in </w:t>
      </w:r>
      <w:r w:rsidR="0047326B" w:rsidRPr="009D0A4A">
        <w:rPr>
          <w:rFonts w:cstheme="minorHAnsi"/>
        </w:rPr>
        <w:t xml:space="preserve">Table </w:t>
      </w:r>
      <w:r w:rsidR="001165D9" w:rsidRPr="009D0A4A">
        <w:rPr>
          <w:rFonts w:cstheme="minorHAnsi"/>
        </w:rPr>
        <w:t>1</w:t>
      </w:r>
      <w:r w:rsidR="003F5102" w:rsidRPr="009D0A4A">
        <w:rPr>
          <w:rFonts w:cstheme="minorHAnsi"/>
        </w:rPr>
        <w:t>4</w:t>
      </w:r>
      <w:r w:rsidR="001165D9" w:rsidRPr="009D0A4A">
        <w:rPr>
          <w:rFonts w:cstheme="minorHAnsi"/>
        </w:rPr>
        <w:t xml:space="preserve"> </w:t>
      </w:r>
      <w:r w:rsidRPr="009D0A4A">
        <w:rPr>
          <w:rFonts w:cstheme="minorHAnsi"/>
        </w:rPr>
        <w:t>below.</w:t>
      </w:r>
    </w:p>
    <w:p w14:paraId="30E2788E" w14:textId="29FB2C73" w:rsidR="006F1AF7" w:rsidRPr="009D0A4A" w:rsidRDefault="006F1AF7" w:rsidP="006F1AF7">
      <w:pPr>
        <w:pStyle w:val="Caption"/>
      </w:pPr>
      <w:bookmarkStart w:id="644" w:name="_Ref103241973"/>
      <w:r w:rsidRPr="009D0A4A">
        <w:t xml:space="preserve">Table </w:t>
      </w:r>
      <w:bookmarkEnd w:id="644"/>
      <w:r w:rsidR="001165D9" w:rsidRPr="009D0A4A">
        <w:t>1</w:t>
      </w:r>
      <w:r w:rsidR="003F5102" w:rsidRPr="009D0A4A">
        <w:t>4</w:t>
      </w:r>
      <w:r w:rsidRPr="009D0A4A">
        <w:t xml:space="preserve">: </w:t>
      </w:r>
      <w:bookmarkStart w:id="645" w:name="_Hlk104210673"/>
      <w:r w:rsidRPr="009D0A4A">
        <w:t>Net present cost to government of clarification of existing requirements in the model WHS laws (Option 3) over 10 years</w:t>
      </w:r>
      <w:bookmarkEnd w:id="64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6F1AF7" w:rsidRPr="009D0A4A" w14:paraId="6CCE283B" w14:textId="77777777" w:rsidTr="00AF6E84">
        <w:trPr>
          <w:trHeight w:val="171"/>
          <w:tblHeader/>
        </w:trPr>
        <w:tc>
          <w:tcPr>
            <w:tcW w:w="2500" w:type="pct"/>
            <w:shd w:val="clear" w:color="auto" w:fill="D1D1D1" w:themeFill="background2"/>
            <w:vAlign w:val="center"/>
          </w:tcPr>
          <w:p w14:paraId="7B37BC6B" w14:textId="77777777" w:rsidR="006F1AF7" w:rsidRPr="009D0A4A" w:rsidRDefault="006F1AF7" w:rsidP="007012B9">
            <w:pPr>
              <w:spacing w:before="60" w:after="60"/>
              <w:rPr>
                <w:rStyle w:val="Strong"/>
                <w:rFonts w:asciiTheme="majorHAnsi" w:hAnsiTheme="majorHAnsi" w:cstheme="minorHAnsi"/>
                <w:b w:val="0"/>
                <w:iCs/>
                <w:color w:val="014463" w:themeColor="text2"/>
                <w:sz w:val="18"/>
                <w:szCs w:val="18"/>
              </w:rPr>
            </w:pPr>
            <w:r w:rsidRPr="009D0A4A">
              <w:rPr>
                <w:rStyle w:val="Strong"/>
                <w:rFonts w:asciiTheme="majorHAnsi" w:hAnsiTheme="majorHAnsi" w:cstheme="minorHAnsi"/>
                <w:sz w:val="18"/>
                <w:szCs w:val="18"/>
              </w:rPr>
              <w:t>Cost</w:t>
            </w:r>
          </w:p>
        </w:tc>
        <w:tc>
          <w:tcPr>
            <w:tcW w:w="2500" w:type="pct"/>
            <w:shd w:val="clear" w:color="auto" w:fill="D1D1D1" w:themeFill="background2"/>
            <w:vAlign w:val="center"/>
          </w:tcPr>
          <w:p w14:paraId="24445719" w14:textId="3CA96D67" w:rsidR="006F1AF7" w:rsidRPr="009D0A4A" w:rsidRDefault="00BD31D8" w:rsidP="007012B9">
            <w:pPr>
              <w:spacing w:before="60" w:after="60"/>
              <w:rPr>
                <w:rStyle w:val="Strong"/>
                <w:rFonts w:asciiTheme="majorHAnsi" w:hAnsiTheme="majorHAnsi" w:cstheme="minorHAnsi"/>
                <w:sz w:val="18"/>
                <w:szCs w:val="18"/>
              </w:rPr>
            </w:pPr>
            <w:r w:rsidRPr="009D0A4A">
              <w:rPr>
                <w:rStyle w:val="Strong"/>
                <w:rFonts w:asciiTheme="majorHAnsi" w:hAnsiTheme="majorHAnsi" w:cstheme="minorHAnsi"/>
                <w:sz w:val="18"/>
                <w:szCs w:val="18"/>
              </w:rPr>
              <w:t xml:space="preserve">Net present cost over </w:t>
            </w:r>
            <w:r w:rsidR="004E3629" w:rsidRPr="009D0A4A">
              <w:rPr>
                <w:rStyle w:val="Strong"/>
                <w:rFonts w:asciiTheme="majorHAnsi" w:hAnsiTheme="majorHAnsi" w:cstheme="minorHAnsi"/>
                <w:sz w:val="18"/>
                <w:szCs w:val="18"/>
              </w:rPr>
              <w:t>10-year</w:t>
            </w:r>
            <w:r w:rsidRPr="009D0A4A">
              <w:rPr>
                <w:rStyle w:val="Strong"/>
                <w:rFonts w:asciiTheme="majorHAnsi" w:hAnsiTheme="majorHAnsi" w:cstheme="minorHAnsi"/>
                <w:sz w:val="18"/>
                <w:szCs w:val="18"/>
              </w:rPr>
              <w:t xml:space="preserve"> period ($m)</w:t>
            </w:r>
          </w:p>
        </w:tc>
      </w:tr>
      <w:tr w:rsidR="006F1AF7" w:rsidRPr="009D0A4A" w14:paraId="6C5E70EF" w14:textId="77777777" w:rsidTr="00AF6E84">
        <w:trPr>
          <w:trHeight w:val="321"/>
        </w:trPr>
        <w:tc>
          <w:tcPr>
            <w:tcW w:w="2500" w:type="pct"/>
            <w:tcBorders>
              <w:bottom w:val="single" w:sz="8" w:space="0" w:color="D1D1D1" w:themeColor="background2"/>
            </w:tcBorders>
            <w:vAlign w:val="center"/>
          </w:tcPr>
          <w:p w14:paraId="519A3C96" w14:textId="77777777" w:rsidR="006F1AF7" w:rsidRPr="009D0A4A" w:rsidRDefault="006F1AF7" w:rsidP="007012B9">
            <w:pPr>
              <w:pStyle w:val="BodyText"/>
              <w:spacing w:before="60" w:after="60"/>
              <w:rPr>
                <w:rFonts w:cstheme="minorHAnsi"/>
                <w:sz w:val="18"/>
                <w:szCs w:val="18"/>
              </w:rPr>
            </w:pPr>
            <w:r w:rsidRPr="009D0A4A">
              <w:rPr>
                <w:rFonts w:cstheme="minorHAnsi"/>
                <w:sz w:val="18"/>
                <w:szCs w:val="18"/>
              </w:rPr>
              <w:t>Implementation of a national awareness campaign to support the regulatory change</w:t>
            </w:r>
          </w:p>
        </w:tc>
        <w:tc>
          <w:tcPr>
            <w:tcW w:w="2500" w:type="pct"/>
            <w:tcBorders>
              <w:bottom w:val="single" w:sz="8" w:space="0" w:color="D1D1D1" w:themeColor="background2"/>
            </w:tcBorders>
            <w:vAlign w:val="center"/>
          </w:tcPr>
          <w:p w14:paraId="2513317E" w14:textId="77777777" w:rsidR="006F1AF7" w:rsidRPr="009D0A4A" w:rsidRDefault="006F1AF7" w:rsidP="007012B9">
            <w:pPr>
              <w:pStyle w:val="BodyText"/>
              <w:spacing w:before="60" w:after="60"/>
              <w:jc w:val="center"/>
              <w:rPr>
                <w:sz w:val="18"/>
                <w:szCs w:val="18"/>
              </w:rPr>
            </w:pPr>
            <w:r w:rsidRPr="009D0A4A">
              <w:rPr>
                <w:rFonts w:ascii="Calibri" w:hAnsi="Calibri" w:cs="Calibri"/>
                <w:color w:val="262626"/>
                <w:sz w:val="18"/>
                <w:szCs w:val="18"/>
              </w:rPr>
              <w:t>$0.11</w:t>
            </w:r>
          </w:p>
        </w:tc>
      </w:tr>
      <w:tr w:rsidR="006F1AF7" w:rsidRPr="009D0A4A" w14:paraId="31FA4E69" w14:textId="77777777" w:rsidTr="00AF6E84">
        <w:trPr>
          <w:trHeight w:val="321"/>
        </w:trPr>
        <w:tc>
          <w:tcPr>
            <w:tcW w:w="2500"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7E1F6992" w14:textId="77777777" w:rsidR="006F1AF7" w:rsidRPr="009D0A4A" w:rsidRDefault="006F1AF7" w:rsidP="00AF6E84">
            <w:pPr>
              <w:pStyle w:val="BodyText"/>
              <w:rPr>
                <w:rFonts w:cstheme="minorHAnsi"/>
                <w:b/>
                <w:bCs/>
                <w:sz w:val="18"/>
                <w:szCs w:val="18"/>
              </w:rPr>
            </w:pPr>
            <w:r w:rsidRPr="009D0A4A">
              <w:rPr>
                <w:rFonts w:cstheme="minorHAnsi"/>
                <w:b/>
                <w:bCs/>
                <w:sz w:val="18"/>
                <w:szCs w:val="18"/>
              </w:rPr>
              <w:t xml:space="preserve">Total </w:t>
            </w:r>
          </w:p>
        </w:tc>
        <w:tc>
          <w:tcPr>
            <w:tcW w:w="2500"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162203D9" w14:textId="45D7AACE" w:rsidR="006F1AF7" w:rsidRPr="009D0A4A" w:rsidRDefault="006F1AF7" w:rsidP="00AF6E84">
            <w:pPr>
              <w:pStyle w:val="BodyText"/>
              <w:jc w:val="center"/>
              <w:rPr>
                <w:rFonts w:cstheme="minorHAnsi"/>
                <w:b/>
                <w:bCs/>
                <w:sz w:val="18"/>
                <w:szCs w:val="18"/>
              </w:rPr>
            </w:pPr>
            <w:r w:rsidRPr="009D0A4A">
              <w:rPr>
                <w:rFonts w:ascii="Calibri" w:hAnsi="Calibri" w:cs="Calibri"/>
                <w:b/>
                <w:bCs/>
                <w:color w:val="262626"/>
                <w:sz w:val="18"/>
                <w:szCs w:val="18"/>
              </w:rPr>
              <w:t>$0.</w:t>
            </w:r>
            <w:r w:rsidR="001076E2" w:rsidRPr="009D0A4A">
              <w:rPr>
                <w:rFonts w:ascii="Calibri" w:hAnsi="Calibri" w:cs="Calibri"/>
                <w:b/>
                <w:bCs/>
                <w:color w:val="262626"/>
                <w:sz w:val="18"/>
                <w:szCs w:val="18"/>
              </w:rPr>
              <w:t>11</w:t>
            </w:r>
          </w:p>
        </w:tc>
      </w:tr>
    </w:tbl>
    <w:p w14:paraId="6A9EDCEC" w14:textId="1C0252BC" w:rsidR="006F1AF7" w:rsidRPr="009D0A4A" w:rsidRDefault="006F1AF7" w:rsidP="00D53738">
      <w:pPr>
        <w:pStyle w:val="Heading3"/>
        <w:spacing w:before="360"/>
      </w:pPr>
      <w:r w:rsidRPr="009D0A4A">
        <w:t>Option 4</w:t>
      </w:r>
      <w:r w:rsidR="00D14CC1" w:rsidRPr="009D0A4A">
        <w:t>:</w:t>
      </w:r>
      <w:r w:rsidRPr="009D0A4A">
        <w:t xml:space="preserve"> </w:t>
      </w:r>
      <w:r w:rsidR="00640676" w:rsidRPr="009D0A4A">
        <w:t xml:space="preserve">Implementation of a </w:t>
      </w:r>
      <w:r w:rsidRPr="009D0A4A">
        <w:t xml:space="preserve">national licensing framework for PCBUs working with engineered stone </w:t>
      </w:r>
    </w:p>
    <w:p w14:paraId="6B8E2E36" w14:textId="77777777" w:rsidR="006F1AF7" w:rsidRPr="009D0A4A" w:rsidRDefault="006F1AF7" w:rsidP="0030750F">
      <w:pPr>
        <w:pStyle w:val="Heading4"/>
      </w:pPr>
      <w:r w:rsidRPr="009D0A4A">
        <w:t xml:space="preserve">Costs to industry </w:t>
      </w:r>
    </w:p>
    <w:p w14:paraId="488FBDB6" w14:textId="402D493E" w:rsidR="006F1AF7" w:rsidRPr="009D0A4A" w:rsidRDefault="006F1AF7" w:rsidP="007012B9">
      <w:pPr>
        <w:pStyle w:val="BodyText"/>
        <w:jc w:val="both"/>
        <w:rPr>
          <w:rFonts w:cstheme="minorHAnsi"/>
        </w:rPr>
      </w:pPr>
      <w:r w:rsidRPr="009D0A4A">
        <w:rPr>
          <w:rFonts w:cstheme="minorHAnsi"/>
        </w:rPr>
        <w:t xml:space="preserve">Additional costs incurred by industry above the </w:t>
      </w:r>
      <w:r w:rsidR="00E03F7B" w:rsidRPr="009D0A4A">
        <w:rPr>
          <w:rFonts w:cstheme="minorHAnsi"/>
        </w:rPr>
        <w:t>base case</w:t>
      </w:r>
      <w:r w:rsidRPr="009D0A4A">
        <w:rPr>
          <w:rFonts w:cstheme="minorHAnsi"/>
        </w:rPr>
        <w:t xml:space="preserve"> for Option 4 include the licensing fee and labour costs associated with preparation of a licen</w:t>
      </w:r>
      <w:r w:rsidR="007C706E" w:rsidRPr="009D0A4A">
        <w:rPr>
          <w:rFonts w:cstheme="minorHAnsi"/>
        </w:rPr>
        <w:t>c</w:t>
      </w:r>
      <w:r w:rsidRPr="009D0A4A">
        <w:rPr>
          <w:rFonts w:cstheme="minorHAnsi"/>
        </w:rPr>
        <w:t>e application every 5 years, retention of records by engineered stone suppliers, preparation and revision of risk assessments and control plans, and submission of air and health monitoring reports to WHS regulators.</w:t>
      </w:r>
    </w:p>
    <w:p w14:paraId="4D6DBEC4" w14:textId="3DD6960B" w:rsidR="006F1AF7" w:rsidRDefault="006F1AF7" w:rsidP="007012B9">
      <w:pPr>
        <w:pStyle w:val="BodyText"/>
        <w:jc w:val="both"/>
        <w:rPr>
          <w:rFonts w:cstheme="minorHAnsi"/>
        </w:rPr>
      </w:pPr>
      <w:r w:rsidRPr="009D0A4A">
        <w:rPr>
          <w:rFonts w:cstheme="minorHAnsi"/>
        </w:rPr>
        <w:t xml:space="preserve">The total estimated </w:t>
      </w:r>
      <w:r w:rsidR="001165D9" w:rsidRPr="009D0A4A">
        <w:rPr>
          <w:rFonts w:cstheme="minorHAnsi"/>
        </w:rPr>
        <w:t xml:space="preserve">net present cost </w:t>
      </w:r>
      <w:r w:rsidRPr="009D0A4A">
        <w:rPr>
          <w:rFonts w:cstheme="minorHAnsi"/>
        </w:rPr>
        <w:t xml:space="preserve">over a </w:t>
      </w:r>
      <w:r w:rsidR="004E3629" w:rsidRPr="009D0A4A">
        <w:rPr>
          <w:rFonts w:cstheme="minorHAnsi"/>
        </w:rPr>
        <w:t>10-year</w:t>
      </w:r>
      <w:r w:rsidRPr="009D0A4A">
        <w:rPr>
          <w:rFonts w:cstheme="minorHAnsi"/>
        </w:rPr>
        <w:t xml:space="preserve"> period is presented in</w:t>
      </w:r>
      <w:r w:rsidR="0047326B" w:rsidRPr="009D0A4A">
        <w:rPr>
          <w:rFonts w:cstheme="minorHAnsi"/>
        </w:rPr>
        <w:t xml:space="preserve"> Table </w:t>
      </w:r>
      <w:r w:rsidR="001165D9" w:rsidRPr="009D0A4A">
        <w:rPr>
          <w:rFonts w:cstheme="minorHAnsi"/>
        </w:rPr>
        <w:t>1</w:t>
      </w:r>
      <w:r w:rsidR="003F5102" w:rsidRPr="009D0A4A">
        <w:rPr>
          <w:rFonts w:cstheme="minorHAnsi"/>
        </w:rPr>
        <w:t>5</w:t>
      </w:r>
      <w:r w:rsidRPr="009D0A4A">
        <w:rPr>
          <w:rFonts w:cstheme="minorHAnsi"/>
        </w:rPr>
        <w:t xml:space="preserve">. </w:t>
      </w:r>
    </w:p>
    <w:p w14:paraId="6C470866" w14:textId="77777777" w:rsidR="00D53738" w:rsidRPr="009D0A4A" w:rsidRDefault="00D53738" w:rsidP="007012B9">
      <w:pPr>
        <w:pStyle w:val="BodyText"/>
        <w:jc w:val="both"/>
        <w:rPr>
          <w:rFonts w:cstheme="minorHAnsi"/>
        </w:rPr>
      </w:pPr>
    </w:p>
    <w:p w14:paraId="063C4245" w14:textId="7A007D28" w:rsidR="006F1AF7" w:rsidRPr="009D0A4A" w:rsidRDefault="006F1AF7" w:rsidP="006F1AF7">
      <w:pPr>
        <w:pStyle w:val="Caption"/>
      </w:pPr>
      <w:bookmarkStart w:id="646" w:name="_Ref103243956"/>
      <w:r w:rsidRPr="009D0A4A">
        <w:lastRenderedPageBreak/>
        <w:t xml:space="preserve">Table </w:t>
      </w:r>
      <w:bookmarkEnd w:id="646"/>
      <w:r w:rsidR="001165D9" w:rsidRPr="009D0A4A">
        <w:t>1</w:t>
      </w:r>
      <w:r w:rsidR="003F5102" w:rsidRPr="009D0A4A">
        <w:t>5</w:t>
      </w:r>
      <w:r w:rsidRPr="009D0A4A">
        <w:t>: Net present cost to industry of a national licensing framework for PCBUs working with engineered stone (Option 4) over 10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4710"/>
      </w:tblGrid>
      <w:tr w:rsidR="006F1AF7" w:rsidRPr="009D0A4A" w14:paraId="0E7D878A" w14:textId="77777777" w:rsidTr="00AF6E84">
        <w:trPr>
          <w:trHeight w:val="104"/>
          <w:tblHeader/>
        </w:trPr>
        <w:tc>
          <w:tcPr>
            <w:tcW w:w="2692" w:type="pct"/>
            <w:shd w:val="clear" w:color="auto" w:fill="D1D1D1" w:themeFill="background2"/>
            <w:vAlign w:val="center"/>
          </w:tcPr>
          <w:p w14:paraId="50C6F51B" w14:textId="77777777" w:rsidR="006F1AF7" w:rsidRPr="009D0A4A" w:rsidRDefault="006F1AF7" w:rsidP="007012B9">
            <w:pPr>
              <w:spacing w:before="60" w:after="60"/>
              <w:rPr>
                <w:rStyle w:val="Strong"/>
                <w:rFonts w:asciiTheme="majorHAnsi" w:hAnsiTheme="majorHAnsi" w:cstheme="minorHAnsi"/>
                <w:b w:val="0"/>
                <w:iCs/>
                <w:color w:val="014463" w:themeColor="text2"/>
                <w:sz w:val="18"/>
                <w:szCs w:val="18"/>
              </w:rPr>
            </w:pPr>
            <w:r w:rsidRPr="009D0A4A">
              <w:rPr>
                <w:rStyle w:val="Strong"/>
                <w:rFonts w:asciiTheme="majorHAnsi" w:hAnsiTheme="majorHAnsi" w:cstheme="minorHAnsi"/>
                <w:sz w:val="18"/>
                <w:szCs w:val="18"/>
              </w:rPr>
              <w:t>Cost</w:t>
            </w:r>
          </w:p>
        </w:tc>
        <w:tc>
          <w:tcPr>
            <w:tcW w:w="2308" w:type="pct"/>
            <w:shd w:val="clear" w:color="auto" w:fill="D1D1D1" w:themeFill="background2"/>
            <w:vAlign w:val="center"/>
          </w:tcPr>
          <w:p w14:paraId="7BB5F4CE" w14:textId="6B54125F" w:rsidR="006F1AF7" w:rsidRPr="009D0A4A" w:rsidRDefault="00BD31D8" w:rsidP="007012B9">
            <w:pPr>
              <w:spacing w:before="60" w:after="60"/>
              <w:rPr>
                <w:rStyle w:val="Strong"/>
                <w:rFonts w:asciiTheme="majorHAnsi" w:hAnsiTheme="majorHAnsi" w:cstheme="minorHAnsi"/>
                <w:sz w:val="18"/>
                <w:szCs w:val="18"/>
              </w:rPr>
            </w:pPr>
            <w:r w:rsidRPr="009D0A4A">
              <w:rPr>
                <w:rStyle w:val="Strong"/>
                <w:rFonts w:asciiTheme="majorHAnsi" w:hAnsiTheme="majorHAnsi" w:cstheme="minorHAnsi"/>
                <w:sz w:val="18"/>
                <w:szCs w:val="18"/>
              </w:rPr>
              <w:t xml:space="preserve">Net present cost over </w:t>
            </w:r>
            <w:r w:rsidR="004E3629" w:rsidRPr="009D0A4A">
              <w:rPr>
                <w:rStyle w:val="Strong"/>
                <w:rFonts w:asciiTheme="majorHAnsi" w:hAnsiTheme="majorHAnsi" w:cstheme="minorHAnsi"/>
                <w:sz w:val="18"/>
                <w:szCs w:val="18"/>
              </w:rPr>
              <w:t>10-year</w:t>
            </w:r>
            <w:r w:rsidRPr="009D0A4A">
              <w:rPr>
                <w:rStyle w:val="Strong"/>
                <w:rFonts w:asciiTheme="majorHAnsi" w:hAnsiTheme="majorHAnsi" w:cstheme="minorHAnsi"/>
                <w:sz w:val="18"/>
                <w:szCs w:val="18"/>
              </w:rPr>
              <w:t xml:space="preserve"> period ($m)</w:t>
            </w:r>
          </w:p>
        </w:tc>
      </w:tr>
      <w:tr w:rsidR="006F1AF7" w:rsidRPr="009D0A4A" w14:paraId="5A67D0DA" w14:textId="77777777" w:rsidTr="00AF6E84">
        <w:trPr>
          <w:trHeight w:val="196"/>
        </w:trPr>
        <w:tc>
          <w:tcPr>
            <w:tcW w:w="2692" w:type="pct"/>
            <w:tcBorders>
              <w:bottom w:val="single" w:sz="8" w:space="0" w:color="D1D1D1" w:themeColor="background2"/>
            </w:tcBorders>
            <w:vAlign w:val="center"/>
          </w:tcPr>
          <w:p w14:paraId="00C560A0" w14:textId="7FCE6A94" w:rsidR="006F1AF7" w:rsidRPr="009D0A4A" w:rsidRDefault="006F1AF7" w:rsidP="007012B9">
            <w:pPr>
              <w:spacing w:before="60" w:after="60"/>
              <w:rPr>
                <w:rFonts w:cstheme="minorHAnsi"/>
                <w:sz w:val="18"/>
                <w:szCs w:val="18"/>
              </w:rPr>
            </w:pPr>
            <w:r w:rsidRPr="009D0A4A">
              <w:rPr>
                <w:rFonts w:cstheme="minorHAnsi"/>
                <w:sz w:val="18"/>
                <w:szCs w:val="18"/>
              </w:rPr>
              <w:t xml:space="preserve">Preparation of </w:t>
            </w:r>
            <w:r w:rsidR="007C706E" w:rsidRPr="009D0A4A">
              <w:rPr>
                <w:rFonts w:cstheme="minorHAnsi"/>
                <w:sz w:val="18"/>
                <w:szCs w:val="18"/>
              </w:rPr>
              <w:t xml:space="preserve">licence </w:t>
            </w:r>
            <w:r w:rsidRPr="009D0A4A">
              <w:rPr>
                <w:rFonts w:cstheme="minorHAnsi"/>
                <w:sz w:val="18"/>
                <w:szCs w:val="18"/>
              </w:rPr>
              <w:t>application</w:t>
            </w:r>
          </w:p>
        </w:tc>
        <w:tc>
          <w:tcPr>
            <w:tcW w:w="2308" w:type="pct"/>
            <w:tcBorders>
              <w:bottom w:val="single" w:sz="8" w:space="0" w:color="D1D1D1" w:themeColor="background2"/>
            </w:tcBorders>
            <w:vAlign w:val="center"/>
          </w:tcPr>
          <w:p w14:paraId="2F18830A" w14:textId="77777777" w:rsidR="006F1AF7" w:rsidRPr="009D0A4A" w:rsidRDefault="006F1AF7" w:rsidP="007012B9">
            <w:pPr>
              <w:spacing w:before="60" w:after="60"/>
              <w:jc w:val="center"/>
              <w:rPr>
                <w:rFonts w:cstheme="minorHAnsi"/>
                <w:sz w:val="18"/>
                <w:szCs w:val="18"/>
              </w:rPr>
            </w:pPr>
            <w:r w:rsidRPr="009D0A4A">
              <w:rPr>
                <w:rFonts w:ascii="Calibri" w:hAnsi="Calibri" w:cs="Calibri"/>
                <w:color w:val="262626"/>
                <w:sz w:val="18"/>
                <w:szCs w:val="18"/>
              </w:rPr>
              <w:t>$1.40</w:t>
            </w:r>
          </w:p>
        </w:tc>
      </w:tr>
      <w:tr w:rsidR="006F1AF7" w:rsidRPr="009D0A4A" w14:paraId="5D394EAD" w14:textId="77777777" w:rsidTr="00AF6E84">
        <w:trPr>
          <w:trHeight w:val="196"/>
        </w:trPr>
        <w:tc>
          <w:tcPr>
            <w:tcW w:w="2692" w:type="pct"/>
            <w:tcBorders>
              <w:top w:val="single" w:sz="8" w:space="0" w:color="D1D1D1" w:themeColor="background2"/>
              <w:bottom w:val="single" w:sz="8" w:space="0" w:color="D1D1D1" w:themeColor="background2"/>
            </w:tcBorders>
            <w:vAlign w:val="center"/>
          </w:tcPr>
          <w:p w14:paraId="5BC425B4" w14:textId="77777777" w:rsidR="006F1AF7" w:rsidRPr="009D0A4A" w:rsidRDefault="006F1AF7" w:rsidP="007012B9">
            <w:pPr>
              <w:spacing w:before="60" w:after="60"/>
              <w:rPr>
                <w:rFonts w:cstheme="minorHAnsi"/>
                <w:sz w:val="18"/>
                <w:szCs w:val="18"/>
              </w:rPr>
            </w:pPr>
            <w:r w:rsidRPr="009D0A4A">
              <w:rPr>
                <w:rFonts w:cstheme="minorHAnsi"/>
                <w:sz w:val="18"/>
                <w:szCs w:val="18"/>
              </w:rPr>
              <w:t>Engineered stone suppliers – retention of records</w:t>
            </w:r>
          </w:p>
        </w:tc>
        <w:tc>
          <w:tcPr>
            <w:tcW w:w="2308" w:type="pct"/>
            <w:tcBorders>
              <w:top w:val="single" w:sz="8" w:space="0" w:color="D1D1D1" w:themeColor="background2"/>
              <w:bottom w:val="single" w:sz="8" w:space="0" w:color="D1D1D1" w:themeColor="background2"/>
            </w:tcBorders>
            <w:vAlign w:val="center"/>
          </w:tcPr>
          <w:p w14:paraId="0EE75F22" w14:textId="77777777" w:rsidR="006F1AF7" w:rsidRPr="009D0A4A" w:rsidRDefault="006F1AF7" w:rsidP="007012B9">
            <w:pPr>
              <w:spacing w:before="60" w:after="60"/>
              <w:jc w:val="center"/>
              <w:rPr>
                <w:rFonts w:cstheme="minorHAnsi"/>
                <w:sz w:val="18"/>
                <w:szCs w:val="18"/>
              </w:rPr>
            </w:pPr>
            <w:r w:rsidRPr="009D0A4A">
              <w:rPr>
                <w:rFonts w:ascii="Calibri" w:hAnsi="Calibri" w:cs="Calibri"/>
                <w:color w:val="262626"/>
                <w:sz w:val="18"/>
                <w:szCs w:val="18"/>
              </w:rPr>
              <w:t>$0.03</w:t>
            </w:r>
          </w:p>
        </w:tc>
      </w:tr>
      <w:tr w:rsidR="006F1AF7" w:rsidRPr="009D0A4A" w14:paraId="5004C569" w14:textId="77777777" w:rsidTr="000A653D">
        <w:trPr>
          <w:trHeight w:val="252"/>
        </w:trPr>
        <w:tc>
          <w:tcPr>
            <w:tcW w:w="2692" w:type="pct"/>
            <w:tcBorders>
              <w:top w:val="single" w:sz="8" w:space="0" w:color="D1D1D1" w:themeColor="background2"/>
              <w:bottom w:val="single" w:sz="8" w:space="0" w:color="D1D1D1" w:themeColor="background2"/>
            </w:tcBorders>
            <w:vAlign w:val="center"/>
          </w:tcPr>
          <w:p w14:paraId="7A8C2CF1" w14:textId="2CDBA421" w:rsidR="006F1AF7" w:rsidRPr="009D0A4A" w:rsidRDefault="006F1AF7" w:rsidP="007012B9">
            <w:pPr>
              <w:spacing w:before="60" w:after="60"/>
              <w:rPr>
                <w:rFonts w:cstheme="minorHAnsi"/>
                <w:sz w:val="18"/>
                <w:szCs w:val="18"/>
              </w:rPr>
            </w:pPr>
            <w:r w:rsidRPr="009D0A4A">
              <w:rPr>
                <w:rFonts w:cstheme="minorHAnsi"/>
                <w:sz w:val="18"/>
                <w:szCs w:val="18"/>
              </w:rPr>
              <w:t>Licen</w:t>
            </w:r>
            <w:r w:rsidR="007C706E" w:rsidRPr="009D0A4A">
              <w:rPr>
                <w:rFonts w:cstheme="minorHAnsi"/>
                <w:sz w:val="18"/>
                <w:szCs w:val="18"/>
              </w:rPr>
              <w:t>c</w:t>
            </w:r>
            <w:r w:rsidRPr="009D0A4A">
              <w:rPr>
                <w:rFonts w:cstheme="minorHAnsi"/>
                <w:sz w:val="18"/>
                <w:szCs w:val="18"/>
              </w:rPr>
              <w:t>e</w:t>
            </w:r>
            <w:r w:rsidRPr="009D0A4A">
              <w:rPr>
                <w:sz w:val="18"/>
                <w:szCs w:val="18"/>
              </w:rPr>
              <w:t xml:space="preserve"> fee </w:t>
            </w:r>
          </w:p>
        </w:tc>
        <w:tc>
          <w:tcPr>
            <w:tcW w:w="2308" w:type="pct"/>
            <w:tcBorders>
              <w:top w:val="single" w:sz="8" w:space="0" w:color="D1D1D1" w:themeColor="background2"/>
              <w:bottom w:val="single" w:sz="8" w:space="0" w:color="D1D1D1" w:themeColor="background2"/>
            </w:tcBorders>
            <w:vAlign w:val="center"/>
          </w:tcPr>
          <w:p w14:paraId="6EA5218B" w14:textId="77777777" w:rsidR="006F1AF7" w:rsidRPr="009D0A4A" w:rsidRDefault="006F1AF7" w:rsidP="007012B9">
            <w:pPr>
              <w:spacing w:before="60" w:after="60"/>
              <w:jc w:val="center"/>
              <w:rPr>
                <w:rFonts w:cstheme="minorHAnsi"/>
                <w:sz w:val="18"/>
                <w:szCs w:val="18"/>
              </w:rPr>
            </w:pPr>
            <w:r w:rsidRPr="009D0A4A">
              <w:rPr>
                <w:rFonts w:ascii="Calibri" w:hAnsi="Calibri" w:cs="Calibri"/>
                <w:color w:val="262626"/>
                <w:sz w:val="18"/>
                <w:szCs w:val="18"/>
              </w:rPr>
              <w:t>$0.49</w:t>
            </w:r>
          </w:p>
        </w:tc>
      </w:tr>
      <w:tr w:rsidR="006F1AF7" w:rsidRPr="009D0A4A" w14:paraId="360534BC" w14:textId="77777777" w:rsidTr="00AF6E84">
        <w:trPr>
          <w:trHeight w:val="196"/>
        </w:trPr>
        <w:tc>
          <w:tcPr>
            <w:tcW w:w="2692" w:type="pct"/>
            <w:tcBorders>
              <w:top w:val="single" w:sz="8" w:space="0" w:color="D1D1D1" w:themeColor="background2"/>
              <w:bottom w:val="single" w:sz="8" w:space="0" w:color="D1D1D1" w:themeColor="background2"/>
            </w:tcBorders>
            <w:vAlign w:val="center"/>
          </w:tcPr>
          <w:p w14:paraId="621626FB" w14:textId="1C03014C" w:rsidR="006F1AF7" w:rsidRPr="009D0A4A" w:rsidRDefault="001165D9" w:rsidP="007012B9">
            <w:pPr>
              <w:spacing w:before="60" w:after="60"/>
              <w:rPr>
                <w:rFonts w:cstheme="minorHAnsi"/>
                <w:sz w:val="18"/>
                <w:szCs w:val="18"/>
              </w:rPr>
            </w:pPr>
            <w:r w:rsidRPr="009D0A4A">
              <w:rPr>
                <w:rFonts w:cstheme="minorHAnsi"/>
                <w:sz w:val="18"/>
                <w:szCs w:val="18"/>
              </w:rPr>
              <w:t>Preparation and maintenance of an e</w:t>
            </w:r>
            <w:r w:rsidR="006F1AF7" w:rsidRPr="009D0A4A">
              <w:rPr>
                <w:rFonts w:cstheme="minorHAnsi"/>
                <w:sz w:val="18"/>
                <w:szCs w:val="18"/>
              </w:rPr>
              <w:t>ngineered stone control plan</w:t>
            </w:r>
            <w:r w:rsidR="00174795" w:rsidRPr="009D0A4A">
              <w:rPr>
                <w:rFonts w:cstheme="minorHAnsi"/>
                <w:sz w:val="18"/>
                <w:szCs w:val="18"/>
              </w:rPr>
              <w:t>, including risk assessment</w:t>
            </w:r>
          </w:p>
        </w:tc>
        <w:tc>
          <w:tcPr>
            <w:tcW w:w="2308" w:type="pct"/>
            <w:tcBorders>
              <w:top w:val="single" w:sz="8" w:space="0" w:color="D1D1D1" w:themeColor="background2"/>
              <w:bottom w:val="single" w:sz="8" w:space="0" w:color="D1D1D1" w:themeColor="background2"/>
            </w:tcBorders>
            <w:vAlign w:val="center"/>
          </w:tcPr>
          <w:p w14:paraId="06E26339" w14:textId="77777777" w:rsidR="006F1AF7" w:rsidRPr="009D0A4A" w:rsidRDefault="006F1AF7" w:rsidP="007012B9">
            <w:pPr>
              <w:spacing w:before="60" w:after="60"/>
              <w:jc w:val="center"/>
              <w:rPr>
                <w:rFonts w:cstheme="minorHAnsi"/>
                <w:sz w:val="18"/>
                <w:szCs w:val="18"/>
              </w:rPr>
            </w:pPr>
            <w:r w:rsidRPr="009D0A4A">
              <w:rPr>
                <w:rFonts w:ascii="Calibri" w:hAnsi="Calibri" w:cs="Calibri"/>
                <w:color w:val="262626"/>
                <w:sz w:val="18"/>
                <w:szCs w:val="18"/>
              </w:rPr>
              <w:t>$0.66</w:t>
            </w:r>
          </w:p>
        </w:tc>
      </w:tr>
      <w:tr w:rsidR="002F49C9" w:rsidRPr="009D0A4A" w14:paraId="6BC71C4D" w14:textId="77777777" w:rsidTr="00AF6E84">
        <w:trPr>
          <w:trHeight w:val="196"/>
        </w:trPr>
        <w:tc>
          <w:tcPr>
            <w:tcW w:w="2692" w:type="pct"/>
            <w:tcBorders>
              <w:top w:val="single" w:sz="8" w:space="0" w:color="D1D1D1" w:themeColor="background2"/>
              <w:bottom w:val="single" w:sz="8" w:space="0" w:color="D1D1D1" w:themeColor="background2"/>
            </w:tcBorders>
            <w:vAlign w:val="center"/>
          </w:tcPr>
          <w:p w14:paraId="00C4DE87" w14:textId="5C669F48" w:rsidR="002F49C9" w:rsidRPr="009D0A4A" w:rsidRDefault="001076E2" w:rsidP="002F49C9">
            <w:pPr>
              <w:spacing w:before="60" w:after="60"/>
              <w:rPr>
                <w:rFonts w:cstheme="minorHAnsi"/>
                <w:sz w:val="18"/>
                <w:szCs w:val="18"/>
              </w:rPr>
            </w:pPr>
            <w:r w:rsidRPr="009D0A4A">
              <w:rPr>
                <w:rFonts w:cstheme="minorHAnsi"/>
                <w:sz w:val="18"/>
                <w:szCs w:val="18"/>
              </w:rPr>
              <w:t xml:space="preserve">Participation in compliance </w:t>
            </w:r>
            <w:r w:rsidR="002F49C9" w:rsidRPr="009D0A4A">
              <w:rPr>
                <w:rFonts w:cstheme="minorHAnsi"/>
                <w:sz w:val="18"/>
                <w:szCs w:val="18"/>
              </w:rPr>
              <w:t>and enforcement</w:t>
            </w:r>
            <w:r w:rsidRPr="009D0A4A">
              <w:rPr>
                <w:rFonts w:cstheme="minorHAnsi"/>
                <w:sz w:val="18"/>
                <w:szCs w:val="18"/>
              </w:rPr>
              <w:t xml:space="preserve"> activities</w:t>
            </w:r>
          </w:p>
        </w:tc>
        <w:tc>
          <w:tcPr>
            <w:tcW w:w="2308" w:type="pct"/>
            <w:tcBorders>
              <w:top w:val="single" w:sz="8" w:space="0" w:color="D1D1D1" w:themeColor="background2"/>
              <w:bottom w:val="single" w:sz="8" w:space="0" w:color="D1D1D1" w:themeColor="background2"/>
            </w:tcBorders>
            <w:vAlign w:val="center"/>
          </w:tcPr>
          <w:p w14:paraId="1B99866F" w14:textId="77777777" w:rsidR="002F49C9" w:rsidRPr="009D0A4A" w:rsidRDefault="002F49C9" w:rsidP="002F49C9">
            <w:pPr>
              <w:spacing w:before="60" w:after="60"/>
              <w:jc w:val="center"/>
              <w:rPr>
                <w:rFonts w:cstheme="minorHAnsi"/>
                <w:sz w:val="18"/>
                <w:szCs w:val="18"/>
              </w:rPr>
            </w:pPr>
            <w:r w:rsidRPr="009D0A4A">
              <w:rPr>
                <w:rFonts w:ascii="Calibri" w:hAnsi="Calibri" w:cs="Calibri"/>
                <w:color w:val="262626"/>
                <w:sz w:val="18"/>
                <w:szCs w:val="18"/>
              </w:rPr>
              <w:t>$1.31</w:t>
            </w:r>
          </w:p>
        </w:tc>
      </w:tr>
      <w:tr w:rsidR="002F49C9" w:rsidRPr="009D0A4A" w14:paraId="7FB6B6EE" w14:textId="77777777" w:rsidTr="00AF6E84">
        <w:trPr>
          <w:trHeight w:val="196"/>
        </w:trPr>
        <w:tc>
          <w:tcPr>
            <w:tcW w:w="2692" w:type="pct"/>
            <w:tcBorders>
              <w:top w:val="single" w:sz="8" w:space="0" w:color="D1D1D1" w:themeColor="background2"/>
              <w:bottom w:val="single" w:sz="8" w:space="0" w:color="D1D1D1" w:themeColor="background2"/>
            </w:tcBorders>
            <w:vAlign w:val="center"/>
          </w:tcPr>
          <w:p w14:paraId="5095A25B" w14:textId="77777777" w:rsidR="002F49C9" w:rsidRPr="009D0A4A" w:rsidRDefault="002F49C9" w:rsidP="002F49C9">
            <w:pPr>
              <w:spacing w:before="60" w:after="60"/>
              <w:rPr>
                <w:rFonts w:cstheme="minorHAnsi"/>
                <w:sz w:val="18"/>
                <w:szCs w:val="18"/>
              </w:rPr>
            </w:pPr>
            <w:r w:rsidRPr="009D0A4A">
              <w:rPr>
                <w:rFonts w:cstheme="minorHAnsi"/>
                <w:sz w:val="18"/>
                <w:szCs w:val="18"/>
              </w:rPr>
              <w:t>Health monitoring – provision of report to regulators</w:t>
            </w:r>
          </w:p>
        </w:tc>
        <w:tc>
          <w:tcPr>
            <w:tcW w:w="2308" w:type="pct"/>
            <w:tcBorders>
              <w:top w:val="single" w:sz="8" w:space="0" w:color="D1D1D1" w:themeColor="background2"/>
              <w:bottom w:val="single" w:sz="8" w:space="0" w:color="D1D1D1" w:themeColor="background2"/>
            </w:tcBorders>
            <w:vAlign w:val="center"/>
          </w:tcPr>
          <w:p w14:paraId="17826057" w14:textId="77777777" w:rsidR="002F49C9" w:rsidRPr="009D0A4A" w:rsidRDefault="002F49C9" w:rsidP="002F49C9">
            <w:pPr>
              <w:spacing w:before="60" w:after="60"/>
              <w:jc w:val="center"/>
              <w:rPr>
                <w:rFonts w:cstheme="minorHAnsi"/>
                <w:sz w:val="18"/>
                <w:szCs w:val="18"/>
              </w:rPr>
            </w:pPr>
            <w:r w:rsidRPr="009D0A4A">
              <w:rPr>
                <w:rFonts w:ascii="Calibri" w:hAnsi="Calibri" w:cs="Calibri"/>
                <w:color w:val="262626"/>
                <w:sz w:val="18"/>
                <w:szCs w:val="18"/>
              </w:rPr>
              <w:t>$0.99</w:t>
            </w:r>
          </w:p>
        </w:tc>
      </w:tr>
      <w:tr w:rsidR="002F49C9" w:rsidRPr="009D0A4A" w14:paraId="65A0AAD5" w14:textId="77777777" w:rsidTr="00AF6E84">
        <w:trPr>
          <w:trHeight w:val="196"/>
        </w:trPr>
        <w:tc>
          <w:tcPr>
            <w:tcW w:w="2692" w:type="pct"/>
            <w:tcBorders>
              <w:top w:val="single" w:sz="8" w:space="0" w:color="D1D1D1" w:themeColor="background2"/>
              <w:bottom w:val="single" w:sz="8" w:space="0" w:color="D1D1D1" w:themeColor="background2"/>
            </w:tcBorders>
            <w:vAlign w:val="center"/>
          </w:tcPr>
          <w:p w14:paraId="1F94B3B0" w14:textId="77777777" w:rsidR="002F49C9" w:rsidRPr="009D0A4A" w:rsidRDefault="002F49C9" w:rsidP="002F49C9">
            <w:pPr>
              <w:spacing w:before="60" w:after="60"/>
              <w:rPr>
                <w:rFonts w:cstheme="minorHAnsi"/>
                <w:sz w:val="18"/>
                <w:szCs w:val="18"/>
              </w:rPr>
            </w:pPr>
            <w:r w:rsidRPr="009D0A4A">
              <w:rPr>
                <w:rFonts w:cstheme="minorHAnsi"/>
                <w:sz w:val="18"/>
                <w:szCs w:val="18"/>
              </w:rPr>
              <w:t xml:space="preserve">Air monitoring – provision of report to regulators </w:t>
            </w:r>
          </w:p>
        </w:tc>
        <w:tc>
          <w:tcPr>
            <w:tcW w:w="2308" w:type="pct"/>
            <w:tcBorders>
              <w:top w:val="single" w:sz="8" w:space="0" w:color="D1D1D1" w:themeColor="background2"/>
              <w:bottom w:val="single" w:sz="8" w:space="0" w:color="D1D1D1" w:themeColor="background2"/>
            </w:tcBorders>
            <w:vAlign w:val="center"/>
          </w:tcPr>
          <w:p w14:paraId="26BE17B8" w14:textId="77777777" w:rsidR="002F49C9" w:rsidRPr="009D0A4A" w:rsidRDefault="002F49C9" w:rsidP="002F49C9">
            <w:pPr>
              <w:spacing w:before="60" w:after="60"/>
              <w:jc w:val="center"/>
              <w:rPr>
                <w:rFonts w:cstheme="minorHAnsi"/>
                <w:sz w:val="18"/>
                <w:szCs w:val="18"/>
              </w:rPr>
            </w:pPr>
            <w:r w:rsidRPr="009D0A4A">
              <w:rPr>
                <w:rFonts w:ascii="Calibri" w:hAnsi="Calibri" w:cs="Calibri"/>
                <w:color w:val="262626"/>
                <w:sz w:val="18"/>
                <w:szCs w:val="18"/>
              </w:rPr>
              <w:t>$0.99</w:t>
            </w:r>
          </w:p>
        </w:tc>
      </w:tr>
      <w:tr w:rsidR="002F49C9" w:rsidRPr="009D0A4A" w14:paraId="41CA3BF4" w14:textId="77777777" w:rsidTr="00AF6E84">
        <w:trPr>
          <w:trHeight w:val="196"/>
        </w:trPr>
        <w:tc>
          <w:tcPr>
            <w:tcW w:w="2692"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5FC6A809" w14:textId="77777777" w:rsidR="002F49C9" w:rsidRPr="009D0A4A" w:rsidRDefault="002F49C9" w:rsidP="002F49C9">
            <w:pPr>
              <w:spacing w:before="60" w:after="60"/>
              <w:rPr>
                <w:rFonts w:cstheme="minorHAnsi"/>
                <w:b/>
                <w:bCs/>
                <w:sz w:val="18"/>
                <w:szCs w:val="18"/>
              </w:rPr>
            </w:pPr>
            <w:r w:rsidRPr="009D0A4A">
              <w:rPr>
                <w:rFonts w:cstheme="minorHAnsi"/>
                <w:b/>
                <w:bCs/>
                <w:sz w:val="18"/>
                <w:szCs w:val="18"/>
              </w:rPr>
              <w:t xml:space="preserve">Total </w:t>
            </w:r>
          </w:p>
        </w:tc>
        <w:tc>
          <w:tcPr>
            <w:tcW w:w="2308"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6329485E" w14:textId="77777777" w:rsidR="002F49C9" w:rsidRPr="009D0A4A" w:rsidRDefault="002F49C9" w:rsidP="002F49C9">
            <w:pPr>
              <w:spacing w:before="60" w:after="60"/>
              <w:jc w:val="center"/>
              <w:rPr>
                <w:rFonts w:cstheme="minorHAnsi"/>
                <w:b/>
                <w:bCs/>
                <w:sz w:val="18"/>
                <w:szCs w:val="18"/>
              </w:rPr>
            </w:pPr>
            <w:r w:rsidRPr="009D0A4A">
              <w:rPr>
                <w:rFonts w:ascii="Calibri" w:hAnsi="Calibri" w:cs="Calibri"/>
                <w:b/>
                <w:bCs/>
                <w:color w:val="262626"/>
                <w:sz w:val="18"/>
                <w:szCs w:val="18"/>
              </w:rPr>
              <w:t>$5.88</w:t>
            </w:r>
          </w:p>
        </w:tc>
      </w:tr>
    </w:tbl>
    <w:p w14:paraId="4C00B709" w14:textId="600C5330" w:rsidR="006F1AF7" w:rsidRPr="009D0A4A" w:rsidRDefault="006F1AF7" w:rsidP="0030750F">
      <w:pPr>
        <w:pStyle w:val="Heading4"/>
      </w:pPr>
      <w:r w:rsidRPr="009D0A4A">
        <w:t>Cost</w:t>
      </w:r>
      <w:r w:rsidR="002E0457" w:rsidRPr="009D0A4A">
        <w:t>s</w:t>
      </w:r>
      <w:r w:rsidRPr="009D0A4A">
        <w:t xml:space="preserve"> to government</w:t>
      </w:r>
    </w:p>
    <w:p w14:paraId="527ABCDE" w14:textId="4A2A7F18" w:rsidR="006F1AF7" w:rsidRPr="009D0A4A" w:rsidRDefault="006F1AF7" w:rsidP="007012B9">
      <w:pPr>
        <w:pStyle w:val="BodyText"/>
        <w:jc w:val="both"/>
        <w:rPr>
          <w:rFonts w:cstheme="minorHAnsi"/>
        </w:rPr>
      </w:pPr>
      <w:r w:rsidRPr="009D0A4A">
        <w:rPr>
          <w:rFonts w:cstheme="minorHAnsi"/>
        </w:rPr>
        <w:t xml:space="preserve">Additional costs incurred by government above the </w:t>
      </w:r>
      <w:r w:rsidR="00E03F7B" w:rsidRPr="009D0A4A">
        <w:rPr>
          <w:rFonts w:cstheme="minorHAnsi"/>
        </w:rPr>
        <w:t>base case</w:t>
      </w:r>
      <w:r w:rsidRPr="009D0A4A">
        <w:rPr>
          <w:rFonts w:cstheme="minorHAnsi"/>
        </w:rPr>
        <w:t xml:space="preserve"> include labour costs associated </w:t>
      </w:r>
      <w:r w:rsidR="00E03F7B" w:rsidRPr="009D0A4A">
        <w:rPr>
          <w:rFonts w:cstheme="minorHAnsi"/>
        </w:rPr>
        <w:t>establishing</w:t>
      </w:r>
      <w:r w:rsidRPr="009D0A4A">
        <w:rPr>
          <w:rFonts w:cstheme="minorHAnsi"/>
        </w:rPr>
        <w:t xml:space="preserve"> </w:t>
      </w:r>
      <w:r w:rsidR="00E03F7B" w:rsidRPr="009D0A4A">
        <w:rPr>
          <w:rFonts w:cstheme="minorHAnsi"/>
        </w:rPr>
        <w:t xml:space="preserve">and implementing </w:t>
      </w:r>
      <w:r w:rsidRPr="009D0A4A">
        <w:rPr>
          <w:rFonts w:cstheme="minorHAnsi"/>
        </w:rPr>
        <w:t>the national licensing framework</w:t>
      </w:r>
      <w:r w:rsidR="002E0457" w:rsidRPr="009D0A4A">
        <w:rPr>
          <w:rFonts w:cstheme="minorHAnsi"/>
        </w:rPr>
        <w:t>,</w:t>
      </w:r>
      <w:r w:rsidRPr="009D0A4A">
        <w:rPr>
          <w:rFonts w:cstheme="minorHAnsi"/>
        </w:rPr>
        <w:t xml:space="preserve"> assessment of </w:t>
      </w:r>
      <w:r w:rsidR="00E03F7B" w:rsidRPr="009D0A4A">
        <w:rPr>
          <w:rFonts w:cstheme="minorHAnsi"/>
        </w:rPr>
        <w:t xml:space="preserve">licence </w:t>
      </w:r>
      <w:r w:rsidRPr="009D0A4A">
        <w:rPr>
          <w:rFonts w:cstheme="minorHAnsi"/>
        </w:rPr>
        <w:t xml:space="preserve">applications, and </w:t>
      </w:r>
      <w:r w:rsidR="00E03F7B" w:rsidRPr="009D0A4A">
        <w:rPr>
          <w:rFonts w:cstheme="minorHAnsi"/>
        </w:rPr>
        <w:t>preparing</w:t>
      </w:r>
      <w:r w:rsidRPr="009D0A4A">
        <w:rPr>
          <w:rFonts w:cstheme="minorHAnsi"/>
        </w:rPr>
        <w:t xml:space="preserve"> for and </w:t>
      </w:r>
      <w:r w:rsidR="00E03F7B" w:rsidRPr="009D0A4A">
        <w:rPr>
          <w:rFonts w:cstheme="minorHAnsi"/>
        </w:rPr>
        <w:t xml:space="preserve">participating </w:t>
      </w:r>
      <w:r w:rsidRPr="009D0A4A">
        <w:rPr>
          <w:rFonts w:cstheme="minorHAnsi"/>
        </w:rPr>
        <w:t xml:space="preserve">in scheduled and unscheduled audits of licensees. Other costs include implementation of an awareness campaign to support implementation of the licensing scheme, and the development of </w:t>
      </w:r>
      <w:r w:rsidR="00F90D6F" w:rsidRPr="009D0A4A">
        <w:rPr>
          <w:rFonts w:cstheme="minorHAnsi"/>
        </w:rPr>
        <w:t>a system for administering the licensing framework</w:t>
      </w:r>
      <w:r w:rsidRPr="009D0A4A">
        <w:rPr>
          <w:rFonts w:cstheme="minorHAnsi"/>
        </w:rPr>
        <w:t xml:space="preserve">, which could also capture health and air monitoring data. </w:t>
      </w:r>
    </w:p>
    <w:p w14:paraId="49AC805E" w14:textId="28EC5796" w:rsidR="006F1AF7" w:rsidRPr="009D0A4A" w:rsidRDefault="006F1AF7" w:rsidP="007012B9">
      <w:pPr>
        <w:pStyle w:val="BodyText"/>
        <w:jc w:val="both"/>
        <w:rPr>
          <w:rFonts w:cstheme="minorHAnsi"/>
        </w:rPr>
      </w:pPr>
      <w:r w:rsidRPr="009D0A4A">
        <w:rPr>
          <w:rFonts w:cstheme="minorHAnsi"/>
        </w:rPr>
        <w:t xml:space="preserve">The total estimated net present cost over a </w:t>
      </w:r>
      <w:r w:rsidR="004E3629" w:rsidRPr="009D0A4A">
        <w:rPr>
          <w:rFonts w:cstheme="minorHAnsi"/>
        </w:rPr>
        <w:t>10-year</w:t>
      </w:r>
      <w:r w:rsidRPr="009D0A4A">
        <w:rPr>
          <w:rFonts w:cstheme="minorHAnsi"/>
        </w:rPr>
        <w:t xml:space="preserve"> period is presented in </w:t>
      </w:r>
      <w:r w:rsidR="0047326B" w:rsidRPr="009D0A4A">
        <w:rPr>
          <w:rFonts w:cstheme="minorHAnsi"/>
        </w:rPr>
        <w:t xml:space="preserve">Table </w:t>
      </w:r>
      <w:r w:rsidR="003F5102" w:rsidRPr="009D0A4A">
        <w:rPr>
          <w:rFonts w:cstheme="minorHAnsi"/>
        </w:rPr>
        <w:t>16</w:t>
      </w:r>
      <w:r w:rsidRPr="009D0A4A">
        <w:rPr>
          <w:rFonts w:cstheme="minorHAnsi"/>
        </w:rPr>
        <w:t>.</w:t>
      </w:r>
    </w:p>
    <w:p w14:paraId="79C56951" w14:textId="7B9A4DA5" w:rsidR="006F1AF7" w:rsidRPr="009D0A4A" w:rsidRDefault="006F1AF7" w:rsidP="006F1AF7">
      <w:pPr>
        <w:pStyle w:val="Caption"/>
      </w:pPr>
      <w:bookmarkStart w:id="647" w:name="_Ref103241988"/>
      <w:r w:rsidRPr="009D0A4A">
        <w:t>Table</w:t>
      </w:r>
      <w:r w:rsidR="003F5102" w:rsidRPr="009D0A4A">
        <w:t xml:space="preserve"> 16</w:t>
      </w:r>
      <w:bookmarkEnd w:id="647"/>
      <w:r w:rsidRPr="009D0A4A">
        <w:t>: Net present cost to government of a national licensing framework for PCBUs working with engineered stone (Option 4) over 10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4"/>
        <w:gridCol w:w="4620"/>
      </w:tblGrid>
      <w:tr w:rsidR="006F1AF7" w:rsidRPr="009D0A4A" w14:paraId="7A88115D" w14:textId="77777777" w:rsidTr="00AF6E84">
        <w:trPr>
          <w:trHeight w:val="324"/>
          <w:tblHeader/>
        </w:trPr>
        <w:tc>
          <w:tcPr>
            <w:tcW w:w="2736" w:type="pct"/>
            <w:shd w:val="clear" w:color="auto" w:fill="D1D1D1" w:themeFill="background2"/>
            <w:vAlign w:val="center"/>
          </w:tcPr>
          <w:p w14:paraId="25663A18" w14:textId="77777777" w:rsidR="006F1AF7" w:rsidRPr="009D0A4A" w:rsidRDefault="006F1AF7" w:rsidP="007012B9">
            <w:pPr>
              <w:spacing w:before="60" w:after="60"/>
              <w:rPr>
                <w:rStyle w:val="Strong"/>
                <w:rFonts w:asciiTheme="majorHAnsi" w:hAnsiTheme="majorHAnsi" w:cstheme="minorHAnsi"/>
                <w:b w:val="0"/>
                <w:iCs/>
                <w:color w:val="014463" w:themeColor="text2"/>
                <w:sz w:val="18"/>
                <w:szCs w:val="18"/>
              </w:rPr>
            </w:pPr>
            <w:r w:rsidRPr="009D0A4A">
              <w:rPr>
                <w:rStyle w:val="Strong"/>
                <w:rFonts w:asciiTheme="majorHAnsi" w:hAnsiTheme="majorHAnsi" w:cstheme="minorHAnsi"/>
                <w:sz w:val="18"/>
                <w:szCs w:val="18"/>
              </w:rPr>
              <w:t>Cost</w:t>
            </w:r>
          </w:p>
        </w:tc>
        <w:tc>
          <w:tcPr>
            <w:tcW w:w="2264" w:type="pct"/>
            <w:shd w:val="clear" w:color="auto" w:fill="D1D1D1" w:themeFill="background2"/>
            <w:vAlign w:val="center"/>
          </w:tcPr>
          <w:p w14:paraId="5DCF7353" w14:textId="0F8727BD" w:rsidR="006F1AF7" w:rsidRPr="009D0A4A" w:rsidRDefault="00BD31D8" w:rsidP="007012B9">
            <w:pPr>
              <w:spacing w:before="60" w:after="60"/>
              <w:rPr>
                <w:rStyle w:val="Strong"/>
                <w:rFonts w:asciiTheme="majorHAnsi" w:hAnsiTheme="majorHAnsi" w:cstheme="minorHAnsi"/>
                <w:sz w:val="18"/>
                <w:szCs w:val="18"/>
              </w:rPr>
            </w:pPr>
            <w:r w:rsidRPr="009D0A4A">
              <w:rPr>
                <w:rStyle w:val="Strong"/>
                <w:rFonts w:asciiTheme="majorHAnsi" w:hAnsiTheme="majorHAnsi" w:cstheme="minorHAnsi"/>
                <w:sz w:val="18"/>
                <w:szCs w:val="18"/>
              </w:rPr>
              <w:t>Net present c</w:t>
            </w:r>
            <w:r w:rsidR="006F1AF7" w:rsidRPr="009D0A4A">
              <w:rPr>
                <w:rStyle w:val="Strong"/>
                <w:rFonts w:asciiTheme="majorHAnsi" w:hAnsiTheme="majorHAnsi" w:cstheme="minorHAnsi"/>
                <w:sz w:val="18"/>
                <w:szCs w:val="18"/>
              </w:rPr>
              <w:t xml:space="preserve">ost over </w:t>
            </w:r>
            <w:r w:rsidR="004E3629" w:rsidRPr="009D0A4A">
              <w:rPr>
                <w:rStyle w:val="Strong"/>
                <w:rFonts w:asciiTheme="majorHAnsi" w:hAnsiTheme="majorHAnsi" w:cstheme="minorHAnsi"/>
                <w:sz w:val="18"/>
                <w:szCs w:val="18"/>
              </w:rPr>
              <w:t>10-year</w:t>
            </w:r>
            <w:r w:rsidR="006F1AF7" w:rsidRPr="009D0A4A">
              <w:rPr>
                <w:rStyle w:val="Strong"/>
                <w:rFonts w:asciiTheme="majorHAnsi" w:hAnsiTheme="majorHAnsi" w:cstheme="minorHAnsi"/>
                <w:sz w:val="18"/>
                <w:szCs w:val="18"/>
              </w:rPr>
              <w:t xml:space="preserve"> period ($m)</w:t>
            </w:r>
          </w:p>
        </w:tc>
      </w:tr>
      <w:tr w:rsidR="006F1AF7" w:rsidRPr="009D0A4A" w14:paraId="5AE9C031" w14:textId="77777777" w:rsidTr="00AF6E84">
        <w:trPr>
          <w:trHeight w:val="397"/>
        </w:trPr>
        <w:tc>
          <w:tcPr>
            <w:tcW w:w="2736" w:type="pct"/>
            <w:tcBorders>
              <w:top w:val="single" w:sz="8" w:space="0" w:color="D1D1D1" w:themeColor="background2"/>
              <w:bottom w:val="single" w:sz="8" w:space="0" w:color="D1D1D1" w:themeColor="background2"/>
            </w:tcBorders>
            <w:vAlign w:val="center"/>
          </w:tcPr>
          <w:p w14:paraId="666AFECC" w14:textId="77777777" w:rsidR="006F1AF7" w:rsidRPr="009D0A4A" w:rsidRDefault="006F1AF7" w:rsidP="007012B9">
            <w:pPr>
              <w:spacing w:before="60" w:after="60"/>
              <w:rPr>
                <w:rFonts w:cstheme="minorHAnsi"/>
                <w:sz w:val="18"/>
                <w:szCs w:val="18"/>
              </w:rPr>
            </w:pPr>
            <w:r w:rsidRPr="009D0A4A">
              <w:rPr>
                <w:rFonts w:cstheme="minorHAnsi"/>
                <w:sz w:val="18"/>
                <w:szCs w:val="18"/>
              </w:rPr>
              <w:t>Implementation of a national awareness campaign to support the regulatory change</w:t>
            </w:r>
          </w:p>
        </w:tc>
        <w:tc>
          <w:tcPr>
            <w:tcW w:w="2264" w:type="pct"/>
            <w:tcBorders>
              <w:top w:val="single" w:sz="8" w:space="0" w:color="D1D1D1" w:themeColor="background2"/>
              <w:bottom w:val="single" w:sz="8" w:space="0" w:color="D1D1D1" w:themeColor="background2"/>
            </w:tcBorders>
            <w:vAlign w:val="center"/>
          </w:tcPr>
          <w:p w14:paraId="31BDD6E4" w14:textId="77777777" w:rsidR="006F1AF7" w:rsidRPr="009D0A4A" w:rsidRDefault="006F1AF7" w:rsidP="007012B9">
            <w:pPr>
              <w:spacing w:before="60" w:after="60"/>
              <w:jc w:val="center"/>
              <w:rPr>
                <w:rFonts w:cstheme="minorHAnsi"/>
                <w:sz w:val="18"/>
                <w:szCs w:val="18"/>
              </w:rPr>
            </w:pPr>
            <w:r w:rsidRPr="009D0A4A">
              <w:rPr>
                <w:rFonts w:ascii="Calibri" w:hAnsi="Calibri" w:cs="Calibri"/>
                <w:color w:val="262626"/>
                <w:sz w:val="18"/>
                <w:szCs w:val="18"/>
              </w:rPr>
              <w:t>$0.11</w:t>
            </w:r>
          </w:p>
        </w:tc>
      </w:tr>
      <w:tr w:rsidR="006F1AF7" w:rsidRPr="009D0A4A" w14:paraId="46EE4A40" w14:textId="77777777" w:rsidTr="00AF6E84">
        <w:trPr>
          <w:trHeight w:val="403"/>
        </w:trPr>
        <w:tc>
          <w:tcPr>
            <w:tcW w:w="2736" w:type="pct"/>
            <w:tcBorders>
              <w:top w:val="single" w:sz="8" w:space="0" w:color="D1D1D1" w:themeColor="background2"/>
              <w:bottom w:val="single" w:sz="8" w:space="0" w:color="D1D1D1" w:themeColor="background2"/>
            </w:tcBorders>
            <w:vAlign w:val="center"/>
          </w:tcPr>
          <w:p w14:paraId="547F100F" w14:textId="1CED4687" w:rsidR="006F1AF7" w:rsidRPr="009D0A4A" w:rsidRDefault="007C706E" w:rsidP="007012B9">
            <w:pPr>
              <w:spacing w:before="60" w:after="60"/>
              <w:rPr>
                <w:rFonts w:ascii="Arial" w:hAnsi="Arial" w:cs="Arial"/>
                <w:sz w:val="18"/>
                <w:szCs w:val="18"/>
              </w:rPr>
            </w:pPr>
            <w:r w:rsidRPr="009D0A4A">
              <w:rPr>
                <w:rFonts w:cstheme="minorHAnsi"/>
                <w:sz w:val="18"/>
                <w:szCs w:val="18"/>
              </w:rPr>
              <w:t xml:space="preserve">Administration of licensing framework </w:t>
            </w:r>
          </w:p>
        </w:tc>
        <w:tc>
          <w:tcPr>
            <w:tcW w:w="2264" w:type="pct"/>
            <w:tcBorders>
              <w:top w:val="single" w:sz="8" w:space="0" w:color="D1D1D1" w:themeColor="background2"/>
              <w:bottom w:val="single" w:sz="8" w:space="0" w:color="D1D1D1" w:themeColor="background2"/>
            </w:tcBorders>
            <w:vAlign w:val="center"/>
          </w:tcPr>
          <w:p w14:paraId="2997FDBF" w14:textId="77777777" w:rsidR="006F1AF7" w:rsidRPr="009D0A4A" w:rsidRDefault="006F1AF7" w:rsidP="007012B9">
            <w:pPr>
              <w:spacing w:before="60" w:after="60"/>
              <w:jc w:val="center"/>
              <w:rPr>
                <w:rFonts w:ascii="Arial" w:hAnsi="Arial" w:cs="Arial"/>
                <w:sz w:val="18"/>
                <w:szCs w:val="18"/>
              </w:rPr>
            </w:pPr>
            <w:r w:rsidRPr="009D0A4A">
              <w:rPr>
                <w:rFonts w:ascii="Calibri" w:hAnsi="Calibri" w:cs="Calibri"/>
                <w:color w:val="262626"/>
                <w:sz w:val="18"/>
                <w:szCs w:val="18"/>
              </w:rPr>
              <w:t>$4.75</w:t>
            </w:r>
          </w:p>
        </w:tc>
      </w:tr>
      <w:tr w:rsidR="006F1AF7" w:rsidRPr="009D0A4A" w14:paraId="03FC35DA" w14:textId="77777777" w:rsidTr="00AF6E84">
        <w:trPr>
          <w:trHeight w:val="408"/>
        </w:trPr>
        <w:tc>
          <w:tcPr>
            <w:tcW w:w="2736" w:type="pct"/>
            <w:tcBorders>
              <w:top w:val="single" w:sz="8" w:space="0" w:color="D1D1D1" w:themeColor="background2"/>
              <w:bottom w:val="single" w:sz="8" w:space="0" w:color="D1D1D1" w:themeColor="background2"/>
            </w:tcBorders>
            <w:vAlign w:val="center"/>
          </w:tcPr>
          <w:p w14:paraId="3EA34620" w14:textId="55B75B65" w:rsidR="006F1AF7" w:rsidRPr="009D0A4A" w:rsidRDefault="006F1AF7" w:rsidP="007012B9">
            <w:pPr>
              <w:spacing w:before="60" w:after="60"/>
              <w:rPr>
                <w:rFonts w:cstheme="minorHAnsi"/>
                <w:sz w:val="18"/>
                <w:szCs w:val="18"/>
              </w:rPr>
            </w:pPr>
            <w:r w:rsidRPr="009D0A4A">
              <w:rPr>
                <w:rFonts w:cstheme="minorHAnsi"/>
                <w:sz w:val="18"/>
                <w:szCs w:val="18"/>
              </w:rPr>
              <w:t>Processing of licen</w:t>
            </w:r>
            <w:r w:rsidR="001165D9" w:rsidRPr="009D0A4A">
              <w:rPr>
                <w:rFonts w:cstheme="minorHAnsi"/>
                <w:sz w:val="18"/>
                <w:szCs w:val="18"/>
              </w:rPr>
              <w:t>c</w:t>
            </w:r>
            <w:r w:rsidRPr="009D0A4A">
              <w:rPr>
                <w:rFonts w:cstheme="minorHAnsi"/>
                <w:sz w:val="18"/>
                <w:szCs w:val="18"/>
              </w:rPr>
              <w:t>es</w:t>
            </w:r>
          </w:p>
        </w:tc>
        <w:tc>
          <w:tcPr>
            <w:tcW w:w="2264" w:type="pct"/>
            <w:tcBorders>
              <w:top w:val="single" w:sz="8" w:space="0" w:color="D1D1D1" w:themeColor="background2"/>
              <w:bottom w:val="single" w:sz="8" w:space="0" w:color="D1D1D1" w:themeColor="background2"/>
            </w:tcBorders>
            <w:vAlign w:val="center"/>
          </w:tcPr>
          <w:p w14:paraId="18C62167" w14:textId="77777777" w:rsidR="006F1AF7" w:rsidRPr="009D0A4A" w:rsidRDefault="006F1AF7" w:rsidP="007012B9">
            <w:pPr>
              <w:spacing w:before="60" w:after="60"/>
              <w:jc w:val="center"/>
              <w:rPr>
                <w:rFonts w:ascii="Arial" w:hAnsi="Arial" w:cs="Arial"/>
                <w:sz w:val="18"/>
                <w:szCs w:val="18"/>
              </w:rPr>
            </w:pPr>
            <w:r w:rsidRPr="009D0A4A">
              <w:rPr>
                <w:rFonts w:ascii="Calibri" w:hAnsi="Calibri" w:cs="Calibri"/>
                <w:color w:val="262626"/>
                <w:sz w:val="18"/>
                <w:szCs w:val="18"/>
              </w:rPr>
              <w:t>$4.63</w:t>
            </w:r>
          </w:p>
        </w:tc>
      </w:tr>
      <w:tr w:rsidR="006F1AF7" w:rsidRPr="009D0A4A" w14:paraId="2F1B8EA2" w14:textId="77777777" w:rsidTr="00AF6E84">
        <w:trPr>
          <w:trHeight w:val="401"/>
        </w:trPr>
        <w:tc>
          <w:tcPr>
            <w:tcW w:w="2736" w:type="pct"/>
            <w:tcBorders>
              <w:top w:val="single" w:sz="8" w:space="0" w:color="D1D1D1" w:themeColor="background2"/>
              <w:bottom w:val="single" w:sz="8" w:space="0" w:color="D1D1D1" w:themeColor="background2"/>
            </w:tcBorders>
            <w:vAlign w:val="center"/>
          </w:tcPr>
          <w:p w14:paraId="7DAA9FF8" w14:textId="77777777" w:rsidR="006F1AF7" w:rsidRPr="009D0A4A" w:rsidRDefault="006F1AF7" w:rsidP="007012B9">
            <w:pPr>
              <w:spacing w:before="60" w:after="60"/>
              <w:rPr>
                <w:rFonts w:cstheme="minorHAnsi"/>
                <w:sz w:val="18"/>
                <w:szCs w:val="18"/>
              </w:rPr>
            </w:pPr>
            <w:r w:rsidRPr="009D0A4A">
              <w:rPr>
                <w:rFonts w:cstheme="minorHAnsi"/>
                <w:sz w:val="18"/>
                <w:szCs w:val="18"/>
              </w:rPr>
              <w:t>Compliance and enforcement</w:t>
            </w:r>
          </w:p>
        </w:tc>
        <w:tc>
          <w:tcPr>
            <w:tcW w:w="2264" w:type="pct"/>
            <w:tcBorders>
              <w:top w:val="single" w:sz="8" w:space="0" w:color="D1D1D1" w:themeColor="background2"/>
              <w:bottom w:val="single" w:sz="8" w:space="0" w:color="D1D1D1" w:themeColor="background2"/>
            </w:tcBorders>
            <w:vAlign w:val="center"/>
          </w:tcPr>
          <w:p w14:paraId="15C7DAA4" w14:textId="3A5592A8" w:rsidR="006F1AF7" w:rsidRPr="009D0A4A" w:rsidRDefault="006F1AF7" w:rsidP="007012B9">
            <w:pPr>
              <w:spacing w:before="60" w:after="60"/>
              <w:jc w:val="center"/>
              <w:rPr>
                <w:rFonts w:ascii="Arial" w:hAnsi="Arial" w:cs="Arial"/>
                <w:sz w:val="18"/>
                <w:szCs w:val="18"/>
              </w:rPr>
            </w:pPr>
            <w:r w:rsidRPr="009D0A4A">
              <w:rPr>
                <w:rFonts w:ascii="Calibri" w:hAnsi="Calibri" w:cs="Calibri"/>
                <w:color w:val="262626"/>
                <w:sz w:val="18"/>
                <w:szCs w:val="18"/>
              </w:rPr>
              <w:t>$8.</w:t>
            </w:r>
            <w:r w:rsidR="00EE2E1C" w:rsidRPr="009D0A4A">
              <w:rPr>
                <w:rFonts w:ascii="Calibri" w:hAnsi="Calibri" w:cs="Calibri"/>
                <w:color w:val="262626"/>
                <w:sz w:val="18"/>
                <w:szCs w:val="18"/>
              </w:rPr>
              <w:t>65</w:t>
            </w:r>
          </w:p>
        </w:tc>
      </w:tr>
      <w:tr w:rsidR="006F1AF7" w:rsidRPr="009D0A4A" w14:paraId="5CADC345" w14:textId="77777777" w:rsidTr="00AF6E84">
        <w:trPr>
          <w:trHeight w:val="401"/>
        </w:trPr>
        <w:tc>
          <w:tcPr>
            <w:tcW w:w="2736"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4F3BBA83" w14:textId="77777777" w:rsidR="006F1AF7" w:rsidRPr="009D0A4A" w:rsidRDefault="006F1AF7" w:rsidP="00AF6E84">
            <w:pPr>
              <w:spacing w:after="60"/>
              <w:rPr>
                <w:rFonts w:cstheme="minorHAnsi"/>
                <w:b/>
                <w:bCs/>
                <w:sz w:val="18"/>
                <w:szCs w:val="18"/>
              </w:rPr>
            </w:pPr>
            <w:r w:rsidRPr="009D0A4A">
              <w:rPr>
                <w:rFonts w:cstheme="minorHAnsi"/>
                <w:b/>
                <w:bCs/>
                <w:sz w:val="18"/>
                <w:szCs w:val="18"/>
              </w:rPr>
              <w:t>T</w:t>
            </w:r>
            <w:r w:rsidRPr="009D0A4A">
              <w:rPr>
                <w:b/>
                <w:bCs/>
                <w:sz w:val="18"/>
                <w:szCs w:val="18"/>
              </w:rPr>
              <w:t>otal</w:t>
            </w:r>
          </w:p>
        </w:tc>
        <w:tc>
          <w:tcPr>
            <w:tcW w:w="2264"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416F0F61" w14:textId="344B82D6" w:rsidR="006F1AF7" w:rsidRPr="009D0A4A" w:rsidRDefault="006F1AF7" w:rsidP="00AF6E84">
            <w:pPr>
              <w:spacing w:after="60"/>
              <w:jc w:val="center"/>
              <w:rPr>
                <w:rFonts w:cstheme="minorHAnsi"/>
                <w:b/>
                <w:bCs/>
                <w:sz w:val="18"/>
                <w:szCs w:val="18"/>
              </w:rPr>
            </w:pPr>
            <w:r w:rsidRPr="009D0A4A">
              <w:rPr>
                <w:rFonts w:ascii="Calibri" w:hAnsi="Calibri" w:cs="Calibri"/>
                <w:b/>
                <w:bCs/>
                <w:color w:val="262626"/>
                <w:sz w:val="18"/>
                <w:szCs w:val="18"/>
              </w:rPr>
              <w:t>$</w:t>
            </w:r>
            <w:r w:rsidR="007A7BBE" w:rsidRPr="009D0A4A">
              <w:rPr>
                <w:rFonts w:ascii="Calibri" w:hAnsi="Calibri" w:cs="Calibri"/>
                <w:b/>
                <w:bCs/>
                <w:color w:val="262626"/>
                <w:sz w:val="18"/>
                <w:szCs w:val="18"/>
              </w:rPr>
              <w:t>18</w:t>
            </w:r>
            <w:r w:rsidR="001076E2" w:rsidRPr="009D0A4A">
              <w:rPr>
                <w:rFonts w:ascii="Calibri" w:hAnsi="Calibri" w:cs="Calibri"/>
                <w:b/>
                <w:bCs/>
                <w:color w:val="262626"/>
                <w:sz w:val="18"/>
                <w:szCs w:val="18"/>
              </w:rPr>
              <w:t>.</w:t>
            </w:r>
            <w:r w:rsidR="007A7BBE" w:rsidRPr="009D0A4A">
              <w:rPr>
                <w:rFonts w:ascii="Calibri" w:hAnsi="Calibri" w:cs="Calibri"/>
                <w:b/>
                <w:bCs/>
                <w:color w:val="262626"/>
                <w:sz w:val="18"/>
                <w:szCs w:val="18"/>
              </w:rPr>
              <w:t>14</w:t>
            </w:r>
          </w:p>
        </w:tc>
      </w:tr>
    </w:tbl>
    <w:p w14:paraId="11290F67" w14:textId="3E8950A9" w:rsidR="006F1AF7" w:rsidRPr="009D0A4A" w:rsidRDefault="006F1AF7" w:rsidP="0030750F">
      <w:pPr>
        <w:pStyle w:val="Heading3"/>
      </w:pPr>
      <w:r w:rsidRPr="009D0A4A">
        <w:t>Option 5a</w:t>
      </w:r>
      <w:r w:rsidR="00D14CC1" w:rsidRPr="009D0A4A">
        <w:t>:</w:t>
      </w:r>
      <w:r w:rsidRPr="009D0A4A">
        <w:t xml:space="preserve"> Additional regulation of defined high risk crystalline silica processes </w:t>
      </w:r>
    </w:p>
    <w:p w14:paraId="6F409405" w14:textId="77777777" w:rsidR="006F1AF7" w:rsidRPr="009D0A4A" w:rsidRDefault="006F1AF7" w:rsidP="0030750F">
      <w:pPr>
        <w:pStyle w:val="Heading4"/>
      </w:pPr>
      <w:r w:rsidRPr="009D0A4A">
        <w:t xml:space="preserve">Costs to industry </w:t>
      </w:r>
    </w:p>
    <w:p w14:paraId="1B7B6719" w14:textId="5049CD9D" w:rsidR="006F1AF7" w:rsidRPr="009D0A4A" w:rsidRDefault="006F1AF7" w:rsidP="007012B9">
      <w:pPr>
        <w:pStyle w:val="BodyText"/>
        <w:jc w:val="both"/>
        <w:rPr>
          <w:rFonts w:cstheme="minorHAnsi"/>
        </w:rPr>
      </w:pPr>
      <w:r w:rsidRPr="009D0A4A">
        <w:rPr>
          <w:rFonts w:cstheme="minorHAnsi"/>
        </w:rPr>
        <w:t xml:space="preserve">Additional costs incurred by industry beyond the base case for Option 5a include labour for the preparation of </w:t>
      </w:r>
      <w:r w:rsidR="001076E2" w:rsidRPr="009D0A4A">
        <w:rPr>
          <w:rFonts w:cstheme="minorHAnsi"/>
        </w:rPr>
        <w:t xml:space="preserve">risk assessments and </w:t>
      </w:r>
      <w:r w:rsidRPr="009D0A4A">
        <w:rPr>
          <w:rFonts w:cstheme="minorHAnsi"/>
        </w:rPr>
        <w:t xml:space="preserve">a control and implementation plan, </w:t>
      </w:r>
      <w:r w:rsidR="006271DB" w:rsidRPr="009D0A4A">
        <w:rPr>
          <w:rFonts w:cstheme="minorHAnsi"/>
        </w:rPr>
        <w:t xml:space="preserve">and </w:t>
      </w:r>
      <w:r w:rsidRPr="009D0A4A">
        <w:rPr>
          <w:rFonts w:cstheme="minorHAnsi"/>
        </w:rPr>
        <w:t>submission of air and health monitoring reports to WHS regulators.</w:t>
      </w:r>
    </w:p>
    <w:p w14:paraId="682EF77B" w14:textId="54B700A8" w:rsidR="006F1AF7" w:rsidRDefault="006F1AF7" w:rsidP="007012B9">
      <w:pPr>
        <w:pStyle w:val="BodyText"/>
        <w:jc w:val="both"/>
        <w:rPr>
          <w:rFonts w:cstheme="minorHAnsi"/>
        </w:rPr>
      </w:pPr>
      <w:r w:rsidRPr="009D0A4A">
        <w:rPr>
          <w:rFonts w:cstheme="minorHAnsi"/>
        </w:rPr>
        <w:t xml:space="preserve">The total estimated </w:t>
      </w:r>
      <w:r w:rsidR="004E3629" w:rsidRPr="009D0A4A">
        <w:rPr>
          <w:rFonts w:cstheme="minorHAnsi"/>
        </w:rPr>
        <w:t>net present cost</w:t>
      </w:r>
      <w:r w:rsidRPr="009D0A4A">
        <w:rPr>
          <w:rFonts w:cstheme="minorHAnsi"/>
        </w:rPr>
        <w:t xml:space="preserve"> over a </w:t>
      </w:r>
      <w:r w:rsidR="004E3629" w:rsidRPr="009D0A4A">
        <w:rPr>
          <w:rFonts w:cstheme="minorHAnsi"/>
        </w:rPr>
        <w:t>10-year</w:t>
      </w:r>
      <w:r w:rsidRPr="009D0A4A">
        <w:rPr>
          <w:rFonts w:cstheme="minorHAnsi"/>
        </w:rPr>
        <w:t xml:space="preserve"> period is presented in</w:t>
      </w:r>
      <w:r w:rsidR="0047326B" w:rsidRPr="009D0A4A">
        <w:rPr>
          <w:rFonts w:cstheme="minorHAnsi"/>
        </w:rPr>
        <w:t xml:space="preserve"> Table </w:t>
      </w:r>
      <w:r w:rsidR="005C2BA7" w:rsidRPr="009D0A4A">
        <w:rPr>
          <w:rFonts w:cstheme="minorHAnsi"/>
        </w:rPr>
        <w:t>1</w:t>
      </w:r>
      <w:r w:rsidR="003F5102" w:rsidRPr="009D0A4A">
        <w:rPr>
          <w:rFonts w:cstheme="minorHAnsi"/>
        </w:rPr>
        <w:t>7</w:t>
      </w:r>
      <w:r w:rsidRPr="009D0A4A">
        <w:rPr>
          <w:rFonts w:cstheme="minorHAnsi"/>
        </w:rPr>
        <w:t>.</w:t>
      </w:r>
    </w:p>
    <w:p w14:paraId="0BA1109D" w14:textId="77777777" w:rsidR="00D6298E" w:rsidRPr="009D0A4A" w:rsidRDefault="00D6298E" w:rsidP="007012B9">
      <w:pPr>
        <w:pStyle w:val="BodyText"/>
        <w:jc w:val="both"/>
        <w:rPr>
          <w:rFonts w:cstheme="minorHAnsi"/>
        </w:rPr>
      </w:pPr>
    </w:p>
    <w:p w14:paraId="6CD91BDF" w14:textId="1B979508" w:rsidR="006F1AF7" w:rsidRPr="009D0A4A" w:rsidRDefault="0047326B" w:rsidP="006F1AF7">
      <w:pPr>
        <w:pStyle w:val="Caption"/>
      </w:pPr>
      <w:r w:rsidRPr="009D0A4A">
        <w:lastRenderedPageBreak/>
        <w:t xml:space="preserve">Table </w:t>
      </w:r>
      <w:r w:rsidR="005C2BA7" w:rsidRPr="009D0A4A">
        <w:t>1</w:t>
      </w:r>
      <w:r w:rsidR="003F5102" w:rsidRPr="009D0A4A">
        <w:t>7</w:t>
      </w:r>
      <w:r w:rsidR="006F1AF7" w:rsidRPr="009D0A4A">
        <w:t>: Net present cost to industry of additional regulation of defined high risk crystalline silica processes for industry (Option 5a) over 10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4710"/>
      </w:tblGrid>
      <w:tr w:rsidR="006F1AF7" w:rsidRPr="009D0A4A" w14:paraId="6081AEFC" w14:textId="77777777" w:rsidTr="00AF6E84">
        <w:trPr>
          <w:trHeight w:val="104"/>
          <w:tblHeader/>
        </w:trPr>
        <w:tc>
          <w:tcPr>
            <w:tcW w:w="2692" w:type="pct"/>
            <w:shd w:val="clear" w:color="auto" w:fill="D1D1D1" w:themeFill="background2"/>
            <w:vAlign w:val="center"/>
          </w:tcPr>
          <w:p w14:paraId="600F3352" w14:textId="77777777" w:rsidR="006F1AF7" w:rsidRPr="009D0A4A" w:rsidRDefault="006F1AF7" w:rsidP="007012B9">
            <w:pPr>
              <w:spacing w:before="60" w:after="60"/>
              <w:rPr>
                <w:rStyle w:val="Strong"/>
                <w:rFonts w:asciiTheme="majorHAnsi" w:hAnsiTheme="majorHAnsi" w:cstheme="minorHAnsi"/>
                <w:b w:val="0"/>
                <w:sz w:val="18"/>
                <w:szCs w:val="18"/>
              </w:rPr>
            </w:pPr>
            <w:r w:rsidRPr="009D0A4A">
              <w:rPr>
                <w:rStyle w:val="Strong"/>
                <w:rFonts w:asciiTheme="majorHAnsi" w:hAnsiTheme="majorHAnsi" w:cstheme="minorHAnsi"/>
                <w:sz w:val="18"/>
                <w:szCs w:val="18"/>
              </w:rPr>
              <w:t>Cost</w:t>
            </w:r>
          </w:p>
        </w:tc>
        <w:tc>
          <w:tcPr>
            <w:tcW w:w="2308" w:type="pct"/>
            <w:shd w:val="clear" w:color="auto" w:fill="D1D1D1" w:themeFill="background2"/>
          </w:tcPr>
          <w:p w14:paraId="4230ADA0" w14:textId="25225669" w:rsidR="006F1AF7" w:rsidRPr="009D0A4A" w:rsidRDefault="00BD31D8" w:rsidP="007012B9">
            <w:pPr>
              <w:spacing w:before="60" w:after="60"/>
              <w:rPr>
                <w:rStyle w:val="Strong"/>
                <w:rFonts w:asciiTheme="majorHAnsi" w:hAnsiTheme="majorHAnsi" w:cstheme="minorHAnsi"/>
                <w:sz w:val="18"/>
                <w:szCs w:val="18"/>
              </w:rPr>
            </w:pPr>
            <w:r w:rsidRPr="009D0A4A">
              <w:rPr>
                <w:rStyle w:val="Strong"/>
                <w:rFonts w:asciiTheme="majorHAnsi" w:hAnsiTheme="majorHAnsi" w:cstheme="minorHAnsi"/>
                <w:sz w:val="18"/>
                <w:szCs w:val="18"/>
              </w:rPr>
              <w:t xml:space="preserve">Net present cost over </w:t>
            </w:r>
            <w:r w:rsidR="004E3629" w:rsidRPr="009D0A4A">
              <w:rPr>
                <w:rStyle w:val="Strong"/>
                <w:rFonts w:asciiTheme="majorHAnsi" w:hAnsiTheme="majorHAnsi" w:cstheme="minorHAnsi"/>
                <w:sz w:val="18"/>
                <w:szCs w:val="18"/>
              </w:rPr>
              <w:t>10-year</w:t>
            </w:r>
            <w:r w:rsidRPr="009D0A4A">
              <w:rPr>
                <w:rStyle w:val="Strong"/>
                <w:rFonts w:asciiTheme="majorHAnsi" w:hAnsiTheme="majorHAnsi" w:cstheme="minorHAnsi"/>
                <w:sz w:val="18"/>
                <w:szCs w:val="18"/>
              </w:rPr>
              <w:t xml:space="preserve"> period ($m)</w:t>
            </w:r>
          </w:p>
        </w:tc>
      </w:tr>
      <w:tr w:rsidR="006F1AF7" w:rsidRPr="009D0A4A" w14:paraId="047809E7" w14:textId="77777777" w:rsidTr="00AF6E84">
        <w:trPr>
          <w:trHeight w:val="196"/>
        </w:trPr>
        <w:tc>
          <w:tcPr>
            <w:tcW w:w="2692" w:type="pct"/>
            <w:tcBorders>
              <w:bottom w:val="single" w:sz="8" w:space="0" w:color="D1D1D1" w:themeColor="background2"/>
            </w:tcBorders>
            <w:vAlign w:val="center"/>
          </w:tcPr>
          <w:p w14:paraId="6A22EDE9" w14:textId="2A57359C" w:rsidR="006F1AF7" w:rsidRPr="009D0A4A" w:rsidRDefault="001165D9" w:rsidP="007012B9">
            <w:pPr>
              <w:spacing w:before="60" w:after="60"/>
              <w:rPr>
                <w:rFonts w:cstheme="minorHAnsi"/>
                <w:sz w:val="18"/>
                <w:szCs w:val="18"/>
              </w:rPr>
            </w:pPr>
            <w:r w:rsidRPr="009D0A4A">
              <w:rPr>
                <w:rFonts w:cstheme="minorHAnsi"/>
                <w:sz w:val="18"/>
                <w:szCs w:val="18"/>
              </w:rPr>
              <w:t>Preparation and maintenance of a r</w:t>
            </w:r>
            <w:r w:rsidR="006F1AF7" w:rsidRPr="009D0A4A">
              <w:rPr>
                <w:rFonts w:cstheme="minorHAnsi"/>
                <w:sz w:val="18"/>
                <w:szCs w:val="18"/>
              </w:rPr>
              <w:t xml:space="preserve">isk assessment </w:t>
            </w:r>
          </w:p>
        </w:tc>
        <w:tc>
          <w:tcPr>
            <w:tcW w:w="2308" w:type="pct"/>
            <w:tcBorders>
              <w:bottom w:val="single" w:sz="8" w:space="0" w:color="D1D1D1" w:themeColor="background2"/>
            </w:tcBorders>
            <w:vAlign w:val="center"/>
          </w:tcPr>
          <w:p w14:paraId="590DE0DB" w14:textId="77777777" w:rsidR="006F1AF7" w:rsidRPr="009D0A4A" w:rsidRDefault="006F1AF7" w:rsidP="007012B9">
            <w:pPr>
              <w:spacing w:before="60" w:after="60"/>
              <w:jc w:val="center"/>
              <w:rPr>
                <w:rFonts w:cstheme="minorHAnsi"/>
                <w:sz w:val="18"/>
                <w:szCs w:val="18"/>
              </w:rPr>
            </w:pPr>
            <w:r w:rsidRPr="009D0A4A">
              <w:rPr>
                <w:rFonts w:ascii="Calibri" w:hAnsi="Calibri" w:cs="Calibri"/>
                <w:color w:val="262626"/>
                <w:sz w:val="18"/>
                <w:szCs w:val="18"/>
              </w:rPr>
              <w:t>$78.46</w:t>
            </w:r>
          </w:p>
        </w:tc>
      </w:tr>
      <w:tr w:rsidR="006F1AF7" w:rsidRPr="009D0A4A" w14:paraId="2088E08A" w14:textId="77777777" w:rsidTr="00AF6E84">
        <w:trPr>
          <w:trHeight w:val="196"/>
        </w:trPr>
        <w:tc>
          <w:tcPr>
            <w:tcW w:w="2692" w:type="pct"/>
            <w:tcBorders>
              <w:bottom w:val="single" w:sz="8" w:space="0" w:color="D1D1D1" w:themeColor="background2"/>
            </w:tcBorders>
            <w:vAlign w:val="center"/>
          </w:tcPr>
          <w:p w14:paraId="0C209C51" w14:textId="6EB05B97" w:rsidR="006F1AF7" w:rsidRPr="009D0A4A" w:rsidRDefault="001165D9" w:rsidP="007012B9">
            <w:pPr>
              <w:spacing w:before="60" w:after="60"/>
              <w:rPr>
                <w:rFonts w:cstheme="minorHAnsi"/>
                <w:sz w:val="18"/>
                <w:szCs w:val="18"/>
              </w:rPr>
            </w:pPr>
            <w:r w:rsidRPr="009D0A4A">
              <w:rPr>
                <w:rFonts w:cstheme="minorHAnsi"/>
                <w:sz w:val="18"/>
                <w:szCs w:val="18"/>
              </w:rPr>
              <w:t>Preparation and maintenance of a s</w:t>
            </w:r>
            <w:r w:rsidR="006F1AF7" w:rsidRPr="009D0A4A">
              <w:rPr>
                <w:rFonts w:cstheme="minorHAnsi"/>
                <w:sz w:val="18"/>
                <w:szCs w:val="18"/>
              </w:rPr>
              <w:t xml:space="preserve">ilica risk control plan </w:t>
            </w:r>
          </w:p>
        </w:tc>
        <w:tc>
          <w:tcPr>
            <w:tcW w:w="2308" w:type="pct"/>
            <w:tcBorders>
              <w:bottom w:val="single" w:sz="8" w:space="0" w:color="D1D1D1" w:themeColor="background2"/>
            </w:tcBorders>
            <w:vAlign w:val="center"/>
          </w:tcPr>
          <w:p w14:paraId="5A198825" w14:textId="77777777" w:rsidR="006F1AF7" w:rsidRPr="009D0A4A" w:rsidRDefault="006F1AF7" w:rsidP="007012B9">
            <w:pPr>
              <w:spacing w:before="60" w:after="60"/>
              <w:jc w:val="center"/>
              <w:rPr>
                <w:rFonts w:cstheme="minorHAnsi"/>
                <w:sz w:val="18"/>
                <w:szCs w:val="18"/>
              </w:rPr>
            </w:pPr>
            <w:r w:rsidRPr="009D0A4A">
              <w:rPr>
                <w:rFonts w:ascii="Calibri" w:hAnsi="Calibri" w:cs="Calibri"/>
                <w:color w:val="262626"/>
                <w:sz w:val="18"/>
                <w:szCs w:val="18"/>
              </w:rPr>
              <w:t>$14.82</w:t>
            </w:r>
          </w:p>
        </w:tc>
      </w:tr>
      <w:tr w:rsidR="006F1AF7" w:rsidRPr="009D0A4A" w14:paraId="3B2E021E" w14:textId="77777777" w:rsidTr="00AF6E84">
        <w:trPr>
          <w:trHeight w:val="196"/>
        </w:trPr>
        <w:tc>
          <w:tcPr>
            <w:tcW w:w="2692" w:type="pct"/>
            <w:tcBorders>
              <w:top w:val="single" w:sz="8" w:space="0" w:color="D1D1D1" w:themeColor="background2"/>
              <w:bottom w:val="single" w:sz="8" w:space="0" w:color="D1D1D1" w:themeColor="background2"/>
            </w:tcBorders>
            <w:vAlign w:val="center"/>
          </w:tcPr>
          <w:p w14:paraId="3E1AD397" w14:textId="77777777" w:rsidR="006F1AF7" w:rsidRPr="009D0A4A" w:rsidRDefault="006F1AF7" w:rsidP="007012B9">
            <w:pPr>
              <w:spacing w:before="60" w:after="60"/>
              <w:rPr>
                <w:rFonts w:cstheme="minorHAnsi"/>
                <w:sz w:val="18"/>
                <w:szCs w:val="18"/>
              </w:rPr>
            </w:pPr>
            <w:r w:rsidRPr="009D0A4A">
              <w:rPr>
                <w:rFonts w:cstheme="minorHAnsi"/>
                <w:sz w:val="18"/>
                <w:szCs w:val="18"/>
              </w:rPr>
              <w:t>Health monitoring – provision of report to regulators</w:t>
            </w:r>
          </w:p>
        </w:tc>
        <w:tc>
          <w:tcPr>
            <w:tcW w:w="2308" w:type="pct"/>
            <w:tcBorders>
              <w:top w:val="single" w:sz="8" w:space="0" w:color="D1D1D1" w:themeColor="background2"/>
              <w:bottom w:val="single" w:sz="8" w:space="0" w:color="D1D1D1" w:themeColor="background2"/>
            </w:tcBorders>
            <w:vAlign w:val="center"/>
          </w:tcPr>
          <w:p w14:paraId="2634304F" w14:textId="77777777" w:rsidR="006F1AF7" w:rsidRPr="009D0A4A" w:rsidRDefault="006F1AF7" w:rsidP="007012B9">
            <w:pPr>
              <w:spacing w:before="60" w:after="60"/>
              <w:jc w:val="center"/>
              <w:rPr>
                <w:rFonts w:cstheme="minorHAnsi"/>
                <w:sz w:val="18"/>
                <w:szCs w:val="18"/>
              </w:rPr>
            </w:pPr>
            <w:r w:rsidRPr="009D0A4A">
              <w:rPr>
                <w:rFonts w:ascii="Calibri" w:hAnsi="Calibri" w:cs="Calibri"/>
                <w:color w:val="262626"/>
                <w:sz w:val="18"/>
                <w:szCs w:val="18"/>
              </w:rPr>
              <w:t>$50.79</w:t>
            </w:r>
          </w:p>
        </w:tc>
      </w:tr>
      <w:tr w:rsidR="006F1AF7" w:rsidRPr="009D0A4A" w14:paraId="16367C0D" w14:textId="77777777" w:rsidTr="00AF6E84">
        <w:trPr>
          <w:trHeight w:val="196"/>
        </w:trPr>
        <w:tc>
          <w:tcPr>
            <w:tcW w:w="2692" w:type="pct"/>
            <w:tcBorders>
              <w:top w:val="single" w:sz="8" w:space="0" w:color="D1D1D1" w:themeColor="background2"/>
              <w:bottom w:val="single" w:sz="8" w:space="0" w:color="D1D1D1" w:themeColor="background2"/>
            </w:tcBorders>
            <w:vAlign w:val="center"/>
          </w:tcPr>
          <w:p w14:paraId="6F14144F" w14:textId="77777777" w:rsidR="006F1AF7" w:rsidRPr="009D0A4A" w:rsidRDefault="006F1AF7" w:rsidP="007012B9">
            <w:pPr>
              <w:spacing w:before="60" w:after="60"/>
              <w:rPr>
                <w:rFonts w:cstheme="minorHAnsi"/>
                <w:sz w:val="18"/>
                <w:szCs w:val="18"/>
              </w:rPr>
            </w:pPr>
            <w:r w:rsidRPr="009D0A4A">
              <w:rPr>
                <w:rFonts w:cstheme="minorHAnsi"/>
                <w:sz w:val="18"/>
                <w:szCs w:val="18"/>
              </w:rPr>
              <w:t xml:space="preserve">Air monitoring – provision of report to regulators </w:t>
            </w:r>
          </w:p>
        </w:tc>
        <w:tc>
          <w:tcPr>
            <w:tcW w:w="2308" w:type="pct"/>
            <w:tcBorders>
              <w:top w:val="single" w:sz="8" w:space="0" w:color="D1D1D1" w:themeColor="background2"/>
              <w:bottom w:val="single" w:sz="8" w:space="0" w:color="D1D1D1" w:themeColor="background2"/>
            </w:tcBorders>
            <w:vAlign w:val="center"/>
          </w:tcPr>
          <w:p w14:paraId="705C0B9D" w14:textId="77777777" w:rsidR="006F1AF7" w:rsidRPr="009D0A4A" w:rsidRDefault="006F1AF7" w:rsidP="007012B9">
            <w:pPr>
              <w:spacing w:before="60" w:after="60"/>
              <w:jc w:val="center"/>
              <w:rPr>
                <w:rFonts w:cstheme="minorHAnsi"/>
                <w:sz w:val="18"/>
                <w:szCs w:val="18"/>
              </w:rPr>
            </w:pPr>
            <w:r w:rsidRPr="009D0A4A">
              <w:rPr>
                <w:rFonts w:ascii="Calibri" w:hAnsi="Calibri" w:cs="Calibri"/>
                <w:color w:val="262626"/>
                <w:sz w:val="18"/>
                <w:szCs w:val="18"/>
              </w:rPr>
              <w:t>$50.79</w:t>
            </w:r>
          </w:p>
        </w:tc>
      </w:tr>
      <w:tr w:rsidR="006F1AF7" w:rsidRPr="009D0A4A" w14:paraId="0C20511C" w14:textId="77777777" w:rsidTr="00AF6E84">
        <w:trPr>
          <w:trHeight w:val="196"/>
        </w:trPr>
        <w:tc>
          <w:tcPr>
            <w:tcW w:w="2692"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4341B57F" w14:textId="77777777" w:rsidR="006F1AF7" w:rsidRPr="009D0A4A" w:rsidRDefault="006F1AF7" w:rsidP="00AF6E84">
            <w:pPr>
              <w:spacing w:after="60"/>
              <w:rPr>
                <w:rFonts w:cstheme="minorHAnsi"/>
                <w:b/>
                <w:bCs/>
                <w:sz w:val="18"/>
                <w:szCs w:val="18"/>
              </w:rPr>
            </w:pPr>
            <w:r w:rsidRPr="009D0A4A">
              <w:rPr>
                <w:rFonts w:cstheme="minorHAnsi"/>
                <w:b/>
                <w:bCs/>
                <w:sz w:val="18"/>
                <w:szCs w:val="18"/>
              </w:rPr>
              <w:t>Total</w:t>
            </w:r>
          </w:p>
        </w:tc>
        <w:tc>
          <w:tcPr>
            <w:tcW w:w="2308"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4ADC9A82" w14:textId="77777777" w:rsidR="006F1AF7" w:rsidRPr="009D0A4A" w:rsidRDefault="006F1AF7" w:rsidP="00AF6E84">
            <w:pPr>
              <w:spacing w:after="60"/>
              <w:jc w:val="center"/>
              <w:rPr>
                <w:rFonts w:cstheme="minorHAnsi"/>
                <w:b/>
                <w:bCs/>
                <w:sz w:val="18"/>
                <w:szCs w:val="18"/>
              </w:rPr>
            </w:pPr>
            <w:r w:rsidRPr="009D0A4A">
              <w:rPr>
                <w:rFonts w:ascii="Calibri" w:hAnsi="Calibri" w:cs="Calibri"/>
                <w:b/>
                <w:bCs/>
                <w:color w:val="262626"/>
                <w:sz w:val="18"/>
                <w:szCs w:val="18"/>
              </w:rPr>
              <w:t>$194.86</w:t>
            </w:r>
          </w:p>
        </w:tc>
      </w:tr>
    </w:tbl>
    <w:p w14:paraId="4ED45784" w14:textId="7901EACD" w:rsidR="006F1AF7" w:rsidRPr="009D0A4A" w:rsidRDefault="006F1AF7" w:rsidP="0030750F">
      <w:pPr>
        <w:pStyle w:val="Heading4"/>
      </w:pPr>
      <w:r w:rsidRPr="009D0A4A">
        <w:t>Costs to government</w:t>
      </w:r>
    </w:p>
    <w:p w14:paraId="432E5392" w14:textId="64371CC7" w:rsidR="006F1AF7" w:rsidRPr="009D0A4A" w:rsidRDefault="006F1AF7" w:rsidP="007012B9">
      <w:pPr>
        <w:pStyle w:val="BodyText"/>
        <w:jc w:val="both"/>
        <w:rPr>
          <w:rFonts w:cstheme="minorHAnsi"/>
        </w:rPr>
      </w:pPr>
      <w:r w:rsidRPr="009D0A4A">
        <w:rPr>
          <w:rFonts w:cstheme="minorHAnsi"/>
        </w:rPr>
        <w:t>Additional costs incurred by government over and above the requirements under the WHS laws for this option include funding for an awareness campaign on amendments to the model WHS laws.</w:t>
      </w:r>
    </w:p>
    <w:p w14:paraId="6348E21A" w14:textId="3B802992" w:rsidR="006F1AF7" w:rsidRPr="009D0A4A" w:rsidRDefault="006F1AF7" w:rsidP="007012B9">
      <w:pPr>
        <w:pStyle w:val="BodyText"/>
        <w:jc w:val="both"/>
        <w:rPr>
          <w:rFonts w:cstheme="minorHAnsi"/>
        </w:rPr>
      </w:pPr>
      <w:r w:rsidRPr="009D0A4A">
        <w:rPr>
          <w:rFonts w:cstheme="minorHAnsi"/>
        </w:rPr>
        <w:t xml:space="preserve">The total estimated net present cost over a </w:t>
      </w:r>
      <w:r w:rsidR="004E3629" w:rsidRPr="009D0A4A">
        <w:rPr>
          <w:rFonts w:cstheme="minorHAnsi"/>
        </w:rPr>
        <w:t>10-year</w:t>
      </w:r>
      <w:r w:rsidRPr="009D0A4A">
        <w:rPr>
          <w:rFonts w:cstheme="minorHAnsi"/>
        </w:rPr>
        <w:t xml:space="preserve"> period is presented in </w:t>
      </w:r>
      <w:r w:rsidR="0047326B" w:rsidRPr="009D0A4A">
        <w:rPr>
          <w:rFonts w:cstheme="minorHAnsi"/>
        </w:rPr>
        <w:t xml:space="preserve">Table </w:t>
      </w:r>
      <w:r w:rsidR="005C2BA7" w:rsidRPr="009D0A4A">
        <w:rPr>
          <w:rFonts w:cstheme="minorHAnsi"/>
        </w:rPr>
        <w:t>1</w:t>
      </w:r>
      <w:r w:rsidR="003F5102" w:rsidRPr="009D0A4A">
        <w:rPr>
          <w:rFonts w:cstheme="minorHAnsi"/>
        </w:rPr>
        <w:t>8</w:t>
      </w:r>
      <w:r w:rsidRPr="009D0A4A">
        <w:rPr>
          <w:rFonts w:cstheme="minorHAnsi"/>
        </w:rPr>
        <w:t>.</w:t>
      </w:r>
    </w:p>
    <w:p w14:paraId="7E16E605" w14:textId="4A4C5C59" w:rsidR="006F1AF7" w:rsidRPr="009D0A4A" w:rsidRDefault="0047326B" w:rsidP="006F1AF7">
      <w:pPr>
        <w:pStyle w:val="Caption"/>
      </w:pPr>
      <w:r w:rsidRPr="009D0A4A">
        <w:t xml:space="preserve">Table </w:t>
      </w:r>
      <w:r w:rsidR="005C2BA7" w:rsidRPr="009D0A4A">
        <w:t>1</w:t>
      </w:r>
      <w:r w:rsidR="003F5102" w:rsidRPr="009D0A4A">
        <w:t>8</w:t>
      </w:r>
      <w:r w:rsidRPr="009D0A4A">
        <w:t xml:space="preserve">: </w:t>
      </w:r>
      <w:r w:rsidR="006F1AF7" w:rsidRPr="009D0A4A">
        <w:t>Net present cost to government of additional regulation of defined high risk crystalline silica processes for industry (Option 5a) over 10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7"/>
        <w:gridCol w:w="3257"/>
        <w:gridCol w:w="200"/>
      </w:tblGrid>
      <w:tr w:rsidR="006F1AF7" w:rsidRPr="009D0A4A" w14:paraId="5A38C47F" w14:textId="77777777" w:rsidTr="00AF6E84">
        <w:trPr>
          <w:gridAfter w:val="1"/>
          <w:wAfter w:w="98" w:type="pct"/>
          <w:trHeight w:val="132"/>
          <w:tblHeader/>
        </w:trPr>
        <w:tc>
          <w:tcPr>
            <w:tcW w:w="3306" w:type="pct"/>
            <w:shd w:val="clear" w:color="auto" w:fill="D1D1D1" w:themeFill="background2"/>
            <w:vAlign w:val="center"/>
          </w:tcPr>
          <w:p w14:paraId="4F834135" w14:textId="77777777" w:rsidR="006F1AF7" w:rsidRPr="009D0A4A" w:rsidRDefault="006F1AF7" w:rsidP="007012B9">
            <w:pPr>
              <w:spacing w:before="60" w:after="60"/>
              <w:rPr>
                <w:rStyle w:val="Strong"/>
                <w:rFonts w:asciiTheme="majorHAnsi" w:hAnsiTheme="majorHAnsi" w:cstheme="minorHAnsi"/>
                <w:b w:val="0"/>
                <w:sz w:val="18"/>
                <w:szCs w:val="18"/>
              </w:rPr>
            </w:pPr>
            <w:r w:rsidRPr="009D0A4A">
              <w:rPr>
                <w:rStyle w:val="Strong"/>
                <w:rFonts w:asciiTheme="majorHAnsi" w:hAnsiTheme="majorHAnsi" w:cstheme="minorHAnsi"/>
                <w:sz w:val="18"/>
                <w:szCs w:val="18"/>
              </w:rPr>
              <w:t>Cost</w:t>
            </w:r>
          </w:p>
        </w:tc>
        <w:tc>
          <w:tcPr>
            <w:tcW w:w="1596" w:type="pct"/>
            <w:shd w:val="clear" w:color="auto" w:fill="D1D1D1" w:themeFill="background2"/>
          </w:tcPr>
          <w:p w14:paraId="79695D9A" w14:textId="05015955" w:rsidR="006F1AF7" w:rsidRPr="009D0A4A" w:rsidRDefault="00BD31D8" w:rsidP="007012B9">
            <w:pPr>
              <w:spacing w:before="60" w:after="60"/>
              <w:rPr>
                <w:rStyle w:val="Strong"/>
                <w:rFonts w:asciiTheme="majorHAnsi" w:hAnsiTheme="majorHAnsi" w:cstheme="minorHAnsi"/>
                <w:sz w:val="18"/>
                <w:szCs w:val="18"/>
              </w:rPr>
            </w:pPr>
            <w:r w:rsidRPr="009D0A4A">
              <w:rPr>
                <w:rStyle w:val="Strong"/>
                <w:rFonts w:asciiTheme="majorHAnsi" w:hAnsiTheme="majorHAnsi" w:cstheme="minorHAnsi"/>
                <w:sz w:val="18"/>
                <w:szCs w:val="18"/>
              </w:rPr>
              <w:t xml:space="preserve">Net present cost over </w:t>
            </w:r>
            <w:r w:rsidR="004E3629" w:rsidRPr="009D0A4A">
              <w:rPr>
                <w:rStyle w:val="Strong"/>
                <w:rFonts w:asciiTheme="majorHAnsi" w:hAnsiTheme="majorHAnsi" w:cstheme="minorHAnsi"/>
                <w:sz w:val="18"/>
                <w:szCs w:val="18"/>
              </w:rPr>
              <w:t>10-year</w:t>
            </w:r>
            <w:r w:rsidRPr="009D0A4A">
              <w:rPr>
                <w:rStyle w:val="Strong"/>
                <w:rFonts w:asciiTheme="majorHAnsi" w:hAnsiTheme="majorHAnsi" w:cstheme="minorHAnsi"/>
                <w:sz w:val="18"/>
                <w:szCs w:val="18"/>
              </w:rPr>
              <w:t xml:space="preserve"> period ($m)</w:t>
            </w:r>
          </w:p>
        </w:tc>
      </w:tr>
      <w:tr w:rsidR="006F1AF7" w:rsidRPr="009D0A4A" w14:paraId="3EEF1407" w14:textId="77777777" w:rsidTr="00AF6E84">
        <w:trPr>
          <w:trHeight w:val="248"/>
        </w:trPr>
        <w:tc>
          <w:tcPr>
            <w:tcW w:w="3306" w:type="pct"/>
            <w:tcBorders>
              <w:top w:val="single" w:sz="8" w:space="0" w:color="D1D1D1" w:themeColor="background2"/>
              <w:bottom w:val="single" w:sz="8" w:space="0" w:color="D1D1D1" w:themeColor="background2"/>
            </w:tcBorders>
            <w:vAlign w:val="center"/>
          </w:tcPr>
          <w:p w14:paraId="735EFCB9" w14:textId="77777777" w:rsidR="006F1AF7" w:rsidRPr="009D0A4A" w:rsidRDefault="006F1AF7" w:rsidP="007D074A">
            <w:pPr>
              <w:spacing w:before="60" w:after="60"/>
              <w:rPr>
                <w:rFonts w:ascii="Arial" w:hAnsi="Arial" w:cs="Arial"/>
                <w:sz w:val="18"/>
                <w:szCs w:val="18"/>
              </w:rPr>
            </w:pPr>
            <w:r w:rsidRPr="009D0A4A">
              <w:rPr>
                <w:rFonts w:cstheme="minorHAnsi"/>
                <w:sz w:val="18"/>
                <w:szCs w:val="18"/>
              </w:rPr>
              <w:t>Implementation of a national awareness campaign to support the regulatory change</w:t>
            </w:r>
          </w:p>
        </w:tc>
        <w:tc>
          <w:tcPr>
            <w:tcW w:w="1694" w:type="pct"/>
            <w:gridSpan w:val="2"/>
            <w:tcBorders>
              <w:top w:val="single" w:sz="8" w:space="0" w:color="D1D1D1" w:themeColor="background2"/>
              <w:bottom w:val="single" w:sz="8" w:space="0" w:color="D1D1D1" w:themeColor="background2"/>
            </w:tcBorders>
            <w:vAlign w:val="center"/>
          </w:tcPr>
          <w:p w14:paraId="1E124BB5" w14:textId="77777777" w:rsidR="006F1AF7" w:rsidRPr="009D0A4A" w:rsidRDefault="006F1AF7" w:rsidP="007D074A">
            <w:pPr>
              <w:spacing w:before="60" w:after="60"/>
              <w:jc w:val="center"/>
              <w:rPr>
                <w:sz w:val="18"/>
                <w:szCs w:val="18"/>
              </w:rPr>
            </w:pPr>
            <w:r w:rsidRPr="009D0A4A">
              <w:rPr>
                <w:rFonts w:ascii="Calibri" w:hAnsi="Calibri" w:cs="Calibri"/>
                <w:color w:val="262626"/>
                <w:sz w:val="18"/>
                <w:szCs w:val="18"/>
              </w:rPr>
              <w:t>$0.11</w:t>
            </w:r>
          </w:p>
        </w:tc>
      </w:tr>
      <w:tr w:rsidR="006F1AF7" w:rsidRPr="009D0A4A" w14:paraId="70DF33B1" w14:textId="77777777" w:rsidTr="00AF6E84">
        <w:trPr>
          <w:trHeight w:val="248"/>
        </w:trPr>
        <w:tc>
          <w:tcPr>
            <w:tcW w:w="3306" w:type="pct"/>
            <w:tcBorders>
              <w:top w:val="single" w:sz="8" w:space="0" w:color="D1D1D1" w:themeColor="background2"/>
              <w:bottom w:val="single" w:sz="8" w:space="0" w:color="D1D1D1" w:themeColor="background2"/>
            </w:tcBorders>
            <w:vAlign w:val="center"/>
          </w:tcPr>
          <w:p w14:paraId="74E03000" w14:textId="77777777" w:rsidR="006F1AF7" w:rsidRPr="009D0A4A" w:rsidRDefault="006F1AF7" w:rsidP="007D074A">
            <w:pPr>
              <w:spacing w:before="60" w:after="60"/>
              <w:rPr>
                <w:rFonts w:cstheme="minorHAnsi"/>
                <w:sz w:val="18"/>
                <w:szCs w:val="18"/>
              </w:rPr>
            </w:pPr>
            <w:r w:rsidRPr="009D0A4A">
              <w:rPr>
                <w:rFonts w:cstheme="minorHAnsi"/>
                <w:sz w:val="18"/>
                <w:szCs w:val="18"/>
              </w:rPr>
              <w:t>Data analysis and reporting</w:t>
            </w:r>
          </w:p>
        </w:tc>
        <w:tc>
          <w:tcPr>
            <w:tcW w:w="1694" w:type="pct"/>
            <w:gridSpan w:val="2"/>
            <w:tcBorders>
              <w:top w:val="single" w:sz="8" w:space="0" w:color="D1D1D1" w:themeColor="background2"/>
              <w:bottom w:val="single" w:sz="8" w:space="0" w:color="D1D1D1" w:themeColor="background2"/>
            </w:tcBorders>
            <w:vAlign w:val="center"/>
          </w:tcPr>
          <w:p w14:paraId="579E5993" w14:textId="3A61ED5B" w:rsidR="006F1AF7" w:rsidRPr="009D0A4A" w:rsidRDefault="006F1AF7" w:rsidP="007D074A">
            <w:pPr>
              <w:spacing w:before="60" w:after="60"/>
              <w:jc w:val="center"/>
              <w:rPr>
                <w:rFonts w:ascii="Calibri" w:hAnsi="Calibri" w:cs="Calibri"/>
                <w:color w:val="262626"/>
                <w:sz w:val="18"/>
                <w:szCs w:val="18"/>
              </w:rPr>
            </w:pPr>
            <w:r w:rsidRPr="009D0A4A">
              <w:rPr>
                <w:rFonts w:ascii="Calibri" w:hAnsi="Calibri" w:cs="Calibri"/>
                <w:color w:val="262626"/>
                <w:sz w:val="18"/>
                <w:szCs w:val="18"/>
              </w:rPr>
              <w:t>$0.</w:t>
            </w:r>
            <w:r w:rsidR="00240F1B" w:rsidRPr="009D0A4A">
              <w:rPr>
                <w:rFonts w:ascii="Calibri" w:hAnsi="Calibri" w:cs="Calibri"/>
                <w:color w:val="262626"/>
                <w:sz w:val="18"/>
                <w:szCs w:val="18"/>
              </w:rPr>
              <w:t>38</w:t>
            </w:r>
          </w:p>
        </w:tc>
      </w:tr>
      <w:tr w:rsidR="006F1AF7" w:rsidRPr="009D0A4A" w14:paraId="19E113EB" w14:textId="77777777" w:rsidTr="00AF6E84">
        <w:trPr>
          <w:trHeight w:val="248"/>
        </w:trPr>
        <w:tc>
          <w:tcPr>
            <w:tcW w:w="3306"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3DCEFE98" w14:textId="77777777" w:rsidR="006F1AF7" w:rsidRPr="009D0A4A" w:rsidRDefault="006F1AF7" w:rsidP="007D074A">
            <w:pPr>
              <w:spacing w:before="60" w:after="60"/>
              <w:rPr>
                <w:rFonts w:cstheme="minorHAnsi"/>
                <w:b/>
                <w:bCs/>
                <w:sz w:val="18"/>
                <w:szCs w:val="18"/>
              </w:rPr>
            </w:pPr>
            <w:r w:rsidRPr="009D0A4A">
              <w:rPr>
                <w:rFonts w:cstheme="minorHAnsi"/>
                <w:b/>
                <w:bCs/>
                <w:sz w:val="18"/>
                <w:szCs w:val="18"/>
              </w:rPr>
              <w:t xml:space="preserve">Total </w:t>
            </w:r>
          </w:p>
        </w:tc>
        <w:tc>
          <w:tcPr>
            <w:tcW w:w="1694" w:type="pct"/>
            <w:gridSpan w:val="2"/>
            <w:tcBorders>
              <w:top w:val="single" w:sz="8" w:space="0" w:color="D1D1D1" w:themeColor="background2"/>
              <w:bottom w:val="single" w:sz="8" w:space="0" w:color="D1D1D1" w:themeColor="background2"/>
            </w:tcBorders>
            <w:shd w:val="clear" w:color="auto" w:fill="D9D9D9" w:themeFill="background1" w:themeFillShade="D9"/>
            <w:vAlign w:val="center"/>
          </w:tcPr>
          <w:p w14:paraId="4909D945" w14:textId="58268952" w:rsidR="006F1AF7" w:rsidRPr="009D0A4A" w:rsidRDefault="006F1AF7" w:rsidP="007D074A">
            <w:pPr>
              <w:spacing w:before="60" w:after="60"/>
              <w:jc w:val="center"/>
              <w:rPr>
                <w:b/>
                <w:bCs/>
                <w:sz w:val="18"/>
                <w:szCs w:val="18"/>
              </w:rPr>
            </w:pPr>
            <w:r w:rsidRPr="009D0A4A">
              <w:rPr>
                <w:rFonts w:ascii="Calibri" w:hAnsi="Calibri" w:cs="Calibri"/>
                <w:b/>
                <w:bCs/>
                <w:color w:val="262626"/>
                <w:sz w:val="18"/>
                <w:szCs w:val="18"/>
              </w:rPr>
              <w:t>$0.</w:t>
            </w:r>
            <w:r w:rsidR="001076E2" w:rsidRPr="009D0A4A">
              <w:rPr>
                <w:rFonts w:ascii="Calibri" w:hAnsi="Calibri" w:cs="Calibri"/>
                <w:b/>
                <w:bCs/>
                <w:color w:val="262626"/>
                <w:sz w:val="18"/>
                <w:szCs w:val="18"/>
              </w:rPr>
              <w:t>4</w:t>
            </w:r>
            <w:r w:rsidR="00240F1B" w:rsidRPr="009D0A4A">
              <w:rPr>
                <w:rFonts w:ascii="Calibri" w:hAnsi="Calibri" w:cs="Calibri"/>
                <w:b/>
                <w:bCs/>
                <w:color w:val="262626"/>
                <w:sz w:val="18"/>
                <w:szCs w:val="18"/>
              </w:rPr>
              <w:t>9</w:t>
            </w:r>
          </w:p>
        </w:tc>
      </w:tr>
    </w:tbl>
    <w:p w14:paraId="6AC5EEC4" w14:textId="07BFDA5D" w:rsidR="006F1AF7" w:rsidRPr="009D0A4A" w:rsidRDefault="006F1AF7" w:rsidP="00D6298E">
      <w:pPr>
        <w:pStyle w:val="Heading3"/>
        <w:spacing w:before="360"/>
      </w:pPr>
      <w:r w:rsidRPr="009D0A4A">
        <w:t>Option 5b</w:t>
      </w:r>
      <w:r w:rsidR="00D14CC1" w:rsidRPr="009D0A4A">
        <w:t>:</w:t>
      </w:r>
      <w:r w:rsidRPr="009D0A4A">
        <w:t xml:space="preserve"> Additional regulation of defined high risk crystalline silica processes (excluding engineered stone)</w:t>
      </w:r>
    </w:p>
    <w:p w14:paraId="4665D196" w14:textId="53E05258" w:rsidR="006F1AF7" w:rsidRPr="009D0A4A" w:rsidRDefault="006F1AF7" w:rsidP="0030750F">
      <w:pPr>
        <w:pStyle w:val="Heading4"/>
      </w:pPr>
      <w:r w:rsidRPr="009D0A4A">
        <w:t>Cost</w:t>
      </w:r>
      <w:r w:rsidR="002E0457" w:rsidRPr="009D0A4A">
        <w:t>s</w:t>
      </w:r>
      <w:r w:rsidRPr="009D0A4A">
        <w:t xml:space="preserve"> to industry </w:t>
      </w:r>
    </w:p>
    <w:p w14:paraId="4B262F0C" w14:textId="77777777" w:rsidR="006F1AF7" w:rsidRPr="009D0A4A" w:rsidRDefault="006F1AF7" w:rsidP="007012B9">
      <w:pPr>
        <w:pStyle w:val="BodyText"/>
        <w:jc w:val="both"/>
      </w:pPr>
      <w:r w:rsidRPr="009D0A4A">
        <w:t>The costs to industry incurred under Option 5b are equivalent to Option 5a, with the exception that costs associated with PCBUs working with engineered stone are excluded from the analysis.</w:t>
      </w:r>
    </w:p>
    <w:p w14:paraId="12E7CB1C" w14:textId="0947E3B1" w:rsidR="006F1AF7" w:rsidRPr="009D0A4A" w:rsidRDefault="006F1AF7" w:rsidP="007012B9">
      <w:pPr>
        <w:pStyle w:val="BodyText"/>
        <w:jc w:val="both"/>
      </w:pPr>
      <w:r w:rsidRPr="009D0A4A">
        <w:t xml:space="preserve">The estimated </w:t>
      </w:r>
      <w:r w:rsidR="002E7DDF" w:rsidRPr="009D0A4A">
        <w:t>net present cost to industry</w:t>
      </w:r>
      <w:r w:rsidRPr="009D0A4A">
        <w:t xml:space="preserve"> over a </w:t>
      </w:r>
      <w:r w:rsidR="004E3629" w:rsidRPr="009D0A4A">
        <w:t>10-year</w:t>
      </w:r>
      <w:r w:rsidRPr="009D0A4A">
        <w:t xml:space="preserve"> period is presented in </w:t>
      </w:r>
      <w:r w:rsidR="00C64F37" w:rsidRPr="009D0A4A">
        <w:t xml:space="preserve">Table </w:t>
      </w:r>
      <w:r w:rsidR="003F5102" w:rsidRPr="009D0A4A">
        <w:t>19</w:t>
      </w:r>
      <w:r w:rsidRPr="009D0A4A">
        <w:t>.</w:t>
      </w:r>
    </w:p>
    <w:p w14:paraId="6167AC4A" w14:textId="4E307A0D" w:rsidR="006F1AF7" w:rsidRPr="009D0A4A" w:rsidRDefault="00C64F37" w:rsidP="006F1AF7">
      <w:pPr>
        <w:pStyle w:val="Caption"/>
      </w:pPr>
      <w:r w:rsidRPr="009D0A4A">
        <w:t xml:space="preserve">Table </w:t>
      </w:r>
      <w:r w:rsidR="003F5102" w:rsidRPr="009D0A4A">
        <w:t>19</w:t>
      </w:r>
      <w:r w:rsidRPr="009D0A4A">
        <w:t xml:space="preserve">: </w:t>
      </w:r>
      <w:r w:rsidR="006F1AF7" w:rsidRPr="009D0A4A">
        <w:t>Net present cost to industry of additional regulation of defined high risk crystalline silica processes for industries (Option 5b) over 10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4710"/>
      </w:tblGrid>
      <w:tr w:rsidR="006F1AF7" w:rsidRPr="009D0A4A" w14:paraId="030F1787" w14:textId="77777777" w:rsidTr="00CF0C15">
        <w:trPr>
          <w:trHeight w:val="104"/>
          <w:tblHeader/>
        </w:trPr>
        <w:tc>
          <w:tcPr>
            <w:tcW w:w="2692" w:type="pct"/>
            <w:shd w:val="clear" w:color="auto" w:fill="D1D1D1" w:themeFill="background2"/>
            <w:vAlign w:val="center"/>
          </w:tcPr>
          <w:p w14:paraId="614978C9" w14:textId="77777777" w:rsidR="006F1AF7" w:rsidRPr="009D0A4A" w:rsidRDefault="006F1AF7" w:rsidP="007012B9">
            <w:pPr>
              <w:spacing w:before="60" w:after="60"/>
              <w:rPr>
                <w:rStyle w:val="Strong"/>
                <w:rFonts w:asciiTheme="majorHAnsi" w:hAnsiTheme="majorHAnsi" w:cstheme="minorHAnsi"/>
                <w:b w:val="0"/>
                <w:sz w:val="18"/>
                <w:szCs w:val="18"/>
              </w:rPr>
            </w:pPr>
            <w:r w:rsidRPr="009D0A4A">
              <w:rPr>
                <w:rStyle w:val="Strong"/>
                <w:rFonts w:asciiTheme="majorHAnsi" w:hAnsiTheme="majorHAnsi" w:cstheme="minorHAnsi"/>
                <w:sz w:val="18"/>
                <w:szCs w:val="18"/>
              </w:rPr>
              <w:t>Cost</w:t>
            </w:r>
          </w:p>
        </w:tc>
        <w:tc>
          <w:tcPr>
            <w:tcW w:w="2308" w:type="pct"/>
            <w:shd w:val="clear" w:color="auto" w:fill="D1D1D1" w:themeFill="background2"/>
            <w:vAlign w:val="center"/>
          </w:tcPr>
          <w:p w14:paraId="5AAB920E" w14:textId="31DCE3D6" w:rsidR="006F1AF7" w:rsidRPr="009D0A4A" w:rsidRDefault="00BD31D8" w:rsidP="007012B9">
            <w:pPr>
              <w:spacing w:before="60" w:after="60"/>
              <w:rPr>
                <w:rStyle w:val="Strong"/>
                <w:rFonts w:asciiTheme="majorHAnsi" w:hAnsiTheme="majorHAnsi" w:cstheme="minorHAnsi"/>
                <w:sz w:val="18"/>
                <w:szCs w:val="18"/>
              </w:rPr>
            </w:pPr>
            <w:r w:rsidRPr="009D0A4A">
              <w:rPr>
                <w:rStyle w:val="Strong"/>
                <w:rFonts w:asciiTheme="majorHAnsi" w:hAnsiTheme="majorHAnsi" w:cstheme="minorHAnsi"/>
                <w:sz w:val="18"/>
                <w:szCs w:val="18"/>
              </w:rPr>
              <w:t xml:space="preserve">Net present cost over </w:t>
            </w:r>
            <w:r w:rsidR="004E3629" w:rsidRPr="009D0A4A">
              <w:rPr>
                <w:rStyle w:val="Strong"/>
                <w:rFonts w:asciiTheme="majorHAnsi" w:hAnsiTheme="majorHAnsi" w:cstheme="minorHAnsi"/>
                <w:sz w:val="18"/>
                <w:szCs w:val="18"/>
              </w:rPr>
              <w:t>10-year</w:t>
            </w:r>
            <w:r w:rsidRPr="009D0A4A">
              <w:rPr>
                <w:rStyle w:val="Strong"/>
                <w:rFonts w:asciiTheme="majorHAnsi" w:hAnsiTheme="majorHAnsi" w:cstheme="minorHAnsi"/>
                <w:sz w:val="18"/>
                <w:szCs w:val="18"/>
              </w:rPr>
              <w:t xml:space="preserve"> period ($m)</w:t>
            </w:r>
          </w:p>
        </w:tc>
      </w:tr>
      <w:tr w:rsidR="006F1AF7" w:rsidRPr="009D0A4A" w14:paraId="413BA34A" w14:textId="77777777" w:rsidTr="00CF0C15">
        <w:trPr>
          <w:trHeight w:val="196"/>
        </w:trPr>
        <w:tc>
          <w:tcPr>
            <w:tcW w:w="2692" w:type="pct"/>
            <w:tcBorders>
              <w:bottom w:val="single" w:sz="8" w:space="0" w:color="D1D1D1" w:themeColor="background2"/>
            </w:tcBorders>
            <w:vAlign w:val="center"/>
          </w:tcPr>
          <w:p w14:paraId="750653DB" w14:textId="34C72B3A" w:rsidR="006F1AF7" w:rsidRPr="009D0A4A" w:rsidRDefault="005C2BA7" w:rsidP="007D074A">
            <w:pPr>
              <w:spacing w:before="60" w:after="60"/>
              <w:rPr>
                <w:rFonts w:cstheme="minorHAnsi"/>
                <w:sz w:val="18"/>
                <w:szCs w:val="18"/>
              </w:rPr>
            </w:pPr>
            <w:r w:rsidRPr="009D0A4A">
              <w:rPr>
                <w:rFonts w:cstheme="minorHAnsi"/>
                <w:sz w:val="18"/>
                <w:szCs w:val="18"/>
              </w:rPr>
              <w:t>Preparation and maintenance of a r</w:t>
            </w:r>
            <w:r w:rsidR="006F1AF7" w:rsidRPr="009D0A4A">
              <w:rPr>
                <w:rFonts w:cstheme="minorHAnsi"/>
                <w:sz w:val="18"/>
                <w:szCs w:val="18"/>
              </w:rPr>
              <w:t xml:space="preserve">isk assessment </w:t>
            </w:r>
          </w:p>
        </w:tc>
        <w:tc>
          <w:tcPr>
            <w:tcW w:w="2308" w:type="pct"/>
            <w:tcBorders>
              <w:bottom w:val="single" w:sz="8" w:space="0" w:color="D1D1D1" w:themeColor="background2"/>
            </w:tcBorders>
            <w:vAlign w:val="center"/>
          </w:tcPr>
          <w:p w14:paraId="0ECBF326" w14:textId="77777777" w:rsidR="006F1AF7" w:rsidRPr="009D0A4A" w:rsidRDefault="006F1AF7" w:rsidP="007D074A">
            <w:pPr>
              <w:spacing w:before="60" w:after="60"/>
              <w:jc w:val="center"/>
              <w:rPr>
                <w:rFonts w:cstheme="minorHAnsi"/>
                <w:sz w:val="18"/>
                <w:szCs w:val="18"/>
              </w:rPr>
            </w:pPr>
            <w:r w:rsidRPr="009D0A4A">
              <w:rPr>
                <w:rFonts w:ascii="Calibri" w:hAnsi="Calibri" w:cs="Calibri"/>
                <w:color w:val="262626"/>
                <w:sz w:val="18"/>
                <w:szCs w:val="18"/>
              </w:rPr>
              <w:t>$77.80</w:t>
            </w:r>
          </w:p>
        </w:tc>
      </w:tr>
      <w:tr w:rsidR="006F1AF7" w:rsidRPr="009D0A4A" w14:paraId="0E8240AE" w14:textId="77777777" w:rsidTr="00CF0C15">
        <w:trPr>
          <w:trHeight w:val="196"/>
        </w:trPr>
        <w:tc>
          <w:tcPr>
            <w:tcW w:w="2692" w:type="pct"/>
            <w:tcBorders>
              <w:bottom w:val="single" w:sz="8" w:space="0" w:color="D1D1D1" w:themeColor="background2"/>
            </w:tcBorders>
            <w:vAlign w:val="center"/>
          </w:tcPr>
          <w:p w14:paraId="27F42759" w14:textId="57D21621" w:rsidR="006F1AF7" w:rsidRPr="009D0A4A" w:rsidRDefault="005C2BA7" w:rsidP="007D074A">
            <w:pPr>
              <w:spacing w:before="60" w:after="60"/>
              <w:rPr>
                <w:rFonts w:cstheme="minorHAnsi"/>
                <w:sz w:val="18"/>
                <w:szCs w:val="18"/>
              </w:rPr>
            </w:pPr>
            <w:r w:rsidRPr="009D0A4A">
              <w:rPr>
                <w:rFonts w:cstheme="minorHAnsi"/>
                <w:sz w:val="18"/>
                <w:szCs w:val="18"/>
              </w:rPr>
              <w:t>Preparation and maintenance of a s</w:t>
            </w:r>
            <w:r w:rsidR="006F1AF7" w:rsidRPr="009D0A4A">
              <w:rPr>
                <w:rFonts w:cstheme="minorHAnsi"/>
                <w:sz w:val="18"/>
                <w:szCs w:val="18"/>
              </w:rPr>
              <w:t xml:space="preserve">ilica risk control plan </w:t>
            </w:r>
          </w:p>
        </w:tc>
        <w:tc>
          <w:tcPr>
            <w:tcW w:w="2308" w:type="pct"/>
            <w:tcBorders>
              <w:bottom w:val="single" w:sz="8" w:space="0" w:color="D1D1D1" w:themeColor="background2"/>
            </w:tcBorders>
            <w:vAlign w:val="center"/>
          </w:tcPr>
          <w:p w14:paraId="5C965686" w14:textId="77777777" w:rsidR="006F1AF7" w:rsidRPr="009D0A4A" w:rsidRDefault="006F1AF7" w:rsidP="007D074A">
            <w:pPr>
              <w:spacing w:before="60" w:after="60"/>
              <w:jc w:val="center"/>
              <w:rPr>
                <w:rFonts w:cstheme="minorHAnsi"/>
                <w:sz w:val="18"/>
                <w:szCs w:val="18"/>
              </w:rPr>
            </w:pPr>
            <w:r w:rsidRPr="009D0A4A">
              <w:rPr>
                <w:rFonts w:ascii="Calibri" w:hAnsi="Calibri" w:cs="Calibri"/>
                <w:color w:val="262626"/>
                <w:sz w:val="18"/>
                <w:szCs w:val="18"/>
              </w:rPr>
              <w:t>$14.82</w:t>
            </w:r>
          </w:p>
        </w:tc>
      </w:tr>
      <w:tr w:rsidR="006F1AF7" w:rsidRPr="009D0A4A" w14:paraId="364F48BE" w14:textId="77777777" w:rsidTr="00CF0C15">
        <w:trPr>
          <w:trHeight w:val="196"/>
        </w:trPr>
        <w:tc>
          <w:tcPr>
            <w:tcW w:w="2692" w:type="pct"/>
            <w:tcBorders>
              <w:top w:val="single" w:sz="8" w:space="0" w:color="D1D1D1" w:themeColor="background2"/>
              <w:bottom w:val="single" w:sz="8" w:space="0" w:color="D1D1D1" w:themeColor="background2"/>
            </w:tcBorders>
            <w:vAlign w:val="center"/>
          </w:tcPr>
          <w:p w14:paraId="35F7F933" w14:textId="77777777" w:rsidR="006F1AF7" w:rsidRPr="009D0A4A" w:rsidRDefault="006F1AF7" w:rsidP="007D074A">
            <w:pPr>
              <w:spacing w:before="60" w:after="60"/>
              <w:rPr>
                <w:rFonts w:cstheme="minorHAnsi"/>
                <w:sz w:val="18"/>
                <w:szCs w:val="18"/>
              </w:rPr>
            </w:pPr>
            <w:r w:rsidRPr="009D0A4A">
              <w:rPr>
                <w:rFonts w:cstheme="minorHAnsi"/>
                <w:sz w:val="18"/>
                <w:szCs w:val="18"/>
              </w:rPr>
              <w:t>Health monitoring – provision of report to regulators</w:t>
            </w:r>
          </w:p>
        </w:tc>
        <w:tc>
          <w:tcPr>
            <w:tcW w:w="2308" w:type="pct"/>
            <w:tcBorders>
              <w:top w:val="single" w:sz="8" w:space="0" w:color="D1D1D1" w:themeColor="background2"/>
              <w:bottom w:val="single" w:sz="8" w:space="0" w:color="D1D1D1" w:themeColor="background2"/>
            </w:tcBorders>
            <w:vAlign w:val="center"/>
          </w:tcPr>
          <w:p w14:paraId="051FF6E4" w14:textId="77777777" w:rsidR="006F1AF7" w:rsidRPr="009D0A4A" w:rsidRDefault="006F1AF7" w:rsidP="007D074A">
            <w:pPr>
              <w:spacing w:before="60" w:after="60"/>
              <w:jc w:val="center"/>
              <w:rPr>
                <w:rFonts w:cstheme="minorHAnsi"/>
                <w:sz w:val="18"/>
                <w:szCs w:val="18"/>
              </w:rPr>
            </w:pPr>
            <w:r w:rsidRPr="009D0A4A">
              <w:rPr>
                <w:rFonts w:ascii="Calibri" w:hAnsi="Calibri" w:cs="Calibri"/>
                <w:color w:val="262626"/>
                <w:sz w:val="18"/>
                <w:szCs w:val="18"/>
              </w:rPr>
              <w:t>$49.80</w:t>
            </w:r>
          </w:p>
        </w:tc>
      </w:tr>
      <w:tr w:rsidR="006F1AF7" w:rsidRPr="009D0A4A" w14:paraId="4C9C5AC8" w14:textId="77777777" w:rsidTr="00CF0C15">
        <w:trPr>
          <w:trHeight w:val="196"/>
        </w:trPr>
        <w:tc>
          <w:tcPr>
            <w:tcW w:w="2692" w:type="pct"/>
            <w:tcBorders>
              <w:top w:val="single" w:sz="8" w:space="0" w:color="D1D1D1" w:themeColor="background2"/>
              <w:bottom w:val="single" w:sz="8" w:space="0" w:color="D1D1D1" w:themeColor="background2"/>
            </w:tcBorders>
            <w:vAlign w:val="center"/>
          </w:tcPr>
          <w:p w14:paraId="1AA6788B" w14:textId="77777777" w:rsidR="006F1AF7" w:rsidRPr="009D0A4A" w:rsidRDefault="006F1AF7" w:rsidP="007D074A">
            <w:pPr>
              <w:spacing w:before="60" w:after="60"/>
              <w:rPr>
                <w:rFonts w:cstheme="minorHAnsi"/>
                <w:sz w:val="18"/>
                <w:szCs w:val="18"/>
              </w:rPr>
            </w:pPr>
            <w:r w:rsidRPr="009D0A4A">
              <w:rPr>
                <w:rFonts w:cstheme="minorHAnsi"/>
                <w:sz w:val="18"/>
                <w:szCs w:val="18"/>
              </w:rPr>
              <w:t xml:space="preserve">Air monitoring – provision of report to regulators </w:t>
            </w:r>
          </w:p>
        </w:tc>
        <w:tc>
          <w:tcPr>
            <w:tcW w:w="2308" w:type="pct"/>
            <w:tcBorders>
              <w:top w:val="single" w:sz="8" w:space="0" w:color="D1D1D1" w:themeColor="background2"/>
              <w:bottom w:val="single" w:sz="8" w:space="0" w:color="D1D1D1" w:themeColor="background2"/>
            </w:tcBorders>
            <w:vAlign w:val="center"/>
          </w:tcPr>
          <w:p w14:paraId="7F6B25F6" w14:textId="77777777" w:rsidR="006F1AF7" w:rsidRPr="009D0A4A" w:rsidRDefault="006F1AF7" w:rsidP="007D074A">
            <w:pPr>
              <w:spacing w:before="60" w:after="60"/>
              <w:jc w:val="center"/>
              <w:rPr>
                <w:rFonts w:cstheme="minorHAnsi"/>
                <w:sz w:val="18"/>
                <w:szCs w:val="18"/>
              </w:rPr>
            </w:pPr>
            <w:r w:rsidRPr="009D0A4A">
              <w:rPr>
                <w:rFonts w:ascii="Calibri" w:hAnsi="Calibri" w:cs="Calibri"/>
                <w:color w:val="262626"/>
                <w:sz w:val="18"/>
                <w:szCs w:val="18"/>
              </w:rPr>
              <w:t>$49.80</w:t>
            </w:r>
          </w:p>
        </w:tc>
      </w:tr>
      <w:tr w:rsidR="006F1AF7" w:rsidRPr="009D0A4A" w14:paraId="0316B94A" w14:textId="77777777" w:rsidTr="00CF0C15">
        <w:trPr>
          <w:trHeight w:val="196"/>
        </w:trPr>
        <w:tc>
          <w:tcPr>
            <w:tcW w:w="2692"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255393C8" w14:textId="77777777" w:rsidR="006F1AF7" w:rsidRPr="009D0A4A" w:rsidRDefault="006F1AF7" w:rsidP="007D074A">
            <w:pPr>
              <w:spacing w:before="60" w:after="60"/>
              <w:rPr>
                <w:rFonts w:cstheme="minorHAnsi"/>
                <w:b/>
                <w:bCs/>
                <w:sz w:val="18"/>
                <w:szCs w:val="18"/>
              </w:rPr>
            </w:pPr>
            <w:r w:rsidRPr="009D0A4A">
              <w:rPr>
                <w:rFonts w:cstheme="minorHAnsi"/>
                <w:b/>
                <w:bCs/>
                <w:sz w:val="18"/>
                <w:szCs w:val="18"/>
              </w:rPr>
              <w:t xml:space="preserve">Total </w:t>
            </w:r>
          </w:p>
        </w:tc>
        <w:tc>
          <w:tcPr>
            <w:tcW w:w="2308"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1259336E" w14:textId="77777777" w:rsidR="006F1AF7" w:rsidRPr="009D0A4A" w:rsidRDefault="006F1AF7" w:rsidP="007D074A">
            <w:pPr>
              <w:spacing w:before="60" w:after="60"/>
              <w:jc w:val="center"/>
              <w:rPr>
                <w:rFonts w:cstheme="minorHAnsi"/>
                <w:b/>
                <w:bCs/>
                <w:sz w:val="18"/>
                <w:szCs w:val="18"/>
              </w:rPr>
            </w:pPr>
            <w:r w:rsidRPr="009D0A4A">
              <w:rPr>
                <w:rFonts w:ascii="Calibri" w:hAnsi="Calibri" w:cs="Calibri"/>
                <w:b/>
                <w:bCs/>
                <w:color w:val="262626"/>
                <w:sz w:val="18"/>
                <w:szCs w:val="18"/>
              </w:rPr>
              <w:t>$192.21</w:t>
            </w:r>
          </w:p>
        </w:tc>
      </w:tr>
    </w:tbl>
    <w:p w14:paraId="19CEF373" w14:textId="77777777" w:rsidR="006F1AF7" w:rsidRPr="009D0A4A" w:rsidRDefault="006F1AF7" w:rsidP="0030750F">
      <w:pPr>
        <w:pStyle w:val="Heading4"/>
      </w:pPr>
      <w:r w:rsidRPr="009D0A4A">
        <w:t xml:space="preserve">Cost to government </w:t>
      </w:r>
    </w:p>
    <w:p w14:paraId="335E32A9" w14:textId="05C5BE80" w:rsidR="006F1AF7" w:rsidRPr="009D0A4A" w:rsidRDefault="006F1AF7" w:rsidP="007012B9">
      <w:pPr>
        <w:pStyle w:val="BodyText"/>
        <w:jc w:val="both"/>
        <w:rPr>
          <w:rFonts w:cstheme="minorHAnsi"/>
        </w:rPr>
      </w:pPr>
      <w:r w:rsidRPr="009D0A4A">
        <w:rPr>
          <w:rFonts w:cstheme="minorHAnsi"/>
        </w:rPr>
        <w:t xml:space="preserve">The estimated </w:t>
      </w:r>
      <w:r w:rsidR="002E7DDF" w:rsidRPr="009D0A4A">
        <w:rPr>
          <w:rFonts w:cstheme="minorHAnsi"/>
        </w:rPr>
        <w:t>net present cost to government</w:t>
      </w:r>
      <w:r w:rsidRPr="009D0A4A">
        <w:rPr>
          <w:rFonts w:cstheme="minorHAnsi"/>
        </w:rPr>
        <w:t xml:space="preserve"> over a </w:t>
      </w:r>
      <w:r w:rsidR="004E3629" w:rsidRPr="009D0A4A">
        <w:rPr>
          <w:rFonts w:cstheme="minorHAnsi"/>
        </w:rPr>
        <w:t>10-year</w:t>
      </w:r>
      <w:r w:rsidRPr="009D0A4A">
        <w:rPr>
          <w:rFonts w:cstheme="minorHAnsi"/>
        </w:rPr>
        <w:t xml:space="preserve"> period is presented in </w:t>
      </w:r>
      <w:r w:rsidR="00C64F37" w:rsidRPr="009D0A4A">
        <w:rPr>
          <w:rFonts w:cstheme="minorHAnsi"/>
        </w:rPr>
        <w:t xml:space="preserve">Table </w:t>
      </w:r>
      <w:r w:rsidR="003F5102" w:rsidRPr="009D0A4A">
        <w:rPr>
          <w:rFonts w:cstheme="minorHAnsi"/>
        </w:rPr>
        <w:t>20</w:t>
      </w:r>
      <w:r w:rsidRPr="009D0A4A">
        <w:rPr>
          <w:rFonts w:cstheme="minorHAnsi"/>
        </w:rPr>
        <w:t>.</w:t>
      </w:r>
    </w:p>
    <w:p w14:paraId="3FCA4A7F" w14:textId="4E5E5F9F" w:rsidR="006F1AF7" w:rsidRPr="009D0A4A" w:rsidRDefault="00C64F37" w:rsidP="006F1AF7">
      <w:pPr>
        <w:pStyle w:val="Caption"/>
      </w:pPr>
      <w:r w:rsidRPr="009D0A4A">
        <w:lastRenderedPageBreak/>
        <w:t xml:space="preserve">Table </w:t>
      </w:r>
      <w:r w:rsidR="003F5102" w:rsidRPr="009D0A4A">
        <w:t>20</w:t>
      </w:r>
      <w:r w:rsidRPr="009D0A4A">
        <w:t>:</w:t>
      </w:r>
      <w:r w:rsidR="006F1AF7" w:rsidRPr="009D0A4A">
        <w:t xml:space="preserve"> Net present cost to government of additional regulation of defined high risk crystalline silica processes for government (Option 5b) over 10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7"/>
        <w:gridCol w:w="3257"/>
        <w:gridCol w:w="200"/>
      </w:tblGrid>
      <w:tr w:rsidR="006F1AF7" w:rsidRPr="009D0A4A" w14:paraId="2F0E8D4E" w14:textId="77777777" w:rsidTr="00AF6E84">
        <w:trPr>
          <w:gridAfter w:val="1"/>
          <w:wAfter w:w="98" w:type="pct"/>
          <w:trHeight w:val="132"/>
          <w:tblHeader/>
        </w:trPr>
        <w:tc>
          <w:tcPr>
            <w:tcW w:w="3306" w:type="pct"/>
            <w:shd w:val="clear" w:color="auto" w:fill="D1D1D1" w:themeFill="background2"/>
            <w:vAlign w:val="center"/>
          </w:tcPr>
          <w:p w14:paraId="4E98C074" w14:textId="77777777" w:rsidR="006F1AF7" w:rsidRPr="009D0A4A" w:rsidRDefault="006F1AF7" w:rsidP="007012B9">
            <w:pPr>
              <w:spacing w:before="60" w:after="60"/>
              <w:rPr>
                <w:rStyle w:val="Strong"/>
                <w:rFonts w:asciiTheme="majorHAnsi" w:hAnsiTheme="majorHAnsi" w:cstheme="minorHAnsi"/>
                <w:b w:val="0"/>
                <w:sz w:val="18"/>
                <w:szCs w:val="18"/>
              </w:rPr>
            </w:pPr>
            <w:r w:rsidRPr="009D0A4A">
              <w:rPr>
                <w:rStyle w:val="Strong"/>
                <w:rFonts w:asciiTheme="majorHAnsi" w:hAnsiTheme="majorHAnsi" w:cstheme="minorHAnsi"/>
                <w:sz w:val="18"/>
                <w:szCs w:val="18"/>
              </w:rPr>
              <w:t>Cost</w:t>
            </w:r>
          </w:p>
        </w:tc>
        <w:tc>
          <w:tcPr>
            <w:tcW w:w="1596" w:type="pct"/>
            <w:shd w:val="clear" w:color="auto" w:fill="D1D1D1" w:themeFill="background2"/>
            <w:vAlign w:val="center"/>
          </w:tcPr>
          <w:p w14:paraId="551C0592" w14:textId="27F469E0" w:rsidR="006F1AF7" w:rsidRPr="009D0A4A" w:rsidRDefault="00296C16" w:rsidP="007012B9">
            <w:pPr>
              <w:spacing w:before="60" w:after="60"/>
              <w:rPr>
                <w:rStyle w:val="Strong"/>
                <w:rFonts w:asciiTheme="majorHAnsi" w:hAnsiTheme="majorHAnsi" w:cstheme="minorHAnsi"/>
                <w:sz w:val="18"/>
                <w:szCs w:val="18"/>
              </w:rPr>
            </w:pPr>
            <w:r w:rsidRPr="009D0A4A">
              <w:rPr>
                <w:rStyle w:val="Strong"/>
                <w:rFonts w:asciiTheme="majorHAnsi" w:hAnsiTheme="majorHAnsi" w:cstheme="minorHAnsi"/>
                <w:sz w:val="18"/>
                <w:szCs w:val="18"/>
              </w:rPr>
              <w:t xml:space="preserve">Net present cost over </w:t>
            </w:r>
            <w:r w:rsidR="004E3629" w:rsidRPr="009D0A4A">
              <w:rPr>
                <w:rStyle w:val="Strong"/>
                <w:rFonts w:asciiTheme="majorHAnsi" w:hAnsiTheme="majorHAnsi" w:cstheme="minorHAnsi"/>
                <w:sz w:val="18"/>
                <w:szCs w:val="18"/>
              </w:rPr>
              <w:t>10-year</w:t>
            </w:r>
            <w:r w:rsidRPr="009D0A4A">
              <w:rPr>
                <w:rStyle w:val="Strong"/>
                <w:rFonts w:asciiTheme="majorHAnsi" w:hAnsiTheme="majorHAnsi" w:cstheme="minorHAnsi"/>
                <w:sz w:val="18"/>
                <w:szCs w:val="18"/>
              </w:rPr>
              <w:t xml:space="preserve"> period ($m)</w:t>
            </w:r>
          </w:p>
        </w:tc>
      </w:tr>
      <w:tr w:rsidR="006F1AF7" w:rsidRPr="009D0A4A" w14:paraId="1E9B2E0C" w14:textId="77777777" w:rsidTr="00AF6E84">
        <w:trPr>
          <w:trHeight w:val="248"/>
        </w:trPr>
        <w:tc>
          <w:tcPr>
            <w:tcW w:w="3306" w:type="pct"/>
            <w:tcBorders>
              <w:top w:val="single" w:sz="8" w:space="0" w:color="D1D1D1" w:themeColor="background2"/>
              <w:bottom w:val="single" w:sz="8" w:space="0" w:color="D1D1D1" w:themeColor="background2"/>
            </w:tcBorders>
            <w:vAlign w:val="center"/>
          </w:tcPr>
          <w:p w14:paraId="680C0479" w14:textId="77777777" w:rsidR="006F1AF7" w:rsidRPr="009D0A4A" w:rsidRDefault="006F1AF7" w:rsidP="007012B9">
            <w:pPr>
              <w:spacing w:before="60" w:after="60"/>
              <w:rPr>
                <w:rFonts w:ascii="Arial" w:hAnsi="Arial" w:cs="Arial"/>
                <w:sz w:val="18"/>
                <w:szCs w:val="18"/>
              </w:rPr>
            </w:pPr>
            <w:r w:rsidRPr="009D0A4A">
              <w:rPr>
                <w:rFonts w:cstheme="minorHAnsi"/>
                <w:sz w:val="18"/>
                <w:szCs w:val="18"/>
              </w:rPr>
              <w:t>Implementation of a national awareness campaign to support the regulatory change</w:t>
            </w:r>
          </w:p>
        </w:tc>
        <w:tc>
          <w:tcPr>
            <w:tcW w:w="1694" w:type="pct"/>
            <w:gridSpan w:val="2"/>
            <w:tcBorders>
              <w:top w:val="single" w:sz="8" w:space="0" w:color="D1D1D1" w:themeColor="background2"/>
              <w:bottom w:val="single" w:sz="8" w:space="0" w:color="D1D1D1" w:themeColor="background2"/>
            </w:tcBorders>
            <w:vAlign w:val="center"/>
          </w:tcPr>
          <w:p w14:paraId="30148766" w14:textId="77777777" w:rsidR="006F1AF7" w:rsidRPr="009D0A4A" w:rsidRDefault="006F1AF7" w:rsidP="007012B9">
            <w:pPr>
              <w:spacing w:before="60" w:after="60"/>
              <w:jc w:val="center"/>
              <w:rPr>
                <w:rFonts w:ascii="Arial" w:hAnsi="Arial" w:cs="Arial"/>
                <w:sz w:val="18"/>
                <w:szCs w:val="18"/>
              </w:rPr>
            </w:pPr>
            <w:r w:rsidRPr="009D0A4A">
              <w:rPr>
                <w:rFonts w:ascii="Calibri" w:hAnsi="Calibri" w:cs="Calibri"/>
                <w:color w:val="262626"/>
                <w:sz w:val="18"/>
                <w:szCs w:val="18"/>
              </w:rPr>
              <w:t>$0.11</w:t>
            </w:r>
          </w:p>
        </w:tc>
      </w:tr>
      <w:tr w:rsidR="006F1AF7" w:rsidRPr="009D0A4A" w14:paraId="4167A97B" w14:textId="77777777" w:rsidTr="00AF6E84">
        <w:trPr>
          <w:trHeight w:val="248"/>
        </w:trPr>
        <w:tc>
          <w:tcPr>
            <w:tcW w:w="3306" w:type="pct"/>
            <w:tcBorders>
              <w:top w:val="single" w:sz="8" w:space="0" w:color="D1D1D1" w:themeColor="background2"/>
              <w:bottom w:val="single" w:sz="8" w:space="0" w:color="D1D1D1" w:themeColor="background2"/>
            </w:tcBorders>
            <w:vAlign w:val="center"/>
          </w:tcPr>
          <w:p w14:paraId="42423B9B" w14:textId="77777777" w:rsidR="006F1AF7" w:rsidRPr="009D0A4A" w:rsidRDefault="006F1AF7" w:rsidP="007012B9">
            <w:pPr>
              <w:spacing w:before="60" w:after="60"/>
              <w:rPr>
                <w:rFonts w:cstheme="minorHAnsi"/>
                <w:sz w:val="18"/>
                <w:szCs w:val="18"/>
              </w:rPr>
            </w:pPr>
            <w:r w:rsidRPr="009D0A4A">
              <w:rPr>
                <w:rFonts w:cstheme="minorHAnsi"/>
                <w:sz w:val="18"/>
                <w:szCs w:val="18"/>
              </w:rPr>
              <w:t>Data analysis and reporting</w:t>
            </w:r>
          </w:p>
        </w:tc>
        <w:tc>
          <w:tcPr>
            <w:tcW w:w="1694" w:type="pct"/>
            <w:gridSpan w:val="2"/>
            <w:tcBorders>
              <w:top w:val="single" w:sz="8" w:space="0" w:color="D1D1D1" w:themeColor="background2"/>
              <w:bottom w:val="single" w:sz="8" w:space="0" w:color="D1D1D1" w:themeColor="background2"/>
            </w:tcBorders>
            <w:vAlign w:val="center"/>
          </w:tcPr>
          <w:p w14:paraId="01F57A76" w14:textId="596EF1B1" w:rsidR="006F1AF7" w:rsidRPr="009D0A4A" w:rsidRDefault="006F1AF7" w:rsidP="007012B9">
            <w:pPr>
              <w:spacing w:before="60" w:after="60"/>
              <w:jc w:val="center"/>
              <w:rPr>
                <w:rFonts w:ascii="Calibri" w:hAnsi="Calibri" w:cs="Calibri"/>
                <w:color w:val="262626"/>
                <w:sz w:val="18"/>
                <w:szCs w:val="18"/>
              </w:rPr>
            </w:pPr>
            <w:r w:rsidRPr="009D0A4A">
              <w:rPr>
                <w:rFonts w:ascii="Calibri" w:hAnsi="Calibri" w:cs="Calibri"/>
                <w:color w:val="262626"/>
                <w:sz w:val="18"/>
                <w:szCs w:val="18"/>
              </w:rPr>
              <w:t>$0.</w:t>
            </w:r>
            <w:r w:rsidR="004170A3" w:rsidRPr="009D0A4A">
              <w:rPr>
                <w:rFonts w:ascii="Calibri" w:hAnsi="Calibri" w:cs="Calibri"/>
                <w:color w:val="262626"/>
                <w:sz w:val="18"/>
                <w:szCs w:val="18"/>
              </w:rPr>
              <w:t>38</w:t>
            </w:r>
          </w:p>
        </w:tc>
      </w:tr>
      <w:tr w:rsidR="006F1AF7" w:rsidRPr="009D0A4A" w14:paraId="0BD98C38" w14:textId="77777777" w:rsidTr="00AF6E84">
        <w:trPr>
          <w:trHeight w:val="248"/>
        </w:trPr>
        <w:tc>
          <w:tcPr>
            <w:tcW w:w="3306"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40DD9865" w14:textId="77777777" w:rsidR="006F1AF7" w:rsidRPr="009D0A4A" w:rsidRDefault="006F1AF7" w:rsidP="00AF6E84">
            <w:pPr>
              <w:spacing w:after="60"/>
              <w:rPr>
                <w:rFonts w:cstheme="minorHAnsi"/>
                <w:b/>
                <w:bCs/>
                <w:sz w:val="18"/>
                <w:szCs w:val="18"/>
              </w:rPr>
            </w:pPr>
            <w:r w:rsidRPr="009D0A4A">
              <w:rPr>
                <w:rFonts w:cstheme="minorHAnsi"/>
                <w:b/>
                <w:bCs/>
                <w:sz w:val="18"/>
                <w:szCs w:val="18"/>
              </w:rPr>
              <w:t>Total</w:t>
            </w:r>
          </w:p>
        </w:tc>
        <w:tc>
          <w:tcPr>
            <w:tcW w:w="1694" w:type="pct"/>
            <w:gridSpan w:val="2"/>
            <w:tcBorders>
              <w:top w:val="single" w:sz="8" w:space="0" w:color="D1D1D1" w:themeColor="background2"/>
              <w:bottom w:val="single" w:sz="8" w:space="0" w:color="D1D1D1" w:themeColor="background2"/>
            </w:tcBorders>
            <w:shd w:val="clear" w:color="auto" w:fill="D9D9D9" w:themeFill="background1" w:themeFillShade="D9"/>
            <w:vAlign w:val="center"/>
          </w:tcPr>
          <w:p w14:paraId="102C3AD4" w14:textId="103B0A84" w:rsidR="006F1AF7" w:rsidRPr="009D0A4A" w:rsidRDefault="006F1AF7" w:rsidP="00AF6E84">
            <w:pPr>
              <w:spacing w:after="60"/>
              <w:jc w:val="center"/>
              <w:rPr>
                <w:rFonts w:ascii="Arial" w:hAnsi="Arial" w:cs="Arial"/>
                <w:b/>
                <w:bCs/>
                <w:sz w:val="18"/>
                <w:szCs w:val="18"/>
              </w:rPr>
            </w:pPr>
            <w:r w:rsidRPr="009D0A4A">
              <w:rPr>
                <w:rFonts w:ascii="Calibri" w:hAnsi="Calibri" w:cs="Calibri"/>
                <w:b/>
                <w:bCs/>
                <w:color w:val="262626"/>
                <w:sz w:val="18"/>
                <w:szCs w:val="18"/>
              </w:rPr>
              <w:t>$0.</w:t>
            </w:r>
            <w:r w:rsidR="004170A3" w:rsidRPr="009D0A4A">
              <w:rPr>
                <w:rFonts w:ascii="Calibri" w:hAnsi="Calibri" w:cs="Calibri"/>
                <w:b/>
                <w:bCs/>
                <w:color w:val="262626"/>
                <w:sz w:val="18"/>
                <w:szCs w:val="18"/>
              </w:rPr>
              <w:t>49</w:t>
            </w:r>
          </w:p>
        </w:tc>
      </w:tr>
    </w:tbl>
    <w:p w14:paraId="33E4F279" w14:textId="77777777" w:rsidR="006F1AF7" w:rsidRPr="009D0A4A" w:rsidRDefault="006F1AF7" w:rsidP="0030750F">
      <w:pPr>
        <w:pStyle w:val="Heading3"/>
      </w:pPr>
      <w:bookmarkStart w:id="648" w:name="_Toc97017621"/>
      <w:bookmarkStart w:id="649" w:name="_Toc101019402"/>
      <w:r w:rsidRPr="009D0A4A">
        <w:t xml:space="preserve">Summary assessment </w:t>
      </w:r>
    </w:p>
    <w:p w14:paraId="7136D349" w14:textId="52CFE46B" w:rsidR="006F1AF7" w:rsidRPr="009D0A4A" w:rsidRDefault="00C64F37" w:rsidP="007012B9">
      <w:pPr>
        <w:pStyle w:val="BodyText"/>
        <w:jc w:val="both"/>
      </w:pPr>
      <w:r w:rsidRPr="009D0A4A">
        <w:t xml:space="preserve">Table </w:t>
      </w:r>
      <w:r w:rsidR="003F5102" w:rsidRPr="009D0A4A">
        <w:t xml:space="preserve">21 </w:t>
      </w:r>
      <w:r w:rsidR="006F1AF7" w:rsidRPr="009D0A4A">
        <w:t xml:space="preserve">summarises the </w:t>
      </w:r>
      <w:r w:rsidR="005C2BA7" w:rsidRPr="009D0A4A">
        <w:t xml:space="preserve">net present </w:t>
      </w:r>
      <w:r w:rsidR="006F1AF7" w:rsidRPr="009D0A4A">
        <w:t xml:space="preserve">cost to industry, government and total costs incurred for each option. </w:t>
      </w:r>
      <w:r w:rsidR="005C2BA7" w:rsidRPr="009D0A4A">
        <w:t xml:space="preserve">These costs would be </w:t>
      </w:r>
      <w:r w:rsidR="00EB17F4" w:rsidRPr="009D0A4A">
        <w:t>cumulative</w:t>
      </w:r>
      <w:r w:rsidR="005C2BA7" w:rsidRPr="009D0A4A">
        <w:t xml:space="preserve"> if combinations of various Options are to be considered. </w:t>
      </w:r>
    </w:p>
    <w:p w14:paraId="5F5494B9" w14:textId="07BF03B0" w:rsidR="006F1AF7" w:rsidRPr="009D0A4A" w:rsidRDefault="00C64F37" w:rsidP="006F1AF7">
      <w:pPr>
        <w:rPr>
          <w:rFonts w:asciiTheme="majorHAnsi" w:hAnsiTheme="majorHAnsi"/>
          <w:b/>
          <w:iCs/>
          <w:color w:val="014463" w:themeColor="text2"/>
          <w:szCs w:val="18"/>
        </w:rPr>
      </w:pPr>
      <w:r w:rsidRPr="009D0A4A">
        <w:rPr>
          <w:rFonts w:asciiTheme="majorHAnsi" w:hAnsiTheme="majorHAnsi"/>
          <w:b/>
          <w:iCs/>
          <w:color w:val="014463" w:themeColor="text2"/>
          <w:szCs w:val="18"/>
        </w:rPr>
        <w:t xml:space="preserve">Table </w:t>
      </w:r>
      <w:r w:rsidR="003F5102" w:rsidRPr="009D0A4A">
        <w:rPr>
          <w:rFonts w:asciiTheme="majorHAnsi" w:hAnsiTheme="majorHAnsi"/>
          <w:b/>
          <w:iCs/>
          <w:color w:val="014463" w:themeColor="text2"/>
          <w:szCs w:val="18"/>
        </w:rPr>
        <w:t>21</w:t>
      </w:r>
      <w:r w:rsidR="006F1AF7" w:rsidRPr="009D0A4A">
        <w:rPr>
          <w:rFonts w:asciiTheme="majorHAnsi" w:hAnsiTheme="majorHAnsi"/>
          <w:b/>
          <w:iCs/>
          <w:color w:val="014463" w:themeColor="text2"/>
          <w:szCs w:val="18"/>
        </w:rPr>
        <w:t xml:space="preserve">: </w:t>
      </w:r>
      <w:r w:rsidR="00296C16" w:rsidRPr="009D0A4A">
        <w:rPr>
          <w:rFonts w:asciiTheme="majorHAnsi" w:hAnsiTheme="majorHAnsi"/>
          <w:b/>
          <w:iCs/>
          <w:color w:val="014463" w:themeColor="text2"/>
          <w:szCs w:val="18"/>
        </w:rPr>
        <w:t xml:space="preserve">Comparison of </w:t>
      </w:r>
      <w:r w:rsidR="00296C16" w:rsidRPr="008B63FB">
        <w:rPr>
          <w:rFonts w:asciiTheme="majorHAnsi" w:hAnsiTheme="majorHAnsi"/>
          <w:b/>
          <w:iCs/>
          <w:color w:val="014463" w:themeColor="text2"/>
          <w:szCs w:val="18"/>
        </w:rPr>
        <w:t>n</w:t>
      </w:r>
      <w:r w:rsidR="00296C16" w:rsidRPr="00EF4444">
        <w:rPr>
          <w:rStyle w:val="Strong"/>
          <w:rFonts w:asciiTheme="majorHAnsi" w:hAnsiTheme="majorHAnsi" w:cstheme="minorHAnsi"/>
          <w:color w:val="014463" w:themeColor="text2"/>
          <w:sz w:val="18"/>
          <w:szCs w:val="18"/>
        </w:rPr>
        <w:t xml:space="preserve">et present cost for Options 2-5 over </w:t>
      </w:r>
      <w:r w:rsidR="004E3629" w:rsidRPr="00EF4444">
        <w:rPr>
          <w:rStyle w:val="Strong"/>
          <w:rFonts w:asciiTheme="majorHAnsi" w:hAnsiTheme="majorHAnsi" w:cstheme="minorHAnsi"/>
          <w:color w:val="014463" w:themeColor="text2"/>
          <w:sz w:val="18"/>
          <w:szCs w:val="18"/>
        </w:rPr>
        <w:t>10-year</w:t>
      </w:r>
      <w:r w:rsidR="00296C16" w:rsidRPr="00EF4444">
        <w:rPr>
          <w:rStyle w:val="Strong"/>
          <w:rFonts w:asciiTheme="majorHAnsi" w:hAnsiTheme="majorHAnsi" w:cstheme="minorHAnsi"/>
          <w:color w:val="014463" w:themeColor="text2"/>
          <w:sz w:val="18"/>
          <w:szCs w:val="18"/>
        </w:rPr>
        <w:t xml:space="preserve"> period ($m)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1570"/>
        <w:gridCol w:w="1568"/>
        <w:gridCol w:w="1568"/>
        <w:gridCol w:w="1567"/>
        <w:gridCol w:w="1567"/>
      </w:tblGrid>
      <w:tr w:rsidR="006F1AF7" w:rsidRPr="009D0A4A" w14:paraId="04D471D1" w14:textId="77777777" w:rsidTr="00AF6E84">
        <w:trPr>
          <w:trHeight w:val="188"/>
          <w:tblHeader/>
        </w:trPr>
        <w:tc>
          <w:tcPr>
            <w:tcW w:w="1158" w:type="pct"/>
            <w:shd w:val="clear" w:color="auto" w:fill="D1D1D1" w:themeFill="background2"/>
            <w:vAlign w:val="center"/>
          </w:tcPr>
          <w:p w14:paraId="4ADA6B20" w14:textId="77777777" w:rsidR="006F1AF7" w:rsidRPr="009D0A4A" w:rsidRDefault="006F1AF7" w:rsidP="007012B9">
            <w:pPr>
              <w:spacing w:before="60" w:after="60"/>
              <w:rPr>
                <w:rStyle w:val="Strong"/>
                <w:rFonts w:asciiTheme="majorHAnsi" w:hAnsiTheme="majorHAnsi" w:cstheme="minorHAnsi"/>
                <w:b w:val="0"/>
                <w:color w:val="auto"/>
                <w:sz w:val="18"/>
                <w:szCs w:val="18"/>
              </w:rPr>
            </w:pPr>
            <w:r w:rsidRPr="009D0A4A">
              <w:rPr>
                <w:rStyle w:val="Strong"/>
                <w:rFonts w:asciiTheme="majorHAnsi" w:hAnsiTheme="majorHAnsi"/>
                <w:color w:val="auto"/>
                <w:sz w:val="18"/>
                <w:szCs w:val="18"/>
              </w:rPr>
              <w:t>Criterion</w:t>
            </w:r>
          </w:p>
        </w:tc>
        <w:tc>
          <w:tcPr>
            <w:tcW w:w="769" w:type="pct"/>
            <w:shd w:val="clear" w:color="auto" w:fill="D1D1D1" w:themeFill="background2"/>
          </w:tcPr>
          <w:p w14:paraId="384C965F" w14:textId="77777777" w:rsidR="006F1AF7" w:rsidRPr="009D0A4A" w:rsidRDefault="006F1AF7" w:rsidP="007012B9">
            <w:pPr>
              <w:spacing w:before="60" w:after="60"/>
              <w:jc w:val="center"/>
              <w:rPr>
                <w:rStyle w:val="Strong"/>
                <w:rFonts w:asciiTheme="majorHAnsi" w:hAnsiTheme="majorHAnsi" w:cstheme="minorHAnsi"/>
                <w:sz w:val="18"/>
                <w:szCs w:val="18"/>
              </w:rPr>
            </w:pPr>
            <w:r w:rsidRPr="009D0A4A">
              <w:rPr>
                <w:rStyle w:val="Strong"/>
                <w:rFonts w:asciiTheme="majorHAnsi" w:hAnsiTheme="majorHAnsi" w:cstheme="minorHAnsi"/>
                <w:sz w:val="18"/>
                <w:szCs w:val="18"/>
              </w:rPr>
              <w:t>Option 2</w:t>
            </w:r>
          </w:p>
        </w:tc>
        <w:tc>
          <w:tcPr>
            <w:tcW w:w="768" w:type="pct"/>
            <w:shd w:val="clear" w:color="auto" w:fill="D1D1D1" w:themeFill="background2"/>
            <w:vAlign w:val="center"/>
          </w:tcPr>
          <w:p w14:paraId="6D319BFE" w14:textId="77777777" w:rsidR="006F1AF7" w:rsidRPr="009D0A4A" w:rsidRDefault="006F1AF7" w:rsidP="007012B9">
            <w:pPr>
              <w:spacing w:before="60" w:after="60"/>
              <w:jc w:val="center"/>
              <w:rPr>
                <w:rStyle w:val="Strong"/>
                <w:rFonts w:asciiTheme="majorHAnsi" w:hAnsiTheme="majorHAnsi" w:cstheme="minorHAnsi"/>
                <w:color w:val="auto"/>
                <w:sz w:val="18"/>
                <w:szCs w:val="18"/>
              </w:rPr>
            </w:pPr>
            <w:r w:rsidRPr="009D0A4A">
              <w:rPr>
                <w:rStyle w:val="Strong"/>
                <w:rFonts w:asciiTheme="majorHAnsi" w:hAnsiTheme="majorHAnsi" w:cstheme="minorHAnsi"/>
                <w:color w:val="auto"/>
                <w:sz w:val="18"/>
                <w:szCs w:val="18"/>
              </w:rPr>
              <w:t>O</w:t>
            </w:r>
            <w:r w:rsidRPr="009D0A4A">
              <w:rPr>
                <w:rStyle w:val="Strong"/>
                <w:rFonts w:asciiTheme="majorHAnsi" w:hAnsiTheme="majorHAnsi" w:cstheme="minorHAnsi"/>
                <w:sz w:val="18"/>
                <w:szCs w:val="18"/>
              </w:rPr>
              <w:t>ption 3</w:t>
            </w:r>
          </w:p>
        </w:tc>
        <w:tc>
          <w:tcPr>
            <w:tcW w:w="768" w:type="pct"/>
            <w:shd w:val="clear" w:color="auto" w:fill="D1D1D1" w:themeFill="background2"/>
          </w:tcPr>
          <w:p w14:paraId="233A452E" w14:textId="77777777" w:rsidR="006F1AF7" w:rsidRPr="009D0A4A" w:rsidRDefault="006F1AF7" w:rsidP="007012B9">
            <w:pPr>
              <w:spacing w:before="60" w:after="60"/>
              <w:jc w:val="center"/>
              <w:rPr>
                <w:rStyle w:val="Strong"/>
                <w:rFonts w:asciiTheme="majorHAnsi" w:hAnsiTheme="majorHAnsi" w:cstheme="minorHAnsi"/>
                <w:sz w:val="18"/>
                <w:szCs w:val="18"/>
              </w:rPr>
            </w:pPr>
            <w:r w:rsidRPr="009D0A4A">
              <w:rPr>
                <w:rStyle w:val="Strong"/>
                <w:rFonts w:asciiTheme="majorHAnsi" w:hAnsiTheme="majorHAnsi" w:cstheme="minorHAnsi"/>
                <w:sz w:val="18"/>
                <w:szCs w:val="18"/>
              </w:rPr>
              <w:t>Option 4</w:t>
            </w:r>
          </w:p>
        </w:tc>
        <w:tc>
          <w:tcPr>
            <w:tcW w:w="768" w:type="pct"/>
            <w:shd w:val="clear" w:color="auto" w:fill="D1D1D1" w:themeFill="background2"/>
          </w:tcPr>
          <w:p w14:paraId="0D7CAA64" w14:textId="77777777" w:rsidR="006F1AF7" w:rsidRPr="009D0A4A" w:rsidRDefault="006F1AF7" w:rsidP="007012B9">
            <w:pPr>
              <w:spacing w:before="60" w:after="60"/>
              <w:jc w:val="center"/>
              <w:rPr>
                <w:rStyle w:val="Strong"/>
                <w:rFonts w:asciiTheme="majorHAnsi" w:hAnsiTheme="majorHAnsi" w:cstheme="minorHAnsi"/>
                <w:sz w:val="18"/>
                <w:szCs w:val="18"/>
              </w:rPr>
            </w:pPr>
            <w:r w:rsidRPr="009D0A4A">
              <w:rPr>
                <w:rStyle w:val="Strong"/>
                <w:rFonts w:asciiTheme="majorHAnsi" w:hAnsiTheme="majorHAnsi" w:cstheme="minorHAnsi"/>
                <w:sz w:val="18"/>
                <w:szCs w:val="18"/>
              </w:rPr>
              <w:t>Option 5a</w:t>
            </w:r>
          </w:p>
        </w:tc>
        <w:tc>
          <w:tcPr>
            <w:tcW w:w="768" w:type="pct"/>
            <w:shd w:val="clear" w:color="auto" w:fill="D1D1D1" w:themeFill="background2"/>
          </w:tcPr>
          <w:p w14:paraId="02A1660B" w14:textId="77777777" w:rsidR="006F1AF7" w:rsidRPr="009D0A4A" w:rsidRDefault="006F1AF7" w:rsidP="007012B9">
            <w:pPr>
              <w:spacing w:before="60" w:after="60"/>
              <w:jc w:val="center"/>
              <w:rPr>
                <w:rStyle w:val="Strong"/>
                <w:rFonts w:asciiTheme="majorHAnsi" w:hAnsiTheme="majorHAnsi" w:cstheme="minorHAnsi"/>
                <w:sz w:val="18"/>
                <w:szCs w:val="18"/>
              </w:rPr>
            </w:pPr>
            <w:r w:rsidRPr="009D0A4A">
              <w:rPr>
                <w:rStyle w:val="Strong"/>
                <w:rFonts w:asciiTheme="majorHAnsi" w:hAnsiTheme="majorHAnsi" w:cstheme="minorHAnsi"/>
                <w:sz w:val="18"/>
                <w:szCs w:val="18"/>
              </w:rPr>
              <w:t>Option 5b</w:t>
            </w:r>
          </w:p>
        </w:tc>
      </w:tr>
      <w:tr w:rsidR="006F1AF7" w:rsidRPr="009D0A4A" w14:paraId="69A3AC12" w14:textId="77777777" w:rsidTr="00AF6E84">
        <w:trPr>
          <w:trHeight w:val="355"/>
        </w:trPr>
        <w:tc>
          <w:tcPr>
            <w:tcW w:w="1158" w:type="pct"/>
            <w:tcBorders>
              <w:top w:val="single" w:sz="8" w:space="0" w:color="D1D1D1" w:themeColor="background2"/>
              <w:bottom w:val="single" w:sz="8" w:space="0" w:color="D1D1D1" w:themeColor="background2"/>
            </w:tcBorders>
            <w:vAlign w:val="center"/>
          </w:tcPr>
          <w:p w14:paraId="651F0CC8" w14:textId="77777777" w:rsidR="006F1AF7" w:rsidRPr="009D0A4A" w:rsidRDefault="006F1AF7" w:rsidP="007012B9">
            <w:pPr>
              <w:spacing w:before="60" w:after="60"/>
              <w:rPr>
                <w:rFonts w:cstheme="minorHAnsi"/>
                <w:sz w:val="18"/>
                <w:szCs w:val="18"/>
              </w:rPr>
            </w:pPr>
            <w:r w:rsidRPr="009D0A4A">
              <w:rPr>
                <w:rFonts w:cstheme="minorHAnsi"/>
                <w:sz w:val="18"/>
                <w:szCs w:val="18"/>
              </w:rPr>
              <w:t>Cost to industry</w:t>
            </w:r>
          </w:p>
        </w:tc>
        <w:tc>
          <w:tcPr>
            <w:tcW w:w="769" w:type="pct"/>
            <w:tcBorders>
              <w:top w:val="single" w:sz="8" w:space="0" w:color="D1D1D1" w:themeColor="background2"/>
              <w:bottom w:val="single" w:sz="8" w:space="0" w:color="D1D1D1" w:themeColor="background2"/>
            </w:tcBorders>
            <w:vAlign w:val="center"/>
          </w:tcPr>
          <w:p w14:paraId="733A4BC8" w14:textId="77777777" w:rsidR="006F1AF7" w:rsidRPr="009D0A4A" w:rsidRDefault="006F1AF7" w:rsidP="007012B9">
            <w:pPr>
              <w:spacing w:before="60" w:after="60"/>
              <w:jc w:val="center"/>
              <w:rPr>
                <w:rFonts w:cstheme="minorHAnsi"/>
                <w:color w:val="000000"/>
                <w:sz w:val="18"/>
                <w:szCs w:val="18"/>
              </w:rPr>
            </w:pPr>
            <w:r w:rsidRPr="009D0A4A">
              <w:rPr>
                <w:rFonts w:cstheme="minorHAnsi"/>
                <w:color w:val="000000"/>
                <w:sz w:val="18"/>
                <w:szCs w:val="18"/>
              </w:rPr>
              <w:t>$0.00</w:t>
            </w:r>
          </w:p>
        </w:tc>
        <w:tc>
          <w:tcPr>
            <w:tcW w:w="768" w:type="pct"/>
            <w:tcBorders>
              <w:top w:val="single" w:sz="8" w:space="0" w:color="D1D1D1" w:themeColor="background2"/>
              <w:bottom w:val="single" w:sz="8" w:space="0" w:color="D1D1D1" w:themeColor="background2"/>
            </w:tcBorders>
            <w:vAlign w:val="center"/>
          </w:tcPr>
          <w:p w14:paraId="1E7A213C" w14:textId="77777777" w:rsidR="006F1AF7" w:rsidRPr="009D0A4A" w:rsidRDefault="006F1AF7" w:rsidP="007012B9">
            <w:pPr>
              <w:spacing w:before="60" w:after="60"/>
              <w:jc w:val="center"/>
              <w:rPr>
                <w:rFonts w:cstheme="minorHAnsi"/>
                <w:color w:val="000000"/>
                <w:sz w:val="18"/>
                <w:szCs w:val="18"/>
              </w:rPr>
            </w:pPr>
            <w:r w:rsidRPr="009D0A4A">
              <w:rPr>
                <w:rFonts w:cstheme="minorHAnsi"/>
                <w:color w:val="000000"/>
                <w:sz w:val="18"/>
                <w:szCs w:val="18"/>
              </w:rPr>
              <w:t>$0.00</w:t>
            </w:r>
          </w:p>
        </w:tc>
        <w:tc>
          <w:tcPr>
            <w:tcW w:w="768" w:type="pct"/>
            <w:tcBorders>
              <w:top w:val="single" w:sz="8" w:space="0" w:color="D1D1D1" w:themeColor="background2"/>
              <w:bottom w:val="single" w:sz="8" w:space="0" w:color="D1D1D1" w:themeColor="background2"/>
            </w:tcBorders>
            <w:vAlign w:val="center"/>
          </w:tcPr>
          <w:p w14:paraId="4E59ABB9" w14:textId="77777777" w:rsidR="006F1AF7" w:rsidRPr="009D0A4A" w:rsidRDefault="006F1AF7" w:rsidP="007012B9">
            <w:pPr>
              <w:spacing w:before="60" w:after="60"/>
              <w:jc w:val="center"/>
              <w:rPr>
                <w:rFonts w:cstheme="minorHAnsi"/>
                <w:color w:val="000000"/>
                <w:sz w:val="18"/>
                <w:szCs w:val="18"/>
              </w:rPr>
            </w:pPr>
            <w:r w:rsidRPr="009D0A4A">
              <w:rPr>
                <w:rFonts w:cstheme="minorHAnsi"/>
                <w:color w:val="000000"/>
                <w:sz w:val="18"/>
                <w:szCs w:val="18"/>
              </w:rPr>
              <w:t>$5.88</w:t>
            </w:r>
          </w:p>
        </w:tc>
        <w:tc>
          <w:tcPr>
            <w:tcW w:w="768" w:type="pct"/>
            <w:tcBorders>
              <w:top w:val="single" w:sz="8" w:space="0" w:color="D1D1D1" w:themeColor="background2"/>
              <w:bottom w:val="single" w:sz="8" w:space="0" w:color="D1D1D1" w:themeColor="background2"/>
            </w:tcBorders>
            <w:vAlign w:val="center"/>
          </w:tcPr>
          <w:p w14:paraId="611DC97F" w14:textId="77777777" w:rsidR="006F1AF7" w:rsidRPr="009D0A4A" w:rsidRDefault="006F1AF7" w:rsidP="007012B9">
            <w:pPr>
              <w:spacing w:before="60" w:after="60"/>
              <w:jc w:val="center"/>
              <w:rPr>
                <w:rFonts w:cstheme="minorHAnsi"/>
                <w:color w:val="000000"/>
                <w:sz w:val="18"/>
                <w:szCs w:val="18"/>
              </w:rPr>
            </w:pPr>
            <w:r w:rsidRPr="009D0A4A">
              <w:rPr>
                <w:rFonts w:cstheme="minorHAnsi"/>
                <w:color w:val="000000"/>
                <w:sz w:val="18"/>
                <w:szCs w:val="18"/>
              </w:rPr>
              <w:t>$194.86</w:t>
            </w:r>
          </w:p>
        </w:tc>
        <w:tc>
          <w:tcPr>
            <w:tcW w:w="768" w:type="pct"/>
            <w:tcBorders>
              <w:top w:val="single" w:sz="8" w:space="0" w:color="D1D1D1" w:themeColor="background2"/>
              <w:bottom w:val="single" w:sz="8" w:space="0" w:color="D1D1D1" w:themeColor="background2"/>
            </w:tcBorders>
            <w:vAlign w:val="center"/>
          </w:tcPr>
          <w:p w14:paraId="4EC7FF8D" w14:textId="77777777" w:rsidR="006F1AF7" w:rsidRPr="009D0A4A" w:rsidRDefault="006F1AF7" w:rsidP="007012B9">
            <w:pPr>
              <w:spacing w:before="60" w:after="60"/>
              <w:jc w:val="center"/>
              <w:rPr>
                <w:rFonts w:cstheme="minorHAnsi"/>
                <w:color w:val="000000"/>
                <w:sz w:val="18"/>
                <w:szCs w:val="18"/>
              </w:rPr>
            </w:pPr>
            <w:r w:rsidRPr="009D0A4A">
              <w:rPr>
                <w:rFonts w:cstheme="minorHAnsi"/>
                <w:color w:val="000000"/>
                <w:sz w:val="18"/>
                <w:szCs w:val="18"/>
              </w:rPr>
              <w:t>$192.21</w:t>
            </w:r>
          </w:p>
        </w:tc>
      </w:tr>
      <w:tr w:rsidR="006F1AF7" w:rsidRPr="009D0A4A" w14:paraId="6E966556" w14:textId="77777777" w:rsidTr="00AF6E84">
        <w:trPr>
          <w:trHeight w:val="355"/>
        </w:trPr>
        <w:tc>
          <w:tcPr>
            <w:tcW w:w="1158" w:type="pct"/>
            <w:tcBorders>
              <w:top w:val="single" w:sz="8" w:space="0" w:color="D1D1D1" w:themeColor="background2"/>
              <w:bottom w:val="single" w:sz="8" w:space="0" w:color="D1D1D1" w:themeColor="background2"/>
            </w:tcBorders>
            <w:shd w:val="clear" w:color="auto" w:fill="auto"/>
            <w:vAlign w:val="center"/>
          </w:tcPr>
          <w:p w14:paraId="470D254D" w14:textId="77777777" w:rsidR="006F1AF7" w:rsidRPr="009D0A4A" w:rsidRDefault="006F1AF7" w:rsidP="007012B9">
            <w:pPr>
              <w:spacing w:before="60" w:after="60"/>
              <w:rPr>
                <w:rFonts w:cstheme="minorHAnsi"/>
                <w:sz w:val="18"/>
                <w:szCs w:val="18"/>
              </w:rPr>
            </w:pPr>
            <w:r w:rsidRPr="009D0A4A">
              <w:rPr>
                <w:rFonts w:cstheme="minorHAnsi"/>
                <w:sz w:val="18"/>
                <w:szCs w:val="18"/>
              </w:rPr>
              <w:t>Cost to government</w:t>
            </w:r>
          </w:p>
        </w:tc>
        <w:tc>
          <w:tcPr>
            <w:tcW w:w="769" w:type="pct"/>
            <w:tcBorders>
              <w:top w:val="single" w:sz="8" w:space="0" w:color="D1D1D1" w:themeColor="background2"/>
              <w:bottom w:val="single" w:sz="8" w:space="0" w:color="D1D1D1" w:themeColor="background2"/>
            </w:tcBorders>
            <w:vAlign w:val="center"/>
          </w:tcPr>
          <w:p w14:paraId="5E5CD0FD" w14:textId="77777777" w:rsidR="006F1AF7" w:rsidRPr="009D0A4A" w:rsidRDefault="006F1AF7" w:rsidP="007012B9">
            <w:pPr>
              <w:spacing w:before="60" w:after="60"/>
              <w:jc w:val="center"/>
              <w:rPr>
                <w:rFonts w:cstheme="minorHAnsi"/>
                <w:color w:val="000000"/>
                <w:sz w:val="18"/>
                <w:szCs w:val="18"/>
              </w:rPr>
            </w:pPr>
            <w:r w:rsidRPr="009D0A4A">
              <w:rPr>
                <w:rFonts w:cstheme="minorHAnsi"/>
                <w:color w:val="000000"/>
                <w:sz w:val="18"/>
                <w:szCs w:val="18"/>
              </w:rPr>
              <w:t>$6.08</w:t>
            </w:r>
          </w:p>
        </w:tc>
        <w:tc>
          <w:tcPr>
            <w:tcW w:w="768" w:type="pct"/>
            <w:tcBorders>
              <w:top w:val="single" w:sz="8" w:space="0" w:color="D1D1D1" w:themeColor="background2"/>
              <w:bottom w:val="single" w:sz="8" w:space="0" w:color="D1D1D1" w:themeColor="background2"/>
            </w:tcBorders>
            <w:shd w:val="clear" w:color="auto" w:fill="auto"/>
            <w:vAlign w:val="center"/>
          </w:tcPr>
          <w:p w14:paraId="29CA67D5" w14:textId="0B6B2E14" w:rsidR="006F1AF7" w:rsidRPr="009D0A4A" w:rsidRDefault="006F1AF7" w:rsidP="007012B9">
            <w:pPr>
              <w:spacing w:before="60" w:after="60"/>
              <w:jc w:val="center"/>
              <w:rPr>
                <w:rFonts w:cstheme="minorHAnsi"/>
                <w:color w:val="000000"/>
                <w:sz w:val="18"/>
                <w:szCs w:val="18"/>
              </w:rPr>
            </w:pPr>
            <w:r w:rsidRPr="009D0A4A">
              <w:rPr>
                <w:rFonts w:cstheme="minorHAnsi"/>
                <w:color w:val="000000"/>
                <w:sz w:val="18"/>
                <w:szCs w:val="18"/>
              </w:rPr>
              <w:t>$0.1</w:t>
            </w:r>
            <w:r w:rsidR="00CF0C15" w:rsidRPr="009D0A4A">
              <w:rPr>
                <w:rFonts w:cstheme="minorHAnsi"/>
                <w:color w:val="000000"/>
                <w:sz w:val="18"/>
                <w:szCs w:val="18"/>
              </w:rPr>
              <w:t>1</w:t>
            </w:r>
          </w:p>
        </w:tc>
        <w:tc>
          <w:tcPr>
            <w:tcW w:w="768" w:type="pct"/>
            <w:tcBorders>
              <w:top w:val="single" w:sz="8" w:space="0" w:color="D1D1D1" w:themeColor="background2"/>
              <w:bottom w:val="single" w:sz="8" w:space="0" w:color="D1D1D1" w:themeColor="background2"/>
            </w:tcBorders>
            <w:vAlign w:val="center"/>
          </w:tcPr>
          <w:p w14:paraId="54FE1BC3" w14:textId="12DA7748" w:rsidR="006F1AF7" w:rsidRPr="009D0A4A" w:rsidRDefault="006F1AF7" w:rsidP="007012B9">
            <w:pPr>
              <w:spacing w:before="60" w:after="60"/>
              <w:jc w:val="center"/>
              <w:rPr>
                <w:rFonts w:cstheme="minorHAnsi"/>
                <w:color w:val="000000"/>
                <w:sz w:val="18"/>
                <w:szCs w:val="18"/>
              </w:rPr>
            </w:pPr>
            <w:r w:rsidRPr="009D0A4A">
              <w:rPr>
                <w:rFonts w:cstheme="minorHAnsi"/>
                <w:color w:val="000000"/>
                <w:sz w:val="18"/>
                <w:szCs w:val="18"/>
              </w:rPr>
              <w:t>$</w:t>
            </w:r>
            <w:r w:rsidR="00515F87" w:rsidRPr="009D0A4A">
              <w:rPr>
                <w:rFonts w:cstheme="minorHAnsi"/>
                <w:color w:val="000000"/>
                <w:sz w:val="18"/>
                <w:szCs w:val="18"/>
              </w:rPr>
              <w:t>18.14</w:t>
            </w:r>
          </w:p>
        </w:tc>
        <w:tc>
          <w:tcPr>
            <w:tcW w:w="768" w:type="pct"/>
            <w:tcBorders>
              <w:top w:val="single" w:sz="8" w:space="0" w:color="D1D1D1" w:themeColor="background2"/>
              <w:bottom w:val="single" w:sz="8" w:space="0" w:color="D1D1D1" w:themeColor="background2"/>
            </w:tcBorders>
            <w:vAlign w:val="center"/>
          </w:tcPr>
          <w:p w14:paraId="337BE953" w14:textId="621ECCC9" w:rsidR="006F1AF7" w:rsidRPr="009D0A4A" w:rsidRDefault="006F1AF7" w:rsidP="007012B9">
            <w:pPr>
              <w:spacing w:before="60" w:after="60"/>
              <w:jc w:val="center"/>
              <w:rPr>
                <w:rFonts w:cstheme="minorHAnsi"/>
                <w:color w:val="000000"/>
                <w:sz w:val="18"/>
                <w:szCs w:val="18"/>
              </w:rPr>
            </w:pPr>
            <w:r w:rsidRPr="009D0A4A">
              <w:rPr>
                <w:rFonts w:cstheme="minorHAnsi"/>
                <w:color w:val="000000"/>
                <w:sz w:val="18"/>
                <w:szCs w:val="18"/>
              </w:rPr>
              <w:t>$0.</w:t>
            </w:r>
            <w:r w:rsidR="00023324" w:rsidRPr="009D0A4A">
              <w:rPr>
                <w:rFonts w:cstheme="minorHAnsi"/>
                <w:color w:val="000000"/>
                <w:sz w:val="18"/>
                <w:szCs w:val="18"/>
              </w:rPr>
              <w:t>49</w:t>
            </w:r>
          </w:p>
        </w:tc>
        <w:tc>
          <w:tcPr>
            <w:tcW w:w="768" w:type="pct"/>
            <w:tcBorders>
              <w:top w:val="single" w:sz="8" w:space="0" w:color="D1D1D1" w:themeColor="background2"/>
              <w:bottom w:val="single" w:sz="8" w:space="0" w:color="D1D1D1" w:themeColor="background2"/>
            </w:tcBorders>
            <w:vAlign w:val="center"/>
          </w:tcPr>
          <w:p w14:paraId="33B2D4B1" w14:textId="52A32DBC" w:rsidR="006F1AF7" w:rsidRPr="009D0A4A" w:rsidRDefault="006F1AF7" w:rsidP="007012B9">
            <w:pPr>
              <w:spacing w:before="60" w:after="60"/>
              <w:jc w:val="center"/>
              <w:rPr>
                <w:rFonts w:cstheme="minorHAnsi"/>
                <w:color w:val="000000"/>
                <w:sz w:val="18"/>
                <w:szCs w:val="18"/>
              </w:rPr>
            </w:pPr>
            <w:r w:rsidRPr="009D0A4A">
              <w:rPr>
                <w:rFonts w:cstheme="minorHAnsi"/>
                <w:color w:val="000000"/>
                <w:sz w:val="18"/>
                <w:szCs w:val="18"/>
              </w:rPr>
              <w:t>$0.</w:t>
            </w:r>
            <w:r w:rsidR="00023324" w:rsidRPr="009D0A4A">
              <w:rPr>
                <w:rFonts w:cstheme="minorHAnsi"/>
                <w:color w:val="000000"/>
                <w:sz w:val="18"/>
                <w:szCs w:val="18"/>
              </w:rPr>
              <w:t>49</w:t>
            </w:r>
          </w:p>
        </w:tc>
      </w:tr>
      <w:tr w:rsidR="006F1AF7" w:rsidRPr="009D0A4A" w14:paraId="3196F225" w14:textId="77777777" w:rsidTr="00AF6E84">
        <w:trPr>
          <w:trHeight w:val="355"/>
        </w:trPr>
        <w:tc>
          <w:tcPr>
            <w:tcW w:w="1158"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1ABA88AF" w14:textId="77777777" w:rsidR="006F1AF7" w:rsidRPr="009D0A4A" w:rsidRDefault="006F1AF7" w:rsidP="00AF6E84">
            <w:pPr>
              <w:spacing w:after="60"/>
              <w:rPr>
                <w:b/>
                <w:bCs/>
                <w:sz w:val="18"/>
                <w:szCs w:val="18"/>
              </w:rPr>
            </w:pPr>
            <w:r w:rsidRPr="009D0A4A">
              <w:rPr>
                <w:b/>
                <w:bCs/>
                <w:sz w:val="18"/>
                <w:szCs w:val="18"/>
              </w:rPr>
              <w:t>Total cost</w:t>
            </w:r>
          </w:p>
        </w:tc>
        <w:tc>
          <w:tcPr>
            <w:tcW w:w="769"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011A5F8B" w14:textId="77777777" w:rsidR="006F1AF7" w:rsidRPr="009D0A4A" w:rsidRDefault="006F1AF7" w:rsidP="00AF6E84">
            <w:pPr>
              <w:spacing w:after="60"/>
              <w:jc w:val="center"/>
              <w:rPr>
                <w:rFonts w:cstheme="minorHAnsi"/>
                <w:b/>
                <w:bCs/>
                <w:color w:val="000000"/>
                <w:sz w:val="18"/>
                <w:szCs w:val="18"/>
              </w:rPr>
            </w:pPr>
            <w:r w:rsidRPr="009D0A4A">
              <w:rPr>
                <w:rFonts w:cstheme="minorHAnsi"/>
                <w:b/>
                <w:bCs/>
                <w:color w:val="000000"/>
                <w:sz w:val="18"/>
                <w:szCs w:val="18"/>
              </w:rPr>
              <w:t>$6.08</w:t>
            </w:r>
          </w:p>
        </w:tc>
        <w:tc>
          <w:tcPr>
            <w:tcW w:w="768"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6BD01349" w14:textId="0DADFE47" w:rsidR="006F1AF7" w:rsidRPr="009D0A4A" w:rsidRDefault="006F1AF7" w:rsidP="00AF6E84">
            <w:pPr>
              <w:spacing w:after="60"/>
              <w:jc w:val="center"/>
              <w:rPr>
                <w:rFonts w:cstheme="minorHAnsi"/>
                <w:b/>
                <w:bCs/>
                <w:color w:val="000000"/>
                <w:sz w:val="18"/>
                <w:szCs w:val="18"/>
              </w:rPr>
            </w:pPr>
            <w:r w:rsidRPr="009D0A4A">
              <w:rPr>
                <w:rFonts w:cstheme="minorHAnsi"/>
                <w:b/>
                <w:bCs/>
                <w:color w:val="000000"/>
                <w:sz w:val="18"/>
                <w:szCs w:val="18"/>
              </w:rPr>
              <w:t>$0.1</w:t>
            </w:r>
            <w:r w:rsidR="00CF0C15" w:rsidRPr="009D0A4A">
              <w:rPr>
                <w:rFonts w:cstheme="minorHAnsi"/>
                <w:b/>
                <w:bCs/>
                <w:color w:val="000000"/>
                <w:sz w:val="18"/>
                <w:szCs w:val="18"/>
              </w:rPr>
              <w:t>1</w:t>
            </w:r>
          </w:p>
        </w:tc>
        <w:tc>
          <w:tcPr>
            <w:tcW w:w="768"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2880D5C7" w14:textId="7DBBAD4E" w:rsidR="006F1AF7" w:rsidRPr="009D0A4A" w:rsidRDefault="006F1AF7" w:rsidP="00AF6E84">
            <w:pPr>
              <w:spacing w:after="60"/>
              <w:jc w:val="center"/>
              <w:rPr>
                <w:rFonts w:cstheme="minorHAnsi"/>
                <w:b/>
                <w:bCs/>
                <w:color w:val="000000"/>
                <w:sz w:val="18"/>
                <w:szCs w:val="18"/>
              </w:rPr>
            </w:pPr>
            <w:r w:rsidRPr="009D0A4A">
              <w:rPr>
                <w:rFonts w:cstheme="minorHAnsi"/>
                <w:b/>
                <w:bCs/>
                <w:color w:val="000000"/>
                <w:sz w:val="18"/>
                <w:szCs w:val="18"/>
              </w:rPr>
              <w:t>$</w:t>
            </w:r>
            <w:r w:rsidR="00525507" w:rsidRPr="009D0A4A">
              <w:rPr>
                <w:rFonts w:cstheme="minorHAnsi"/>
                <w:b/>
                <w:bCs/>
                <w:color w:val="000000"/>
                <w:sz w:val="18"/>
                <w:szCs w:val="18"/>
              </w:rPr>
              <w:t>24.02</w:t>
            </w:r>
          </w:p>
        </w:tc>
        <w:tc>
          <w:tcPr>
            <w:tcW w:w="768"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7195F4DA" w14:textId="76F428D0" w:rsidR="006F1AF7" w:rsidRPr="009D0A4A" w:rsidRDefault="006F1AF7" w:rsidP="00AF6E84">
            <w:pPr>
              <w:spacing w:after="60"/>
              <w:jc w:val="center"/>
              <w:rPr>
                <w:rFonts w:cstheme="minorHAnsi"/>
                <w:b/>
                <w:bCs/>
                <w:color w:val="000000"/>
                <w:sz w:val="18"/>
                <w:szCs w:val="18"/>
              </w:rPr>
            </w:pPr>
            <w:r w:rsidRPr="009D0A4A">
              <w:rPr>
                <w:rFonts w:cstheme="minorHAnsi"/>
                <w:b/>
                <w:bCs/>
                <w:color w:val="000000"/>
                <w:sz w:val="18"/>
                <w:szCs w:val="18"/>
              </w:rPr>
              <w:t>$195.</w:t>
            </w:r>
            <w:r w:rsidR="00023324" w:rsidRPr="009D0A4A">
              <w:rPr>
                <w:rFonts w:cstheme="minorHAnsi"/>
                <w:b/>
                <w:bCs/>
                <w:color w:val="000000"/>
                <w:sz w:val="18"/>
                <w:szCs w:val="18"/>
              </w:rPr>
              <w:t>35</w:t>
            </w:r>
          </w:p>
        </w:tc>
        <w:tc>
          <w:tcPr>
            <w:tcW w:w="768"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20DF4CED" w14:textId="0FCE999E" w:rsidR="006F1AF7" w:rsidRPr="009D0A4A" w:rsidRDefault="006F1AF7" w:rsidP="00AF6E84">
            <w:pPr>
              <w:spacing w:after="60"/>
              <w:jc w:val="center"/>
              <w:rPr>
                <w:rFonts w:cstheme="minorHAnsi"/>
                <w:b/>
                <w:bCs/>
                <w:color w:val="000000"/>
                <w:sz w:val="18"/>
                <w:szCs w:val="18"/>
              </w:rPr>
            </w:pPr>
            <w:r w:rsidRPr="009D0A4A">
              <w:rPr>
                <w:rFonts w:cstheme="minorHAnsi"/>
                <w:b/>
                <w:bCs/>
                <w:color w:val="000000"/>
                <w:sz w:val="18"/>
                <w:szCs w:val="18"/>
              </w:rPr>
              <w:t>$192.</w:t>
            </w:r>
            <w:r w:rsidR="00023324" w:rsidRPr="009D0A4A">
              <w:rPr>
                <w:rFonts w:cstheme="minorHAnsi"/>
                <w:b/>
                <w:bCs/>
                <w:color w:val="000000"/>
                <w:sz w:val="18"/>
                <w:szCs w:val="18"/>
              </w:rPr>
              <w:t>70</w:t>
            </w:r>
          </w:p>
        </w:tc>
      </w:tr>
    </w:tbl>
    <w:p w14:paraId="06D44B50" w14:textId="55CD9C1B" w:rsidR="006F1AF7" w:rsidRPr="009D0A4A" w:rsidRDefault="006F1AF7" w:rsidP="003801F8">
      <w:pPr>
        <w:pStyle w:val="Heading2"/>
      </w:pPr>
      <w:bookmarkStart w:id="650" w:name="_Toc107395334"/>
      <w:bookmarkEnd w:id="648"/>
      <w:bookmarkEnd w:id="649"/>
      <w:r w:rsidRPr="009D0A4A">
        <w:t>Effectiveness</w:t>
      </w:r>
      <w:bookmarkEnd w:id="650"/>
    </w:p>
    <w:p w14:paraId="1959F5AF" w14:textId="09B2FB4F" w:rsidR="006F1AF7" w:rsidRPr="009D0A4A" w:rsidRDefault="006F1AF7" w:rsidP="0030750F">
      <w:pPr>
        <w:pStyle w:val="Heading3"/>
      </w:pPr>
      <w:r w:rsidRPr="009D0A4A">
        <w:t>Option 1</w:t>
      </w:r>
      <w:r w:rsidR="00D14CC1" w:rsidRPr="009D0A4A">
        <w:t>:</w:t>
      </w:r>
      <w:r w:rsidRPr="009D0A4A">
        <w:t xml:space="preserve"> </w:t>
      </w:r>
      <w:r w:rsidR="00E03F7B" w:rsidRPr="009D0A4A">
        <w:t>Base case</w:t>
      </w:r>
    </w:p>
    <w:p w14:paraId="2B330834" w14:textId="5DBE4127" w:rsidR="006F1AF7" w:rsidRPr="009D0A4A" w:rsidRDefault="006F1AF7" w:rsidP="007012B9">
      <w:pPr>
        <w:pStyle w:val="BodyText"/>
        <w:jc w:val="both"/>
      </w:pPr>
      <w:r w:rsidRPr="009D0A4A">
        <w:t xml:space="preserve">The </w:t>
      </w:r>
      <w:r w:rsidR="00E03F7B" w:rsidRPr="009D0A4A">
        <w:t>base case</w:t>
      </w:r>
      <w:r w:rsidRPr="009D0A4A">
        <w:t xml:space="preserve"> describes the current regulatory and non-regulatory measures implemented to minimise the risks of RCS and consequently, reduce the </w:t>
      </w:r>
      <w:r w:rsidR="009F18B4" w:rsidRPr="009D0A4A">
        <w:t>number of cases of</w:t>
      </w:r>
      <w:r w:rsidRPr="009D0A4A">
        <w:t xml:space="preserve"> silicosis and other silica related diseases (see Section </w:t>
      </w:r>
      <w:r w:rsidR="000F7F24" w:rsidRPr="009D0A4A">
        <w:t>4</w:t>
      </w:r>
      <w:r w:rsidRPr="009D0A4A">
        <w:t xml:space="preserve">.2). As outlined in Chapter 3, factors such as a lack of understanding of </w:t>
      </w:r>
      <w:r w:rsidR="00880680" w:rsidRPr="009D0A4A">
        <w:t>silica related</w:t>
      </w:r>
      <w:r w:rsidRPr="009D0A4A">
        <w:t xml:space="preserve"> risks and current regulatory requirements, and levels of compliance and enforcement, have led to workplace exposure to RCS. As set out in Chapter 4, </w:t>
      </w:r>
      <w:r w:rsidR="005C2BA7" w:rsidRPr="009D0A4A">
        <w:t xml:space="preserve">current experience indicates that </w:t>
      </w:r>
      <w:r w:rsidRPr="009D0A4A">
        <w:t xml:space="preserve">due to </w:t>
      </w:r>
      <w:r w:rsidR="005C2BA7" w:rsidRPr="009D0A4A">
        <w:t xml:space="preserve">the </w:t>
      </w:r>
      <w:r w:rsidRPr="009D0A4A">
        <w:t>wide range of materials that contain crystalline silica</w:t>
      </w:r>
      <w:r w:rsidR="005C2BA7" w:rsidRPr="009D0A4A">
        <w:t xml:space="preserve">, the range of affected industries, and the current levels of </w:t>
      </w:r>
      <w:r w:rsidR="00A35B7F" w:rsidRPr="009D0A4A">
        <w:t xml:space="preserve">silicosis </w:t>
      </w:r>
      <w:r w:rsidR="005C2BA7" w:rsidRPr="009D0A4A">
        <w:t>and silica related diseases,</w:t>
      </w:r>
      <w:r w:rsidRPr="009D0A4A">
        <w:t xml:space="preserve"> it is unlikely that the market will effectively address this issue </w:t>
      </w:r>
      <w:r w:rsidR="005C2BA7" w:rsidRPr="009D0A4A">
        <w:t>without government intervention. In many cases, it is not viable to substitute other materials</w:t>
      </w:r>
      <w:r w:rsidRPr="009D0A4A">
        <w:t xml:space="preserve"> (</w:t>
      </w:r>
      <w:r w:rsidR="004E3629" w:rsidRPr="009D0A4A">
        <w:t>e.g.,</w:t>
      </w:r>
      <w:r w:rsidRPr="009D0A4A">
        <w:t xml:space="preserve"> bricks and concrete) or alternative processes</w:t>
      </w:r>
      <w:r w:rsidR="005C2BA7" w:rsidRPr="009D0A4A">
        <w:t xml:space="preserve"> to minimise the risks of RCS</w:t>
      </w:r>
      <w:r w:rsidRPr="009D0A4A">
        <w:t>.</w:t>
      </w:r>
    </w:p>
    <w:p w14:paraId="5FCE6D42" w14:textId="3EBD73D3" w:rsidR="006F1AF7" w:rsidRPr="009D0A4A" w:rsidRDefault="006F1AF7" w:rsidP="007012B9">
      <w:pPr>
        <w:pStyle w:val="BodyText"/>
        <w:jc w:val="both"/>
      </w:pPr>
      <w:r w:rsidRPr="009D0A4A">
        <w:rPr>
          <w:szCs w:val="32"/>
        </w:rPr>
        <w:t xml:space="preserve">While not considered an acceptable option, the </w:t>
      </w:r>
      <w:r w:rsidR="00E03F7B" w:rsidRPr="009D0A4A">
        <w:rPr>
          <w:szCs w:val="32"/>
        </w:rPr>
        <w:t>base case</w:t>
      </w:r>
      <w:r w:rsidRPr="009D0A4A">
        <w:rPr>
          <w:szCs w:val="32"/>
        </w:rPr>
        <w:t xml:space="preserve"> has been included for comparison to demonstrate the incremental impact of regulatory/non-regulatory changes over and above the baseline option.</w:t>
      </w:r>
    </w:p>
    <w:p w14:paraId="0D4269ED" w14:textId="65F2192D" w:rsidR="006F1AF7" w:rsidRPr="009D0A4A" w:rsidRDefault="006F1AF7" w:rsidP="0030750F">
      <w:pPr>
        <w:pStyle w:val="Heading3"/>
      </w:pPr>
      <w:r w:rsidRPr="009D0A4A">
        <w:t xml:space="preserve">Option 2: </w:t>
      </w:r>
      <w:r w:rsidR="00DC0658" w:rsidRPr="009D0A4A">
        <w:t>National a</w:t>
      </w:r>
      <w:r w:rsidRPr="009D0A4A">
        <w:t xml:space="preserve">wareness and behaviour change initiatives </w:t>
      </w:r>
    </w:p>
    <w:p w14:paraId="47E6609F" w14:textId="20FE5470" w:rsidR="006F1AF7" w:rsidRPr="009D0A4A" w:rsidRDefault="006F1AF7" w:rsidP="007012B9">
      <w:pPr>
        <w:pStyle w:val="BodyText"/>
        <w:jc w:val="both"/>
        <w:rPr>
          <w:rFonts w:eastAsia="Arial" w:cstheme="minorHAnsi"/>
        </w:rPr>
      </w:pPr>
      <w:r w:rsidRPr="009D0A4A">
        <w:rPr>
          <w:rFonts w:cstheme="minorHAnsi"/>
        </w:rPr>
        <w:t xml:space="preserve">As described in </w:t>
      </w:r>
      <w:r w:rsidR="009F18B4" w:rsidRPr="009D0A4A">
        <w:rPr>
          <w:rFonts w:cstheme="minorHAnsi"/>
        </w:rPr>
        <w:t>Section 4.3</w:t>
      </w:r>
      <w:r w:rsidRPr="009D0A4A">
        <w:rPr>
          <w:rFonts w:cstheme="minorHAnsi"/>
        </w:rPr>
        <w:t xml:space="preserve">, Option 2 includes additional awareness and behaviour change initiatives </w:t>
      </w:r>
      <w:r w:rsidRPr="009D0A4A">
        <w:t>targeted at workers, PCBUs and other duty holders in the construction, manufacturing, demolition, tunnelling, quarrying and mining industries.</w:t>
      </w:r>
    </w:p>
    <w:p w14:paraId="6C157E17" w14:textId="0511480A" w:rsidR="006F1AF7" w:rsidRPr="009D0A4A" w:rsidRDefault="006F1AF7" w:rsidP="007012B9">
      <w:pPr>
        <w:pStyle w:val="BodyText"/>
        <w:jc w:val="both"/>
        <w:rPr>
          <w:rFonts w:eastAsia="Arial" w:cstheme="minorHAnsi"/>
        </w:rPr>
      </w:pPr>
      <w:r w:rsidRPr="009D0A4A">
        <w:rPr>
          <w:rFonts w:eastAsia="Arial" w:cstheme="minorHAnsi"/>
        </w:rPr>
        <w:t xml:space="preserve">Targeted and accessible </w:t>
      </w:r>
      <w:r w:rsidR="00FC3FE4" w:rsidRPr="009D0A4A">
        <w:rPr>
          <w:rFonts w:eastAsia="Arial" w:cstheme="minorHAnsi"/>
        </w:rPr>
        <w:t xml:space="preserve">awareness and </w:t>
      </w:r>
      <w:r w:rsidRPr="009D0A4A">
        <w:rPr>
          <w:rFonts w:eastAsia="Arial" w:cstheme="minorHAnsi"/>
        </w:rPr>
        <w:t xml:space="preserve">behaviour change </w:t>
      </w:r>
      <w:r w:rsidR="00F043F6" w:rsidRPr="009D0A4A">
        <w:rPr>
          <w:rFonts w:eastAsia="Arial" w:cstheme="minorHAnsi"/>
        </w:rPr>
        <w:t xml:space="preserve">initiatives </w:t>
      </w:r>
      <w:r w:rsidRPr="009D0A4A">
        <w:rPr>
          <w:rFonts w:eastAsia="Arial" w:cstheme="minorHAnsi"/>
        </w:rPr>
        <w:t xml:space="preserve">are expected to lead to increased compliance, a reduction in workplace exposure to RCS and reduced instances of silicosis and silica related diseases </w:t>
      </w:r>
      <w:r w:rsidR="005C2BA7" w:rsidRPr="009D0A4A">
        <w:rPr>
          <w:rFonts w:eastAsia="Arial" w:cstheme="minorHAnsi"/>
        </w:rPr>
        <w:t>compared with</w:t>
      </w:r>
      <w:r w:rsidRPr="009D0A4A">
        <w:rPr>
          <w:rFonts w:eastAsia="Arial" w:cstheme="minorHAnsi"/>
        </w:rPr>
        <w:t xml:space="preserve"> </w:t>
      </w:r>
      <w:r w:rsidR="00E03F7B" w:rsidRPr="009D0A4A">
        <w:rPr>
          <w:rFonts w:eastAsia="Arial" w:cstheme="minorHAnsi"/>
        </w:rPr>
        <w:t>base case</w:t>
      </w:r>
      <w:r w:rsidRPr="009D0A4A">
        <w:rPr>
          <w:rFonts w:eastAsia="Arial" w:cstheme="minorHAnsi"/>
        </w:rPr>
        <w:t xml:space="preserve"> as this option </w:t>
      </w:r>
      <w:r w:rsidR="00C77596" w:rsidRPr="009D0A4A">
        <w:rPr>
          <w:rFonts w:eastAsia="Arial" w:cstheme="minorHAnsi"/>
        </w:rPr>
        <w:t>would</w:t>
      </w:r>
      <w:r w:rsidRPr="009D0A4A">
        <w:rPr>
          <w:rFonts w:eastAsia="Arial" w:cstheme="minorHAnsi"/>
        </w:rPr>
        <w:t>:</w:t>
      </w:r>
    </w:p>
    <w:p w14:paraId="0F931964" w14:textId="2C352DF1"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provide industry specific information to workers and PCBUs</w:t>
      </w:r>
      <w:r w:rsidR="000E4EFC" w:rsidRPr="009D0A4A">
        <w:rPr>
          <w:rFonts w:asciiTheme="minorHAnsi" w:hAnsiTheme="minorHAnsi" w:cstheme="minorHAnsi"/>
          <w:sz w:val="20"/>
          <w:szCs w:val="20"/>
        </w:rPr>
        <w:t xml:space="preserve"> and other duty holders, targeting changing compliance behaviours, and </w:t>
      </w:r>
    </w:p>
    <w:p w14:paraId="44C75F82" w14:textId="2E5E5C35" w:rsidR="000E4EFC" w:rsidRPr="009D0A4A" w:rsidRDefault="000E4EFC"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aim to </w:t>
      </w:r>
      <w:r w:rsidR="006F1AF7" w:rsidRPr="009D0A4A">
        <w:rPr>
          <w:rFonts w:asciiTheme="minorHAnsi" w:hAnsiTheme="minorHAnsi" w:cstheme="minorHAnsi"/>
          <w:sz w:val="20"/>
          <w:szCs w:val="20"/>
        </w:rPr>
        <w:t>reach a broad audience</w:t>
      </w:r>
      <w:r w:rsidRPr="009D0A4A">
        <w:rPr>
          <w:rFonts w:asciiTheme="minorHAnsi" w:hAnsiTheme="minorHAnsi" w:cstheme="minorHAnsi"/>
          <w:sz w:val="20"/>
          <w:szCs w:val="20"/>
        </w:rPr>
        <w:t xml:space="preserve"> across a wider range of industries.  </w:t>
      </w:r>
    </w:p>
    <w:p w14:paraId="50FDA772" w14:textId="592D8824" w:rsidR="005F113F" w:rsidRPr="009D0A4A" w:rsidRDefault="006F1AF7" w:rsidP="005F113F">
      <w:pPr>
        <w:pStyle w:val="BodyText"/>
        <w:jc w:val="both"/>
        <w:rPr>
          <w:rFonts w:eastAsia="Arial" w:cstheme="minorHAnsi"/>
        </w:rPr>
      </w:pPr>
      <w:r w:rsidRPr="009D0A4A">
        <w:rPr>
          <w:rFonts w:eastAsia="Arial" w:cstheme="minorHAnsi"/>
        </w:rPr>
        <w:lastRenderedPageBreak/>
        <w:t xml:space="preserve">Awareness and behaviour change initiatives are </w:t>
      </w:r>
      <w:r w:rsidR="008B7ED2" w:rsidRPr="009D0A4A">
        <w:rPr>
          <w:rFonts w:eastAsia="Arial" w:cstheme="minorHAnsi"/>
        </w:rPr>
        <w:t>expected</w:t>
      </w:r>
      <w:r w:rsidRPr="009D0A4A">
        <w:rPr>
          <w:rFonts w:eastAsia="Arial" w:cstheme="minorHAnsi"/>
        </w:rPr>
        <w:t xml:space="preserve"> to improve compliance with the model WHS laws</w:t>
      </w:r>
      <w:r w:rsidR="00563F2E" w:rsidRPr="009D0A4A">
        <w:rPr>
          <w:rFonts w:eastAsia="Arial" w:cstheme="minorHAnsi"/>
        </w:rPr>
        <w:t xml:space="preserve">, particularly for those </w:t>
      </w:r>
      <w:r w:rsidR="006E0BC1" w:rsidRPr="009D0A4A">
        <w:rPr>
          <w:rFonts w:eastAsia="Arial" w:cstheme="minorHAnsi"/>
        </w:rPr>
        <w:t>who are less aware of the risks of</w:t>
      </w:r>
      <w:r w:rsidR="00A35B7F" w:rsidRPr="009D0A4A">
        <w:rPr>
          <w:rFonts w:eastAsia="Arial" w:cstheme="minorHAnsi"/>
        </w:rPr>
        <w:t xml:space="preserve"> RCS </w:t>
      </w:r>
      <w:r w:rsidR="006E0BC1" w:rsidRPr="009D0A4A">
        <w:rPr>
          <w:rFonts w:eastAsia="Arial" w:cstheme="minorHAnsi"/>
        </w:rPr>
        <w:t xml:space="preserve">and </w:t>
      </w:r>
      <w:r w:rsidR="00A35B7F" w:rsidRPr="009D0A4A">
        <w:rPr>
          <w:rFonts w:eastAsia="Arial" w:cstheme="minorHAnsi"/>
        </w:rPr>
        <w:t xml:space="preserve">the </w:t>
      </w:r>
      <w:r w:rsidR="006E0BC1" w:rsidRPr="009D0A4A">
        <w:rPr>
          <w:rFonts w:eastAsia="Arial" w:cstheme="minorHAnsi"/>
        </w:rPr>
        <w:t>appropriate control measures</w:t>
      </w:r>
      <w:r w:rsidR="009B1F6D" w:rsidRPr="009D0A4A">
        <w:rPr>
          <w:rFonts w:eastAsia="Arial" w:cstheme="minorHAnsi"/>
        </w:rPr>
        <w:t>.</w:t>
      </w:r>
      <w:r w:rsidR="006E0BC1" w:rsidRPr="009D0A4A">
        <w:rPr>
          <w:rFonts w:eastAsia="Arial" w:cstheme="minorHAnsi"/>
        </w:rPr>
        <w:t xml:space="preserve"> </w:t>
      </w:r>
      <w:r w:rsidR="00B3246E" w:rsidRPr="009D0A4A">
        <w:rPr>
          <w:rFonts w:eastAsia="Arial" w:cstheme="minorHAnsi"/>
        </w:rPr>
        <w:t>Improved compliance is expected to</w:t>
      </w:r>
      <w:r w:rsidR="00AF1DD6" w:rsidRPr="009D0A4A">
        <w:rPr>
          <w:rFonts w:eastAsia="Arial" w:cstheme="minorHAnsi"/>
        </w:rPr>
        <w:t xml:space="preserve"> result in </w:t>
      </w:r>
      <w:r w:rsidR="00B3246E" w:rsidRPr="009D0A4A">
        <w:rPr>
          <w:rFonts w:eastAsia="Arial" w:cstheme="minorHAnsi"/>
        </w:rPr>
        <w:t>a reduction in the</w:t>
      </w:r>
      <w:r w:rsidR="00AF1DD6" w:rsidRPr="009D0A4A">
        <w:rPr>
          <w:rFonts w:eastAsia="Arial" w:cstheme="minorHAnsi"/>
        </w:rPr>
        <w:t xml:space="preserve"> risks to workers</w:t>
      </w:r>
      <w:r w:rsidR="00441D17" w:rsidRPr="009D0A4A">
        <w:rPr>
          <w:rFonts w:eastAsia="Arial" w:cstheme="minorHAnsi"/>
        </w:rPr>
        <w:t xml:space="preserve">. </w:t>
      </w:r>
      <w:r w:rsidR="006E0BC1" w:rsidRPr="009D0A4A">
        <w:rPr>
          <w:rFonts w:eastAsia="Arial" w:cstheme="minorHAnsi"/>
        </w:rPr>
        <w:t>However, the</w:t>
      </w:r>
      <w:r w:rsidR="00B3246E" w:rsidRPr="009D0A4A">
        <w:rPr>
          <w:rFonts w:eastAsia="Arial" w:cstheme="minorHAnsi"/>
        </w:rPr>
        <w:t>se ini</w:t>
      </w:r>
      <w:r w:rsidR="00FF09D6" w:rsidRPr="009D0A4A">
        <w:rPr>
          <w:rFonts w:eastAsia="Arial" w:cstheme="minorHAnsi"/>
        </w:rPr>
        <w:t>ti</w:t>
      </w:r>
      <w:r w:rsidR="00B3246E" w:rsidRPr="009D0A4A">
        <w:rPr>
          <w:rFonts w:eastAsia="Arial" w:cstheme="minorHAnsi"/>
        </w:rPr>
        <w:t>atives</w:t>
      </w:r>
      <w:r w:rsidR="006E0BC1" w:rsidRPr="009D0A4A">
        <w:rPr>
          <w:rFonts w:eastAsia="Arial" w:cstheme="minorHAnsi"/>
        </w:rPr>
        <w:t xml:space="preserve"> may be </w:t>
      </w:r>
      <w:r w:rsidR="00FF09D6" w:rsidRPr="009D0A4A">
        <w:rPr>
          <w:rFonts w:eastAsia="Arial" w:cstheme="minorHAnsi"/>
        </w:rPr>
        <w:t>less</w:t>
      </w:r>
      <w:r w:rsidR="006E0BC1" w:rsidRPr="009D0A4A">
        <w:rPr>
          <w:rFonts w:eastAsia="Arial" w:cstheme="minorHAnsi"/>
        </w:rPr>
        <w:t xml:space="preserve"> effective </w:t>
      </w:r>
      <w:r w:rsidR="00FF09D6" w:rsidRPr="009D0A4A">
        <w:rPr>
          <w:rFonts w:eastAsia="Arial" w:cstheme="minorHAnsi"/>
        </w:rPr>
        <w:t xml:space="preserve">at improving compliance </w:t>
      </w:r>
      <w:r w:rsidR="00D75142" w:rsidRPr="009D0A4A">
        <w:rPr>
          <w:rFonts w:eastAsia="Arial" w:cstheme="minorHAnsi"/>
        </w:rPr>
        <w:t>if</w:t>
      </w:r>
      <w:r w:rsidR="00FF09D6" w:rsidRPr="009D0A4A">
        <w:rPr>
          <w:rFonts w:eastAsia="Arial" w:cstheme="minorHAnsi"/>
        </w:rPr>
        <w:t xml:space="preserve"> they</w:t>
      </w:r>
      <w:r w:rsidR="00D75142" w:rsidRPr="009D0A4A">
        <w:rPr>
          <w:rFonts w:eastAsia="Arial" w:cstheme="minorHAnsi"/>
        </w:rPr>
        <w:t xml:space="preserve"> </w:t>
      </w:r>
      <w:r w:rsidR="00EB17F4" w:rsidRPr="009D0A4A">
        <w:rPr>
          <w:rFonts w:eastAsia="Arial" w:cstheme="minorHAnsi"/>
        </w:rPr>
        <w:t xml:space="preserve">are </w:t>
      </w:r>
      <w:r w:rsidR="00D75142" w:rsidRPr="009D0A4A">
        <w:rPr>
          <w:rFonts w:eastAsia="Arial" w:cstheme="minorHAnsi"/>
        </w:rPr>
        <w:t xml:space="preserve">not combined with </w:t>
      </w:r>
      <w:r w:rsidR="00E52A7F" w:rsidRPr="009D0A4A">
        <w:rPr>
          <w:rFonts w:eastAsia="Arial" w:cstheme="minorHAnsi"/>
        </w:rPr>
        <w:t xml:space="preserve">either Options 3, 4 or 5, </w:t>
      </w:r>
      <w:r w:rsidR="00C673F5" w:rsidRPr="009D0A4A">
        <w:rPr>
          <w:rFonts w:eastAsia="Arial" w:cstheme="minorHAnsi"/>
        </w:rPr>
        <w:t>all of which would provide greater</w:t>
      </w:r>
      <w:r w:rsidR="00FE1B9D" w:rsidRPr="009D0A4A">
        <w:rPr>
          <w:rFonts w:eastAsia="Arial" w:cstheme="minorHAnsi"/>
        </w:rPr>
        <w:t xml:space="preserve"> additional clarity </w:t>
      </w:r>
      <w:r w:rsidR="00EB17F4" w:rsidRPr="009D0A4A">
        <w:rPr>
          <w:rFonts w:eastAsia="Arial" w:cstheme="minorHAnsi"/>
        </w:rPr>
        <w:t xml:space="preserve">about </w:t>
      </w:r>
      <w:r w:rsidR="00FE1B9D" w:rsidRPr="009D0A4A">
        <w:rPr>
          <w:rFonts w:eastAsia="Arial" w:cstheme="minorHAnsi"/>
        </w:rPr>
        <w:t>what is specifically required</w:t>
      </w:r>
      <w:r w:rsidR="00C673F5" w:rsidRPr="009D0A4A">
        <w:rPr>
          <w:rFonts w:eastAsia="Arial" w:cstheme="minorHAnsi"/>
        </w:rPr>
        <w:t xml:space="preserve"> to reduce the risk of</w:t>
      </w:r>
      <w:r w:rsidRPr="009D0A4A">
        <w:rPr>
          <w:rFonts w:eastAsia="Arial" w:cstheme="minorHAnsi"/>
        </w:rPr>
        <w:t xml:space="preserve"> exposure to RCS and </w:t>
      </w:r>
      <w:r w:rsidR="00C673F5" w:rsidRPr="009D0A4A">
        <w:rPr>
          <w:rFonts w:eastAsia="Arial" w:cstheme="minorHAnsi"/>
        </w:rPr>
        <w:t xml:space="preserve">reduce the </w:t>
      </w:r>
      <w:r w:rsidR="00397CB8" w:rsidRPr="009D0A4A">
        <w:rPr>
          <w:rFonts w:eastAsia="Arial" w:cstheme="minorHAnsi"/>
        </w:rPr>
        <w:t>number of cases</w:t>
      </w:r>
      <w:r w:rsidRPr="009D0A4A">
        <w:rPr>
          <w:rFonts w:eastAsia="Arial" w:cstheme="minorHAnsi"/>
        </w:rPr>
        <w:t xml:space="preserve"> of silicosis and silica related diseases</w:t>
      </w:r>
      <w:r w:rsidR="00C673F5" w:rsidRPr="009D0A4A">
        <w:rPr>
          <w:rFonts w:eastAsia="Arial" w:cstheme="minorHAnsi"/>
        </w:rPr>
        <w:t>.</w:t>
      </w:r>
      <w:r w:rsidRPr="009D0A4A">
        <w:rPr>
          <w:rFonts w:eastAsia="Arial" w:cstheme="minorHAnsi"/>
        </w:rPr>
        <w:t xml:space="preserve"> </w:t>
      </w:r>
      <w:r w:rsidR="005F113F" w:rsidRPr="009D0A4A">
        <w:rPr>
          <w:rFonts w:eastAsia="Arial" w:cstheme="minorHAnsi"/>
        </w:rPr>
        <w:t xml:space="preserve"> The non-regulatory nature of awareness </w:t>
      </w:r>
      <w:r w:rsidR="00A35B7F" w:rsidRPr="009D0A4A">
        <w:rPr>
          <w:rFonts w:eastAsia="Arial" w:cstheme="minorHAnsi"/>
        </w:rPr>
        <w:t xml:space="preserve">and </w:t>
      </w:r>
      <w:r w:rsidR="005F113F" w:rsidRPr="009D0A4A">
        <w:rPr>
          <w:rFonts w:eastAsia="Arial" w:cstheme="minorHAnsi"/>
        </w:rPr>
        <w:t xml:space="preserve">behaviour change </w:t>
      </w:r>
      <w:r w:rsidR="00A35B7F" w:rsidRPr="009D0A4A">
        <w:rPr>
          <w:rFonts w:eastAsia="Arial" w:cstheme="minorHAnsi"/>
        </w:rPr>
        <w:t>initiatives</w:t>
      </w:r>
      <w:r w:rsidR="005F113F" w:rsidRPr="009D0A4A">
        <w:rPr>
          <w:rFonts w:eastAsia="Arial" w:cstheme="minorHAnsi"/>
        </w:rPr>
        <w:t xml:space="preserve"> may create a sense that RCS exposure is not a serious issue, and reduce effectiveness.</w:t>
      </w:r>
    </w:p>
    <w:p w14:paraId="06D673AF" w14:textId="2DAD19A5" w:rsidR="006F1AF7" w:rsidRPr="009D0A4A" w:rsidRDefault="00DD2FD6" w:rsidP="00033E54">
      <w:pPr>
        <w:pStyle w:val="BodyText"/>
        <w:jc w:val="both"/>
        <w:rPr>
          <w:rFonts w:eastAsia="Arial" w:cstheme="minorHAnsi"/>
        </w:rPr>
      </w:pPr>
      <w:r w:rsidRPr="009D0A4A">
        <w:rPr>
          <w:rFonts w:eastAsia="Arial" w:cstheme="minorHAnsi"/>
        </w:rPr>
        <w:t xml:space="preserve">The initiatives </w:t>
      </w:r>
      <w:r w:rsidR="00033E54" w:rsidRPr="009D0A4A">
        <w:rPr>
          <w:rFonts w:eastAsia="Arial" w:cstheme="minorHAnsi"/>
        </w:rPr>
        <w:t xml:space="preserve">would </w:t>
      </w:r>
      <w:r w:rsidRPr="009D0A4A">
        <w:rPr>
          <w:rFonts w:eastAsia="Arial" w:cstheme="minorHAnsi"/>
        </w:rPr>
        <w:t>need to cover a broad range of industries and workers</w:t>
      </w:r>
      <w:r w:rsidR="00F043F6" w:rsidRPr="009D0A4A">
        <w:rPr>
          <w:rFonts w:eastAsia="Arial" w:cstheme="minorHAnsi"/>
        </w:rPr>
        <w:t xml:space="preserve"> and may need to be tailored to </w:t>
      </w:r>
      <w:r w:rsidR="005F113F" w:rsidRPr="009D0A4A">
        <w:rPr>
          <w:rFonts w:eastAsia="Arial" w:cstheme="minorHAnsi"/>
        </w:rPr>
        <w:t>be most effective.</w:t>
      </w:r>
      <w:r w:rsidR="0090757C" w:rsidRPr="009D0A4A">
        <w:rPr>
          <w:rFonts w:eastAsia="Arial" w:cstheme="minorHAnsi"/>
        </w:rPr>
        <w:t xml:space="preserve"> Ongoing and varied behaviour change strategies may be required for a long-lasting change.</w:t>
      </w:r>
    </w:p>
    <w:p w14:paraId="6C20C0DC" w14:textId="77777777" w:rsidR="006F1AF7" w:rsidRPr="009D0A4A" w:rsidRDefault="006F1AF7" w:rsidP="0030750F">
      <w:pPr>
        <w:pStyle w:val="Heading3"/>
      </w:pPr>
      <w:r w:rsidRPr="009D0A4A">
        <w:t xml:space="preserve">Option 3: Clarification of existing requirements in model WHS laws </w:t>
      </w:r>
    </w:p>
    <w:p w14:paraId="3F93B248" w14:textId="089E3CCA" w:rsidR="006F1AF7" w:rsidRPr="009D0A4A" w:rsidRDefault="006F1AF7" w:rsidP="007012B9">
      <w:pPr>
        <w:pStyle w:val="BodyText"/>
        <w:jc w:val="both"/>
        <w:rPr>
          <w:rFonts w:eastAsia="Arial" w:cstheme="minorHAnsi"/>
        </w:rPr>
      </w:pPr>
      <w:r w:rsidRPr="009D0A4A">
        <w:t xml:space="preserve">Option 3 consolidates and clarifies the existing requirements of the model WHS laws into specific regulation covering defined high-risk silica processes. Clarification of existing requirements in model WHS laws will lead to </w:t>
      </w:r>
      <w:r w:rsidRPr="009D0A4A">
        <w:rPr>
          <w:rFonts w:eastAsia="Arial" w:cstheme="minorHAnsi"/>
        </w:rPr>
        <w:t xml:space="preserve">increased compliance, a reduction in workplace exposure to RCS and </w:t>
      </w:r>
      <w:r w:rsidR="00B11793" w:rsidRPr="009D0A4A">
        <w:rPr>
          <w:rFonts w:eastAsia="Arial" w:cstheme="minorHAnsi"/>
        </w:rPr>
        <w:t xml:space="preserve">a reduced </w:t>
      </w:r>
      <w:r w:rsidR="00397CB8" w:rsidRPr="009D0A4A">
        <w:rPr>
          <w:rFonts w:eastAsia="Arial" w:cstheme="minorHAnsi"/>
        </w:rPr>
        <w:t>number of cases</w:t>
      </w:r>
      <w:r w:rsidRPr="009D0A4A">
        <w:rPr>
          <w:rFonts w:eastAsia="Arial" w:cstheme="minorHAnsi"/>
        </w:rPr>
        <w:t xml:space="preserve"> of silicosis and other silica related diseases beyond the </w:t>
      </w:r>
      <w:r w:rsidR="00E03F7B" w:rsidRPr="009D0A4A">
        <w:rPr>
          <w:rFonts w:eastAsia="Arial" w:cstheme="minorHAnsi"/>
        </w:rPr>
        <w:t>base case</w:t>
      </w:r>
      <w:r w:rsidRPr="009D0A4A">
        <w:rPr>
          <w:rFonts w:eastAsia="Arial" w:cstheme="minorHAnsi"/>
        </w:rPr>
        <w:t>,</w:t>
      </w:r>
      <w:r w:rsidRPr="009D0A4A">
        <w:rPr>
          <w:rFonts w:eastAsia="Arial" w:cstheme="minorHAnsi"/>
          <w:b/>
          <w:bCs/>
        </w:rPr>
        <w:t xml:space="preserve"> </w:t>
      </w:r>
      <w:r w:rsidRPr="009D0A4A">
        <w:rPr>
          <w:rFonts w:eastAsia="Arial" w:cstheme="minorHAnsi"/>
        </w:rPr>
        <w:t>as this option would</w:t>
      </w:r>
      <w:r w:rsidRPr="009D0A4A">
        <w:rPr>
          <w:rFonts w:eastAsia="Arial" w:cstheme="minorHAnsi"/>
          <w:b/>
          <w:bCs/>
        </w:rPr>
        <w:t>:</w:t>
      </w:r>
    </w:p>
    <w:p w14:paraId="202B3F76" w14:textId="0E29EDF9"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clarify existing regulatory requirements related to high-risk silica work</w:t>
      </w:r>
      <w:r w:rsidR="001E1C3C" w:rsidRPr="009D0A4A">
        <w:rPr>
          <w:rFonts w:asciiTheme="minorHAnsi" w:hAnsiTheme="minorHAnsi" w:cstheme="minorHAnsi"/>
          <w:sz w:val="20"/>
          <w:szCs w:val="20"/>
        </w:rPr>
        <w:t>,</w:t>
      </w:r>
      <w:r w:rsidRPr="009D0A4A">
        <w:rPr>
          <w:rFonts w:asciiTheme="minorHAnsi" w:hAnsiTheme="minorHAnsi" w:cstheme="minorHAnsi"/>
          <w:sz w:val="20"/>
          <w:szCs w:val="20"/>
        </w:rPr>
        <w:t xml:space="preserve"> and</w:t>
      </w:r>
      <w:r w:rsidR="001E1C3C" w:rsidRPr="009D0A4A">
        <w:rPr>
          <w:rFonts w:asciiTheme="minorHAnsi" w:hAnsiTheme="minorHAnsi" w:cstheme="minorHAnsi"/>
          <w:sz w:val="20"/>
          <w:szCs w:val="20"/>
        </w:rPr>
        <w:t xml:space="preserve"> if</w:t>
      </w:r>
      <w:r w:rsidRPr="009D0A4A">
        <w:rPr>
          <w:rFonts w:asciiTheme="minorHAnsi" w:hAnsiTheme="minorHAnsi" w:cstheme="minorHAnsi"/>
          <w:sz w:val="20"/>
          <w:szCs w:val="20"/>
        </w:rPr>
        <w:t xml:space="preserve"> combined with an associated communication campaign</w:t>
      </w:r>
      <w:r w:rsidR="00D46144" w:rsidRPr="009D0A4A">
        <w:rPr>
          <w:rFonts w:asciiTheme="minorHAnsi" w:hAnsiTheme="minorHAnsi" w:cstheme="minorHAnsi"/>
          <w:sz w:val="20"/>
          <w:szCs w:val="20"/>
        </w:rPr>
        <w:t>,</w:t>
      </w:r>
      <w:r w:rsidRPr="009D0A4A">
        <w:rPr>
          <w:rFonts w:asciiTheme="minorHAnsi" w:hAnsiTheme="minorHAnsi" w:cstheme="minorHAnsi"/>
          <w:sz w:val="20"/>
          <w:szCs w:val="20"/>
        </w:rPr>
        <w:t xml:space="preserve"> will improve awareness of the risks of RCS and appropriate controls</w:t>
      </w:r>
    </w:p>
    <w:p w14:paraId="362E5A66" w14:textId="3167D418"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provide greater certainty and understanding around regulatory requirements to manage RCS exposure for PCBUs</w:t>
      </w:r>
      <w:r w:rsidR="00B11793" w:rsidRPr="009D0A4A">
        <w:rPr>
          <w:rFonts w:asciiTheme="minorHAnsi" w:hAnsiTheme="minorHAnsi" w:cstheme="minorHAnsi"/>
          <w:sz w:val="20"/>
          <w:szCs w:val="20"/>
        </w:rPr>
        <w:t xml:space="preserve"> and other duty holders</w:t>
      </w:r>
      <w:r w:rsidRPr="009D0A4A">
        <w:rPr>
          <w:rFonts w:asciiTheme="minorHAnsi" w:hAnsiTheme="minorHAnsi" w:cstheme="minorHAnsi"/>
          <w:sz w:val="20"/>
          <w:szCs w:val="20"/>
        </w:rPr>
        <w:t>, and</w:t>
      </w:r>
    </w:p>
    <w:p w14:paraId="2B4ECE4D" w14:textId="12A2FFCF"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address concerns among stakeholders about the subjective thresholds that are included in the model WHS laws. For example, this would clarify the circumstances under which air monitoring and health monitoring are required. </w:t>
      </w:r>
    </w:p>
    <w:p w14:paraId="094D323F" w14:textId="77777777" w:rsidR="006F1AF7" w:rsidRPr="009D0A4A" w:rsidRDefault="006F1AF7" w:rsidP="007012B9">
      <w:pPr>
        <w:pStyle w:val="BodyText"/>
        <w:jc w:val="both"/>
        <w:rPr>
          <w:rFonts w:eastAsia="Arial" w:cstheme="minorHAnsi"/>
        </w:rPr>
      </w:pPr>
      <w:r w:rsidRPr="009D0A4A">
        <w:rPr>
          <w:rFonts w:eastAsia="Arial" w:cstheme="minorHAnsi"/>
        </w:rPr>
        <w:t>However, initiatives under this option are unlikely to be as effective as those presented in Option 4, 5a or 5b as this option:</w:t>
      </w:r>
    </w:p>
    <w:p w14:paraId="718D5F4B" w14:textId="77777777"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only clarifies the existing regulatory and compliance requirements and contains no additional regulatory reforms. For instance, it: </w:t>
      </w:r>
    </w:p>
    <w:p w14:paraId="578DBA3A" w14:textId="4C52867E" w:rsidR="006F1AF7" w:rsidRPr="009D0A4A" w:rsidRDefault="006F1AF7" w:rsidP="000C20A5">
      <w:pPr>
        <w:pStyle w:val="BodyText1"/>
        <w:numPr>
          <w:ilvl w:val="1"/>
          <w:numId w:val="20"/>
        </w:numPr>
        <w:jc w:val="both"/>
        <w:rPr>
          <w:rFonts w:asciiTheme="minorHAnsi" w:hAnsiTheme="minorHAnsi" w:cstheme="minorHAnsi"/>
          <w:sz w:val="20"/>
          <w:szCs w:val="20"/>
        </w:rPr>
      </w:pPr>
      <w:r w:rsidRPr="009D0A4A">
        <w:rPr>
          <w:rFonts w:asciiTheme="minorHAnsi" w:hAnsiTheme="minorHAnsi" w:cstheme="minorHAnsi"/>
          <w:sz w:val="20"/>
          <w:szCs w:val="20"/>
        </w:rPr>
        <w:t>does not contain additional provisions for PBCUs undertaking high risk silica work to conduct risk assessments and develop silica risk control plans</w:t>
      </w:r>
    </w:p>
    <w:p w14:paraId="732E382E" w14:textId="2B9C4665" w:rsidR="006F1AF7" w:rsidRPr="009D0A4A" w:rsidRDefault="006F1AF7" w:rsidP="000C20A5">
      <w:pPr>
        <w:pStyle w:val="BodyText1"/>
        <w:numPr>
          <w:ilvl w:val="1"/>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does not contain additional provisions to report </w:t>
      </w:r>
      <w:r w:rsidR="00160436" w:rsidRPr="009D0A4A">
        <w:rPr>
          <w:rFonts w:asciiTheme="minorHAnsi" w:hAnsiTheme="minorHAnsi" w:cstheme="minorHAnsi"/>
          <w:sz w:val="20"/>
          <w:szCs w:val="20"/>
        </w:rPr>
        <w:t xml:space="preserve">all results of </w:t>
      </w:r>
      <w:r w:rsidRPr="009D0A4A">
        <w:rPr>
          <w:rFonts w:asciiTheme="minorHAnsi" w:hAnsiTheme="minorHAnsi" w:cstheme="minorHAnsi"/>
          <w:sz w:val="20"/>
          <w:szCs w:val="20"/>
        </w:rPr>
        <w:t>air monitoring and health monitoring to WHS regulators</w:t>
      </w:r>
    </w:p>
    <w:p w14:paraId="7FE5F7E4" w14:textId="77777777" w:rsidR="008B63FB" w:rsidRDefault="006F1AF7" w:rsidP="008B63FB">
      <w:pPr>
        <w:pStyle w:val="BodyText1"/>
        <w:numPr>
          <w:ilvl w:val="1"/>
          <w:numId w:val="20"/>
        </w:numPr>
        <w:jc w:val="both"/>
      </w:pPr>
      <w:r w:rsidRPr="009D0A4A">
        <w:rPr>
          <w:rFonts w:asciiTheme="minorHAnsi" w:hAnsiTheme="minorHAnsi" w:cstheme="minorHAnsi"/>
          <w:sz w:val="20"/>
          <w:szCs w:val="20"/>
        </w:rPr>
        <w:t xml:space="preserve">does not contain additional </w:t>
      </w:r>
      <w:r w:rsidR="005342D4" w:rsidRPr="009D0A4A">
        <w:rPr>
          <w:rFonts w:asciiTheme="minorHAnsi" w:hAnsiTheme="minorHAnsi" w:cstheme="minorHAnsi"/>
          <w:sz w:val="20"/>
          <w:szCs w:val="20"/>
        </w:rPr>
        <w:t xml:space="preserve">requirements </w:t>
      </w:r>
      <w:r w:rsidRPr="009D0A4A">
        <w:rPr>
          <w:rFonts w:asciiTheme="minorHAnsi" w:hAnsiTheme="minorHAnsi" w:cstheme="minorHAnsi"/>
          <w:sz w:val="20"/>
          <w:szCs w:val="20"/>
        </w:rPr>
        <w:t>for PCBUs working with engineered stone</w:t>
      </w:r>
      <w:r w:rsidR="00033E54" w:rsidRPr="009D0A4A">
        <w:rPr>
          <w:rFonts w:asciiTheme="minorHAnsi" w:hAnsiTheme="minorHAnsi" w:cstheme="minorHAnsi"/>
          <w:sz w:val="20"/>
          <w:szCs w:val="20"/>
        </w:rPr>
        <w:t>, such as undertaking a risk assessment</w:t>
      </w:r>
      <w:r w:rsidR="00A35B7F" w:rsidRPr="009D0A4A">
        <w:rPr>
          <w:rFonts w:asciiTheme="minorHAnsi" w:hAnsiTheme="minorHAnsi" w:cstheme="minorHAnsi"/>
          <w:sz w:val="20"/>
          <w:szCs w:val="20"/>
        </w:rPr>
        <w:t xml:space="preserve"> and</w:t>
      </w:r>
      <w:r w:rsidR="00033E54" w:rsidRPr="009D0A4A">
        <w:rPr>
          <w:rFonts w:asciiTheme="minorHAnsi" w:hAnsiTheme="minorHAnsi" w:cstheme="minorHAnsi"/>
          <w:sz w:val="20"/>
          <w:szCs w:val="20"/>
        </w:rPr>
        <w:t xml:space="preserve"> developing and implementing an engineered stone control </w:t>
      </w:r>
      <w:r w:rsidR="00033E54" w:rsidRPr="00EF4444">
        <w:rPr>
          <w:rFonts w:asciiTheme="minorHAnsi" w:hAnsiTheme="minorHAnsi" w:cstheme="minorHAnsi"/>
          <w:sz w:val="20"/>
          <w:szCs w:val="20"/>
        </w:rPr>
        <w:t>plan</w:t>
      </w:r>
      <w:r w:rsidR="00160436" w:rsidRPr="00EF4444">
        <w:rPr>
          <w:rFonts w:asciiTheme="minorHAnsi" w:hAnsiTheme="minorHAnsi" w:cstheme="minorHAnsi"/>
          <w:sz w:val="20"/>
          <w:szCs w:val="20"/>
        </w:rPr>
        <w:t>, and</w:t>
      </w:r>
      <w:r w:rsidR="00160436" w:rsidRPr="009D0A4A">
        <w:t xml:space="preserve"> </w:t>
      </w:r>
    </w:p>
    <w:p w14:paraId="3B56D52B" w14:textId="5BEBCB60" w:rsidR="006F1AF7" w:rsidRPr="008B63FB" w:rsidRDefault="002673CA" w:rsidP="008B63FB">
      <w:pPr>
        <w:pStyle w:val="BodyText1"/>
        <w:numPr>
          <w:ilvl w:val="1"/>
          <w:numId w:val="20"/>
        </w:numPr>
        <w:jc w:val="both"/>
        <w:rPr>
          <w:rFonts w:asciiTheme="minorHAnsi" w:hAnsiTheme="minorHAnsi" w:cstheme="minorHAnsi"/>
          <w:sz w:val="20"/>
          <w:szCs w:val="20"/>
        </w:rPr>
      </w:pPr>
      <w:r w:rsidRPr="008B63FB">
        <w:rPr>
          <w:rFonts w:asciiTheme="minorHAnsi" w:hAnsiTheme="minorHAnsi" w:cstheme="minorHAnsi"/>
          <w:sz w:val="20"/>
          <w:szCs w:val="20"/>
        </w:rPr>
        <w:t>may not result in</w:t>
      </w:r>
      <w:r w:rsidR="00160436" w:rsidRPr="008B63FB">
        <w:rPr>
          <w:rFonts w:asciiTheme="minorHAnsi" w:hAnsiTheme="minorHAnsi" w:cstheme="minorHAnsi"/>
          <w:sz w:val="20"/>
          <w:szCs w:val="20"/>
        </w:rPr>
        <w:t xml:space="preserve"> additional compliance and enforcement initiatives</w:t>
      </w:r>
      <w:r w:rsidR="006F1AF7" w:rsidRPr="008B63FB">
        <w:rPr>
          <w:rFonts w:asciiTheme="minorHAnsi" w:hAnsiTheme="minorHAnsi" w:cstheme="minorHAnsi"/>
          <w:sz w:val="20"/>
          <w:szCs w:val="20"/>
        </w:rPr>
        <w:t xml:space="preserve">. </w:t>
      </w:r>
    </w:p>
    <w:p w14:paraId="0D3C9DB4" w14:textId="56D18FD0" w:rsidR="006F1AF7" w:rsidRPr="009D0A4A" w:rsidRDefault="006F1AF7" w:rsidP="0030750F">
      <w:pPr>
        <w:pStyle w:val="Heading3"/>
      </w:pPr>
      <w:r w:rsidRPr="009D0A4A">
        <w:t xml:space="preserve">Option 4: </w:t>
      </w:r>
      <w:r w:rsidR="00DC0658" w:rsidRPr="009D0A4A">
        <w:t>Implementation of a n</w:t>
      </w:r>
      <w:r w:rsidRPr="009D0A4A">
        <w:t xml:space="preserve">ational licensing framework for PCBUs working with engineered stone </w:t>
      </w:r>
    </w:p>
    <w:p w14:paraId="697AB604" w14:textId="300B3C0E" w:rsidR="006F1AF7" w:rsidRPr="009D0A4A" w:rsidRDefault="006F1AF7" w:rsidP="007012B9">
      <w:pPr>
        <w:pStyle w:val="BodyText"/>
        <w:jc w:val="both"/>
      </w:pPr>
      <w:r w:rsidRPr="009D0A4A">
        <w:t xml:space="preserve">This option involves development and implementation of a national licensing framework for PCBUs working with engineered stone, based on the recent amendments related to licensing of employers working with engineered stone under </w:t>
      </w:r>
      <w:r w:rsidR="00EB17F4" w:rsidRPr="009D0A4A">
        <w:t>the</w:t>
      </w:r>
      <w:r w:rsidRPr="009D0A4A">
        <w:t xml:space="preserve"> Victorian Occupational Health and Safety Amendment (Crystalline Silica) Regulations 2021.</w:t>
      </w:r>
    </w:p>
    <w:p w14:paraId="23A59710" w14:textId="77C06A72" w:rsidR="006F1AF7" w:rsidRPr="009D0A4A" w:rsidRDefault="006F1AF7" w:rsidP="007012B9">
      <w:pPr>
        <w:pStyle w:val="BodyText"/>
        <w:jc w:val="both"/>
        <w:rPr>
          <w:rFonts w:eastAsia="Arial"/>
        </w:rPr>
      </w:pPr>
      <w:r w:rsidRPr="009D0A4A">
        <w:t xml:space="preserve">Compared with the </w:t>
      </w:r>
      <w:r w:rsidR="00E03F7B" w:rsidRPr="009D0A4A">
        <w:t>base case</w:t>
      </w:r>
      <w:r w:rsidRPr="009D0A4A">
        <w:t xml:space="preserve">, Option 4 is likely to result in </w:t>
      </w:r>
      <w:r w:rsidRPr="009D0A4A">
        <w:rPr>
          <w:rFonts w:eastAsia="Arial"/>
        </w:rPr>
        <w:t xml:space="preserve">increased compliance, a reduction in workplace exposure to RCS and reduced </w:t>
      </w:r>
      <w:r w:rsidR="00397CB8" w:rsidRPr="009D0A4A">
        <w:rPr>
          <w:rFonts w:eastAsia="Arial"/>
        </w:rPr>
        <w:t>number of cases</w:t>
      </w:r>
      <w:r w:rsidRPr="009D0A4A">
        <w:rPr>
          <w:rFonts w:eastAsia="Arial"/>
        </w:rPr>
        <w:t xml:space="preserve"> of silicosis and silica related diseases</w:t>
      </w:r>
      <w:r w:rsidR="000B1F0E" w:rsidRPr="009D0A4A">
        <w:rPr>
          <w:rFonts w:eastAsia="Arial"/>
        </w:rPr>
        <w:t xml:space="preserve"> in the engineered stone sector</w:t>
      </w:r>
      <w:r w:rsidRPr="009D0A4A">
        <w:rPr>
          <w:rFonts w:eastAsia="Arial"/>
        </w:rPr>
        <w:t xml:space="preserve"> </w:t>
      </w:r>
      <w:r w:rsidR="00A35B7F" w:rsidRPr="009D0A4A">
        <w:rPr>
          <w:rFonts w:eastAsia="Arial"/>
        </w:rPr>
        <w:t>as</w:t>
      </w:r>
      <w:r w:rsidRPr="009D0A4A">
        <w:rPr>
          <w:rFonts w:eastAsia="Arial"/>
        </w:rPr>
        <w:t xml:space="preserve"> it would</w:t>
      </w:r>
      <w:r w:rsidRPr="009D0A4A">
        <w:rPr>
          <w:rFonts w:eastAsia="Arial"/>
          <w:b/>
          <w:bCs/>
        </w:rPr>
        <w:t xml:space="preserve">: </w:t>
      </w:r>
    </w:p>
    <w:p w14:paraId="22A111F6" w14:textId="3DC75EA4"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provide an incentive for PCBUs working with engineered stone to become licensed </w:t>
      </w:r>
      <w:r w:rsidR="005C5303" w:rsidRPr="009D0A4A">
        <w:rPr>
          <w:rFonts w:asciiTheme="minorHAnsi" w:hAnsiTheme="minorHAnsi" w:cstheme="minorHAnsi"/>
          <w:sz w:val="20"/>
          <w:szCs w:val="20"/>
        </w:rPr>
        <w:t>as</w:t>
      </w:r>
      <w:r w:rsidRPr="009D0A4A">
        <w:rPr>
          <w:rFonts w:asciiTheme="minorHAnsi" w:hAnsiTheme="minorHAnsi" w:cstheme="minorHAnsi"/>
          <w:sz w:val="20"/>
          <w:szCs w:val="20"/>
        </w:rPr>
        <w:t xml:space="preserve"> supply of engineered stone to unlicensed </w:t>
      </w:r>
      <w:r w:rsidR="006F157C" w:rsidRPr="009D0A4A">
        <w:rPr>
          <w:rFonts w:asciiTheme="minorHAnsi" w:hAnsiTheme="minorHAnsi" w:cstheme="minorHAnsi"/>
          <w:sz w:val="20"/>
          <w:szCs w:val="20"/>
        </w:rPr>
        <w:t xml:space="preserve">PCBUs </w:t>
      </w:r>
      <w:r w:rsidR="005C5303" w:rsidRPr="009D0A4A">
        <w:rPr>
          <w:rFonts w:asciiTheme="minorHAnsi" w:hAnsiTheme="minorHAnsi" w:cstheme="minorHAnsi"/>
          <w:sz w:val="20"/>
          <w:szCs w:val="20"/>
        </w:rPr>
        <w:t>will be prohibited</w:t>
      </w:r>
    </w:p>
    <w:p w14:paraId="183AD958" w14:textId="1E3AB633"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lastRenderedPageBreak/>
        <w:t xml:space="preserve">provide an incentive for PCBUs who do not </w:t>
      </w:r>
      <w:r w:rsidR="000E4EFC" w:rsidRPr="009D0A4A">
        <w:rPr>
          <w:rFonts w:asciiTheme="minorHAnsi" w:hAnsiTheme="minorHAnsi" w:cstheme="minorHAnsi"/>
          <w:sz w:val="20"/>
          <w:szCs w:val="20"/>
        </w:rPr>
        <w:t xml:space="preserve">want to </w:t>
      </w:r>
      <w:r w:rsidRPr="009D0A4A">
        <w:rPr>
          <w:rFonts w:asciiTheme="minorHAnsi" w:hAnsiTheme="minorHAnsi" w:cstheme="minorHAnsi"/>
          <w:sz w:val="20"/>
          <w:szCs w:val="20"/>
        </w:rPr>
        <w:t>become licensed to work with alternative products with no crystalline silica content</w:t>
      </w:r>
    </w:p>
    <w:p w14:paraId="24B0C9AE" w14:textId="45C28DA9"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ensure that </w:t>
      </w:r>
      <w:r w:rsidR="000F1677" w:rsidRPr="009D0A4A">
        <w:rPr>
          <w:rFonts w:asciiTheme="minorHAnsi" w:hAnsiTheme="minorHAnsi" w:cstheme="minorHAnsi"/>
          <w:sz w:val="20"/>
          <w:szCs w:val="20"/>
        </w:rPr>
        <w:t>licensees</w:t>
      </w:r>
      <w:r w:rsidRPr="009D0A4A">
        <w:rPr>
          <w:rFonts w:asciiTheme="minorHAnsi" w:hAnsiTheme="minorHAnsi" w:cstheme="minorHAnsi"/>
          <w:sz w:val="20"/>
          <w:szCs w:val="20"/>
        </w:rPr>
        <w:t xml:space="preserve"> assess the risk of processes involving </w:t>
      </w:r>
      <w:r w:rsidR="00090916" w:rsidRPr="009D0A4A">
        <w:rPr>
          <w:rFonts w:asciiTheme="minorHAnsi" w:hAnsiTheme="minorHAnsi" w:cstheme="minorHAnsi"/>
          <w:sz w:val="20"/>
          <w:szCs w:val="20"/>
        </w:rPr>
        <w:t>engineered stone</w:t>
      </w:r>
      <w:r w:rsidRPr="009D0A4A">
        <w:rPr>
          <w:rFonts w:asciiTheme="minorHAnsi" w:hAnsiTheme="minorHAnsi" w:cstheme="minorHAnsi"/>
          <w:sz w:val="20"/>
          <w:szCs w:val="20"/>
        </w:rPr>
        <w:t xml:space="preserve"> through the development of engineered stone control plans</w:t>
      </w:r>
    </w:p>
    <w:p w14:paraId="2D35E158" w14:textId="5BA462C9"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increase the likelihood of adoption of appropriate control measures, air monitoring and health monitoring</w:t>
      </w:r>
      <w:r w:rsidR="000F1677" w:rsidRPr="009D0A4A">
        <w:rPr>
          <w:rFonts w:asciiTheme="minorHAnsi" w:hAnsiTheme="minorHAnsi" w:cstheme="minorHAnsi"/>
          <w:sz w:val="20"/>
          <w:szCs w:val="20"/>
        </w:rPr>
        <w:t xml:space="preserve"> </w:t>
      </w:r>
      <w:r w:rsidR="004C031B" w:rsidRPr="009D0A4A">
        <w:rPr>
          <w:rFonts w:asciiTheme="minorHAnsi" w:hAnsiTheme="minorHAnsi" w:cstheme="minorHAnsi"/>
          <w:sz w:val="20"/>
          <w:szCs w:val="20"/>
        </w:rPr>
        <w:t>among PCBUs working with engineered stone</w:t>
      </w:r>
    </w:p>
    <w:p w14:paraId="0712AB3D" w14:textId="39ECDFDF"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result in greater compliance and enforcement of the model WHS laws through scheduled and unscheduled visits</w:t>
      </w:r>
      <w:r w:rsidR="004C031B" w:rsidRPr="009D0A4A">
        <w:rPr>
          <w:rFonts w:asciiTheme="minorHAnsi" w:hAnsiTheme="minorHAnsi" w:cstheme="minorHAnsi"/>
          <w:sz w:val="20"/>
          <w:szCs w:val="20"/>
        </w:rPr>
        <w:t xml:space="preserve"> of licensees</w:t>
      </w:r>
      <w:r w:rsidR="00450531" w:rsidRPr="009D0A4A">
        <w:rPr>
          <w:rFonts w:asciiTheme="minorHAnsi" w:hAnsiTheme="minorHAnsi" w:cstheme="minorHAnsi"/>
          <w:sz w:val="20"/>
          <w:szCs w:val="20"/>
        </w:rPr>
        <w:t>’</w:t>
      </w:r>
      <w:r w:rsidR="004C031B" w:rsidRPr="009D0A4A">
        <w:rPr>
          <w:rFonts w:asciiTheme="minorHAnsi" w:hAnsiTheme="minorHAnsi" w:cstheme="minorHAnsi"/>
          <w:sz w:val="20"/>
          <w:szCs w:val="20"/>
        </w:rPr>
        <w:t xml:space="preserve"> workplaces</w:t>
      </w:r>
      <w:r w:rsidRPr="009D0A4A">
        <w:rPr>
          <w:rFonts w:asciiTheme="minorHAnsi" w:hAnsiTheme="minorHAnsi" w:cstheme="minorHAnsi"/>
          <w:sz w:val="20"/>
          <w:szCs w:val="20"/>
        </w:rPr>
        <w:t xml:space="preserve"> and the </w:t>
      </w:r>
      <w:r w:rsidR="00EB17F4" w:rsidRPr="009D0A4A">
        <w:rPr>
          <w:rFonts w:asciiTheme="minorHAnsi" w:hAnsiTheme="minorHAnsi" w:cstheme="minorHAnsi"/>
          <w:sz w:val="20"/>
          <w:szCs w:val="20"/>
        </w:rPr>
        <w:t>imposition</w:t>
      </w:r>
      <w:r w:rsidRPr="009D0A4A">
        <w:rPr>
          <w:rFonts w:asciiTheme="minorHAnsi" w:hAnsiTheme="minorHAnsi" w:cstheme="minorHAnsi"/>
          <w:sz w:val="20"/>
          <w:szCs w:val="20"/>
        </w:rPr>
        <w:t xml:space="preserve"> of financial penalties for non-compliance</w:t>
      </w:r>
    </w:p>
    <w:p w14:paraId="723FF476" w14:textId="61E510B9"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provide regulators with greater </w:t>
      </w:r>
      <w:r w:rsidR="000F1677" w:rsidRPr="009D0A4A">
        <w:rPr>
          <w:rFonts w:asciiTheme="minorHAnsi" w:hAnsiTheme="minorHAnsi" w:cstheme="minorHAnsi"/>
          <w:sz w:val="20"/>
          <w:szCs w:val="20"/>
        </w:rPr>
        <w:t>information on</w:t>
      </w:r>
      <w:r w:rsidRPr="009D0A4A">
        <w:rPr>
          <w:rFonts w:asciiTheme="minorHAnsi" w:hAnsiTheme="minorHAnsi" w:cstheme="minorHAnsi"/>
          <w:sz w:val="20"/>
          <w:szCs w:val="20"/>
        </w:rPr>
        <w:t xml:space="preserve"> the number and location of </w:t>
      </w:r>
      <w:r w:rsidR="004C031B" w:rsidRPr="009D0A4A">
        <w:rPr>
          <w:rFonts w:asciiTheme="minorHAnsi" w:hAnsiTheme="minorHAnsi" w:cstheme="minorHAnsi"/>
          <w:sz w:val="20"/>
          <w:szCs w:val="20"/>
        </w:rPr>
        <w:t xml:space="preserve">workplaces </w:t>
      </w:r>
      <w:r w:rsidRPr="009D0A4A">
        <w:rPr>
          <w:rFonts w:asciiTheme="minorHAnsi" w:hAnsiTheme="minorHAnsi" w:cstheme="minorHAnsi"/>
          <w:sz w:val="20"/>
          <w:szCs w:val="20"/>
        </w:rPr>
        <w:t>where engineered stone is processed</w:t>
      </w:r>
    </w:p>
    <w:p w14:paraId="77C68B19" w14:textId="77777777"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allow state and territory regulators to analyse air monitoring and health monitoring data to: </w:t>
      </w:r>
    </w:p>
    <w:p w14:paraId="16D32EC7" w14:textId="2BBF6572" w:rsidR="006F1AF7" w:rsidRPr="009D0A4A" w:rsidRDefault="006F1AF7" w:rsidP="000C20A5">
      <w:pPr>
        <w:pStyle w:val="BodyText1"/>
        <w:numPr>
          <w:ilvl w:val="1"/>
          <w:numId w:val="20"/>
        </w:numPr>
        <w:jc w:val="both"/>
        <w:rPr>
          <w:rFonts w:asciiTheme="minorHAnsi" w:hAnsiTheme="minorHAnsi" w:cstheme="minorHAnsi"/>
          <w:sz w:val="20"/>
          <w:szCs w:val="20"/>
        </w:rPr>
      </w:pPr>
      <w:r w:rsidRPr="009D0A4A">
        <w:rPr>
          <w:rFonts w:asciiTheme="minorHAnsi" w:hAnsiTheme="minorHAnsi" w:cstheme="minorHAnsi"/>
          <w:sz w:val="20"/>
          <w:szCs w:val="20"/>
        </w:rPr>
        <w:t>draw insights into trends of RCS exposure</w:t>
      </w:r>
      <w:r w:rsidR="004C031B" w:rsidRPr="009D0A4A">
        <w:rPr>
          <w:rFonts w:asciiTheme="minorHAnsi" w:hAnsiTheme="minorHAnsi" w:cstheme="minorHAnsi"/>
          <w:sz w:val="20"/>
          <w:szCs w:val="20"/>
        </w:rPr>
        <w:t xml:space="preserve"> for workers processing engineered stone</w:t>
      </w:r>
    </w:p>
    <w:p w14:paraId="3EB642F6" w14:textId="77777777" w:rsidR="006F1AF7" w:rsidRPr="009D0A4A" w:rsidRDefault="006F1AF7" w:rsidP="000C20A5">
      <w:pPr>
        <w:pStyle w:val="BodyText1"/>
        <w:numPr>
          <w:ilvl w:val="1"/>
          <w:numId w:val="20"/>
        </w:numPr>
        <w:jc w:val="both"/>
        <w:rPr>
          <w:rFonts w:asciiTheme="minorHAnsi" w:hAnsiTheme="minorHAnsi" w:cstheme="minorHAnsi"/>
          <w:sz w:val="20"/>
          <w:szCs w:val="20"/>
        </w:rPr>
      </w:pPr>
      <w:r w:rsidRPr="009D0A4A">
        <w:rPr>
          <w:rFonts w:asciiTheme="minorHAnsi" w:hAnsiTheme="minorHAnsi" w:cstheme="minorHAnsi"/>
          <w:sz w:val="20"/>
          <w:szCs w:val="20"/>
        </w:rPr>
        <w:t>make an initial assessment into a PCBU’s ability to manage RCS exposure, and</w:t>
      </w:r>
    </w:p>
    <w:p w14:paraId="7133B9D2" w14:textId="77777777" w:rsidR="006F1AF7" w:rsidRPr="009D0A4A" w:rsidRDefault="006F1AF7" w:rsidP="000C20A5">
      <w:pPr>
        <w:pStyle w:val="BodyText1"/>
        <w:numPr>
          <w:ilvl w:val="1"/>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better target enforcement and compliance actions where required. </w:t>
      </w:r>
    </w:p>
    <w:p w14:paraId="4297010E" w14:textId="4ACFFBE0" w:rsidR="004C031B" w:rsidRPr="009D0A4A" w:rsidRDefault="006F1AF7" w:rsidP="004C031B">
      <w:pPr>
        <w:pStyle w:val="BodyText"/>
        <w:jc w:val="both"/>
      </w:pPr>
      <w:r w:rsidRPr="009D0A4A">
        <w:rPr>
          <w:rFonts w:eastAsia="Arial"/>
        </w:rPr>
        <w:t xml:space="preserve">However, initiatives under this policy option are unlikely to be as effective in reducing the level of workplace exposure to RCS and </w:t>
      </w:r>
      <w:r w:rsidR="00397CB8" w:rsidRPr="009D0A4A">
        <w:rPr>
          <w:rFonts w:eastAsia="Arial"/>
        </w:rPr>
        <w:t>the number of cases</w:t>
      </w:r>
      <w:r w:rsidRPr="009D0A4A">
        <w:rPr>
          <w:rFonts w:eastAsia="Arial"/>
        </w:rPr>
        <w:t xml:space="preserve"> of silicosis and silica related diseases compared to Option 5a and 5b</w:t>
      </w:r>
      <w:r w:rsidR="008D2E7E">
        <w:rPr>
          <w:rFonts w:eastAsia="Arial"/>
        </w:rPr>
        <w:t>,</w:t>
      </w:r>
      <w:r w:rsidRPr="009D0A4A">
        <w:rPr>
          <w:rFonts w:eastAsia="Arial"/>
        </w:rPr>
        <w:t xml:space="preserve"> as this option</w:t>
      </w:r>
      <w:r w:rsidR="004C031B" w:rsidRPr="009D0A4A">
        <w:rPr>
          <w:rFonts w:eastAsia="Arial"/>
        </w:rPr>
        <w:t xml:space="preserve"> </w:t>
      </w:r>
      <w:r w:rsidRPr="009D0A4A">
        <w:t>focuses solely on PCBUs working with engineered stone</w:t>
      </w:r>
      <w:r w:rsidR="009F4692" w:rsidRPr="009D0A4A">
        <w:t>, which are</w:t>
      </w:r>
      <w:r w:rsidRPr="009D0A4A">
        <w:t xml:space="preserve"> </w:t>
      </w:r>
      <w:r w:rsidR="009F4692" w:rsidRPr="009D0A4A">
        <w:t>small</w:t>
      </w:r>
      <w:r w:rsidRPr="009D0A4A">
        <w:t xml:space="preserve"> subset of the estimated number of workers exposed to RCS</w:t>
      </w:r>
      <w:r w:rsidR="004C031B" w:rsidRPr="009D0A4A">
        <w:t xml:space="preserve">. </w:t>
      </w:r>
    </w:p>
    <w:p w14:paraId="797B774A" w14:textId="0684924C" w:rsidR="006F1AF7" w:rsidRPr="009D0A4A" w:rsidRDefault="004013DF" w:rsidP="004C031B">
      <w:pPr>
        <w:pStyle w:val="BodyText"/>
        <w:jc w:val="both"/>
        <w:rPr>
          <w:rFonts w:eastAsia="Arial"/>
        </w:rPr>
      </w:pPr>
      <w:r w:rsidRPr="009D0A4A">
        <w:t xml:space="preserve">Another </w:t>
      </w:r>
      <w:r w:rsidR="004C031B" w:rsidRPr="009D0A4A">
        <w:t xml:space="preserve">disadvantage of this option is that it </w:t>
      </w:r>
      <w:r w:rsidR="006F1AF7" w:rsidRPr="009D0A4A">
        <w:t xml:space="preserve">would place a greater financial burden on small to medium size businesses (which form a large portion of the engineered stone industry) who may lack the economies of scale to absorb licensing costs. This may have negative effects on market competition. </w:t>
      </w:r>
    </w:p>
    <w:p w14:paraId="109C4D98" w14:textId="2DB6B5EC" w:rsidR="006F1AF7" w:rsidRPr="009D0A4A" w:rsidRDefault="00A35B7F" w:rsidP="007012B9">
      <w:pPr>
        <w:pStyle w:val="BodyText"/>
        <w:jc w:val="both"/>
        <w:rPr>
          <w:rFonts w:eastAsia="Arial"/>
        </w:rPr>
      </w:pPr>
      <w:r w:rsidRPr="009D0A4A">
        <w:t>I</w:t>
      </w:r>
      <w:r w:rsidR="000F1677" w:rsidRPr="009D0A4A">
        <w:t xml:space="preserve">t is </w:t>
      </w:r>
      <w:r w:rsidR="008365CA" w:rsidRPr="009D0A4A">
        <w:t xml:space="preserve">also </w:t>
      </w:r>
      <w:r w:rsidR="000F1677" w:rsidRPr="009D0A4A">
        <w:t>possible that s</w:t>
      </w:r>
      <w:r w:rsidR="006F1AF7" w:rsidRPr="009D0A4A">
        <w:t>ome PC</w:t>
      </w:r>
      <w:r w:rsidR="00054126" w:rsidRPr="009D0A4A">
        <w:t>B</w:t>
      </w:r>
      <w:r w:rsidR="006F1AF7" w:rsidRPr="009D0A4A">
        <w:t>Us</w:t>
      </w:r>
      <w:r w:rsidRPr="009D0A4A">
        <w:t xml:space="preserve">, instead of seeking alternative products, </w:t>
      </w:r>
      <w:r w:rsidR="006F1AF7" w:rsidRPr="009D0A4A">
        <w:t>could seek engineered stone from unregulated sources</w:t>
      </w:r>
      <w:r w:rsidRPr="009D0A4A">
        <w:t>, such as</w:t>
      </w:r>
      <w:r w:rsidR="000F1677" w:rsidRPr="009D0A4A">
        <w:t xml:space="preserve"> repurposing engineered stone from the second</w:t>
      </w:r>
      <w:r w:rsidR="004C031B" w:rsidRPr="009D0A4A">
        <w:t>-</w:t>
      </w:r>
      <w:r w:rsidR="000F1677" w:rsidRPr="009D0A4A">
        <w:t>hand market</w:t>
      </w:r>
      <w:r w:rsidRPr="009D0A4A">
        <w:t xml:space="preserve">. This </w:t>
      </w:r>
      <w:r w:rsidR="008365CA" w:rsidRPr="009D0A4A">
        <w:t xml:space="preserve">could result in workers </w:t>
      </w:r>
      <w:r w:rsidRPr="009D0A4A">
        <w:t xml:space="preserve">still </w:t>
      </w:r>
      <w:r w:rsidR="008365CA" w:rsidRPr="009D0A4A">
        <w:t xml:space="preserve">being exposed to </w:t>
      </w:r>
      <w:r w:rsidR="00AA198C" w:rsidRPr="009D0A4A">
        <w:t>the risks of RCS</w:t>
      </w:r>
      <w:r w:rsidR="000F1677" w:rsidRPr="009D0A4A">
        <w:t xml:space="preserve">. </w:t>
      </w:r>
    </w:p>
    <w:p w14:paraId="57596F7F" w14:textId="7E55724E" w:rsidR="006F1AF7" w:rsidRPr="009D0A4A" w:rsidRDefault="006F1AF7" w:rsidP="0030750F">
      <w:pPr>
        <w:pStyle w:val="Heading3"/>
      </w:pPr>
      <w:r w:rsidRPr="009D0A4A">
        <w:t>Option 5a</w:t>
      </w:r>
      <w:r w:rsidR="00D14CC1" w:rsidRPr="009D0A4A">
        <w:t>:</w:t>
      </w:r>
      <w:r w:rsidRPr="009D0A4A">
        <w:t xml:space="preserve"> Additional regulation of defined high risk crystalline silica processes </w:t>
      </w:r>
    </w:p>
    <w:p w14:paraId="1D174C95" w14:textId="1EC8AD06" w:rsidR="006F1AF7" w:rsidRPr="009D0A4A" w:rsidRDefault="006F1AF7" w:rsidP="007012B9">
      <w:pPr>
        <w:pStyle w:val="BodyText"/>
        <w:jc w:val="both"/>
      </w:pPr>
      <w:r w:rsidRPr="009D0A4A">
        <w:t xml:space="preserve">This option applies to </w:t>
      </w:r>
      <w:r w:rsidR="000F1677" w:rsidRPr="009D0A4A">
        <w:t>a broad range of high risk silica processes</w:t>
      </w:r>
      <w:r w:rsidRPr="009D0A4A">
        <w:t xml:space="preserve"> and covers additional processes and control measures when working with </w:t>
      </w:r>
      <w:r w:rsidR="00090916" w:rsidRPr="009D0A4A">
        <w:t>CSC materials</w:t>
      </w:r>
      <w:r w:rsidRPr="009D0A4A">
        <w:t xml:space="preserve">. Option 5a would include amendments to the model WHS Regulations applying to </w:t>
      </w:r>
      <w:r w:rsidR="00090916" w:rsidRPr="009D0A4A">
        <w:t>CSC materials</w:t>
      </w:r>
      <w:r w:rsidRPr="009D0A4A">
        <w:t xml:space="preserve"> (including engineered stone). </w:t>
      </w:r>
    </w:p>
    <w:p w14:paraId="21E1A3C2" w14:textId="1DF3A02E" w:rsidR="006F1AF7" w:rsidRPr="009D0A4A" w:rsidRDefault="006F1AF7" w:rsidP="007012B9">
      <w:pPr>
        <w:pStyle w:val="BodyText"/>
        <w:jc w:val="both"/>
        <w:rPr>
          <w:rFonts w:eastAsia="Arial"/>
        </w:rPr>
      </w:pPr>
      <w:r w:rsidRPr="009D0A4A">
        <w:t xml:space="preserve">Additional regulation of defined high risk crystalline silica processes </w:t>
      </w:r>
      <w:r w:rsidR="004C031B" w:rsidRPr="009D0A4A">
        <w:t xml:space="preserve">would </w:t>
      </w:r>
      <w:r w:rsidRPr="009D0A4A">
        <w:t xml:space="preserve">lead to </w:t>
      </w:r>
      <w:r w:rsidRPr="009D0A4A">
        <w:rPr>
          <w:rFonts w:eastAsia="Arial"/>
        </w:rPr>
        <w:t xml:space="preserve">increased compliance, a reduction in workplace exposure to RCS and reduced instances of silicosis and other silica related diseases over and above the </w:t>
      </w:r>
      <w:r w:rsidR="00E03F7B" w:rsidRPr="009D0A4A">
        <w:rPr>
          <w:rFonts w:eastAsia="Arial"/>
        </w:rPr>
        <w:t>base case</w:t>
      </w:r>
      <w:r w:rsidR="004C031B" w:rsidRPr="009D0A4A">
        <w:rPr>
          <w:rFonts w:eastAsia="Arial"/>
        </w:rPr>
        <w:t xml:space="preserve"> (Option 1)</w:t>
      </w:r>
      <w:r w:rsidRPr="009D0A4A">
        <w:rPr>
          <w:rFonts w:eastAsia="Arial"/>
          <w:b/>
          <w:bCs/>
        </w:rPr>
        <w:t xml:space="preserve"> </w:t>
      </w:r>
      <w:r w:rsidRPr="009D0A4A">
        <w:rPr>
          <w:rFonts w:eastAsia="Arial"/>
        </w:rPr>
        <w:t xml:space="preserve">as this option </w:t>
      </w:r>
      <w:r w:rsidR="004C031B" w:rsidRPr="009D0A4A">
        <w:rPr>
          <w:rFonts w:eastAsia="Arial"/>
        </w:rPr>
        <w:t>would</w:t>
      </w:r>
      <w:r w:rsidRPr="009D0A4A">
        <w:rPr>
          <w:rFonts w:eastAsia="Arial"/>
          <w:b/>
          <w:bCs/>
        </w:rPr>
        <w:t xml:space="preserve">: </w:t>
      </w:r>
    </w:p>
    <w:p w14:paraId="685402B8" w14:textId="196944D5"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increase the likelihood of PCBUs </w:t>
      </w:r>
      <w:r w:rsidR="004C031B" w:rsidRPr="009D0A4A">
        <w:rPr>
          <w:rFonts w:asciiTheme="minorHAnsi" w:hAnsiTheme="minorHAnsi" w:cstheme="minorHAnsi"/>
          <w:sz w:val="20"/>
          <w:szCs w:val="20"/>
        </w:rPr>
        <w:t xml:space="preserve">being </w:t>
      </w:r>
      <w:r w:rsidRPr="009D0A4A">
        <w:rPr>
          <w:rFonts w:asciiTheme="minorHAnsi" w:hAnsiTheme="minorHAnsi" w:cstheme="minorHAnsi"/>
          <w:sz w:val="20"/>
          <w:szCs w:val="20"/>
        </w:rPr>
        <w:t xml:space="preserve">aware of </w:t>
      </w:r>
      <w:r w:rsidR="000F1677" w:rsidRPr="009D0A4A">
        <w:rPr>
          <w:rFonts w:asciiTheme="minorHAnsi" w:hAnsiTheme="minorHAnsi" w:cstheme="minorHAnsi"/>
          <w:sz w:val="20"/>
          <w:szCs w:val="20"/>
        </w:rPr>
        <w:t xml:space="preserve">the risks of </w:t>
      </w:r>
      <w:r w:rsidRPr="009D0A4A">
        <w:rPr>
          <w:rFonts w:asciiTheme="minorHAnsi" w:hAnsiTheme="minorHAnsi" w:cstheme="minorHAnsi"/>
          <w:sz w:val="20"/>
          <w:szCs w:val="20"/>
        </w:rPr>
        <w:t xml:space="preserve">high risk silica processes and </w:t>
      </w:r>
      <w:r w:rsidR="000F1677" w:rsidRPr="009D0A4A">
        <w:rPr>
          <w:rFonts w:asciiTheme="minorHAnsi" w:hAnsiTheme="minorHAnsi" w:cstheme="minorHAnsi"/>
          <w:sz w:val="20"/>
          <w:szCs w:val="20"/>
        </w:rPr>
        <w:t>the need to implement</w:t>
      </w:r>
      <w:r w:rsidR="004C031B" w:rsidRPr="009D0A4A">
        <w:rPr>
          <w:rFonts w:asciiTheme="minorHAnsi" w:hAnsiTheme="minorHAnsi" w:cstheme="minorHAnsi"/>
          <w:sz w:val="20"/>
          <w:szCs w:val="20"/>
        </w:rPr>
        <w:t xml:space="preserve"> appropriate</w:t>
      </w:r>
      <w:r w:rsidR="000F1677" w:rsidRPr="009D0A4A">
        <w:rPr>
          <w:rFonts w:asciiTheme="minorHAnsi" w:hAnsiTheme="minorHAnsi" w:cstheme="minorHAnsi"/>
          <w:sz w:val="20"/>
          <w:szCs w:val="20"/>
        </w:rPr>
        <w:t xml:space="preserve"> controls to eliminate or minimise these risks</w:t>
      </w:r>
    </w:p>
    <w:p w14:paraId="79F9445A" w14:textId="7D3F012D"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impose greater accountability on PCBUs undertaking high risk silica work as they </w:t>
      </w:r>
      <w:r w:rsidR="000F1677" w:rsidRPr="009D0A4A">
        <w:rPr>
          <w:rFonts w:asciiTheme="minorHAnsi" w:hAnsiTheme="minorHAnsi" w:cstheme="minorHAnsi"/>
          <w:sz w:val="20"/>
          <w:szCs w:val="20"/>
        </w:rPr>
        <w:t>would</w:t>
      </w:r>
      <w:r w:rsidRPr="009D0A4A">
        <w:rPr>
          <w:rFonts w:asciiTheme="minorHAnsi" w:hAnsiTheme="minorHAnsi" w:cstheme="minorHAnsi"/>
          <w:sz w:val="20"/>
          <w:szCs w:val="20"/>
        </w:rPr>
        <w:t xml:space="preserve"> be required to conduct risk assessments and develop silica risk control plans and report air monitoring</w:t>
      </w:r>
      <w:r w:rsidR="000F1677" w:rsidRPr="009D0A4A">
        <w:rPr>
          <w:rFonts w:asciiTheme="minorHAnsi" w:hAnsiTheme="minorHAnsi" w:cstheme="minorHAnsi"/>
          <w:sz w:val="20"/>
          <w:szCs w:val="20"/>
        </w:rPr>
        <w:t xml:space="preserve"> and</w:t>
      </w:r>
      <w:r w:rsidRPr="009D0A4A">
        <w:rPr>
          <w:rFonts w:asciiTheme="minorHAnsi" w:hAnsiTheme="minorHAnsi" w:cstheme="minorHAnsi"/>
          <w:sz w:val="20"/>
          <w:szCs w:val="20"/>
        </w:rPr>
        <w:t xml:space="preserve"> health monitoring results to WHS regulators</w:t>
      </w:r>
      <w:r w:rsidR="004C031B" w:rsidRPr="009D0A4A">
        <w:rPr>
          <w:rFonts w:asciiTheme="minorHAnsi" w:hAnsiTheme="minorHAnsi" w:cstheme="minorHAnsi"/>
          <w:sz w:val="20"/>
          <w:szCs w:val="20"/>
        </w:rPr>
        <w:t xml:space="preserve">, and </w:t>
      </w:r>
    </w:p>
    <w:p w14:paraId="687FEC20" w14:textId="77777777"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allow state and territory regulators to analyse air monitoring and health monitoring data to: </w:t>
      </w:r>
    </w:p>
    <w:p w14:paraId="0E92850F" w14:textId="2BB79ECE" w:rsidR="006F1AF7" w:rsidRPr="009D0A4A" w:rsidRDefault="006F1AF7" w:rsidP="000C20A5">
      <w:pPr>
        <w:pStyle w:val="BodyText1"/>
        <w:numPr>
          <w:ilvl w:val="1"/>
          <w:numId w:val="20"/>
        </w:numPr>
        <w:jc w:val="both"/>
        <w:rPr>
          <w:rFonts w:asciiTheme="minorHAnsi" w:hAnsiTheme="minorHAnsi" w:cstheme="minorHAnsi"/>
          <w:sz w:val="20"/>
          <w:szCs w:val="20"/>
        </w:rPr>
      </w:pPr>
      <w:r w:rsidRPr="009D0A4A">
        <w:rPr>
          <w:rFonts w:asciiTheme="minorHAnsi" w:hAnsiTheme="minorHAnsi" w:cstheme="minorHAnsi"/>
          <w:sz w:val="20"/>
          <w:szCs w:val="20"/>
        </w:rPr>
        <w:t>draw insights into trends of RCS exposure</w:t>
      </w:r>
    </w:p>
    <w:p w14:paraId="26074679" w14:textId="77777777" w:rsidR="006F1AF7" w:rsidRPr="009D0A4A" w:rsidRDefault="006F1AF7" w:rsidP="000C20A5">
      <w:pPr>
        <w:pStyle w:val="BodyText1"/>
        <w:numPr>
          <w:ilvl w:val="1"/>
          <w:numId w:val="20"/>
        </w:numPr>
        <w:jc w:val="both"/>
        <w:rPr>
          <w:rFonts w:asciiTheme="minorHAnsi" w:hAnsiTheme="minorHAnsi" w:cstheme="minorHAnsi"/>
          <w:sz w:val="20"/>
          <w:szCs w:val="20"/>
        </w:rPr>
      </w:pPr>
      <w:r w:rsidRPr="009D0A4A">
        <w:rPr>
          <w:rFonts w:asciiTheme="minorHAnsi" w:hAnsiTheme="minorHAnsi" w:cstheme="minorHAnsi"/>
          <w:sz w:val="20"/>
          <w:szCs w:val="20"/>
        </w:rPr>
        <w:t>make an initial assessment into a PCBU’s ability to manage RCS exposure, and</w:t>
      </w:r>
    </w:p>
    <w:p w14:paraId="00276860" w14:textId="77777777" w:rsidR="006F1AF7" w:rsidRPr="009D0A4A" w:rsidRDefault="006F1AF7" w:rsidP="000C20A5">
      <w:pPr>
        <w:pStyle w:val="BodyText1"/>
        <w:numPr>
          <w:ilvl w:val="1"/>
          <w:numId w:val="20"/>
        </w:numPr>
        <w:jc w:val="both"/>
        <w:rPr>
          <w:rFonts w:asciiTheme="minorHAnsi" w:hAnsiTheme="minorHAnsi" w:cstheme="minorHAnsi"/>
          <w:sz w:val="20"/>
          <w:szCs w:val="20"/>
        </w:rPr>
      </w:pPr>
      <w:r w:rsidRPr="009D0A4A">
        <w:rPr>
          <w:rFonts w:asciiTheme="minorHAnsi" w:hAnsiTheme="minorHAnsi" w:cstheme="minorHAnsi"/>
          <w:sz w:val="20"/>
          <w:szCs w:val="20"/>
        </w:rPr>
        <w:lastRenderedPageBreak/>
        <w:t xml:space="preserve">better target enforcement and compliance actions where required. </w:t>
      </w:r>
    </w:p>
    <w:p w14:paraId="02DBEB3E" w14:textId="0E46C062" w:rsidR="006F1AF7" w:rsidRPr="009D0A4A" w:rsidRDefault="006F1AF7" w:rsidP="0030750F">
      <w:pPr>
        <w:pStyle w:val="Heading3"/>
      </w:pPr>
      <w:r w:rsidRPr="009D0A4A">
        <w:t>Option 5b</w:t>
      </w:r>
      <w:r w:rsidR="00D14CC1" w:rsidRPr="009D0A4A">
        <w:t>:</w:t>
      </w:r>
      <w:r w:rsidRPr="009D0A4A">
        <w:t xml:space="preserve"> Additional regulation of defined high risk crystalline silica processes (excluding engineered stone)</w:t>
      </w:r>
    </w:p>
    <w:p w14:paraId="49DC5E20" w14:textId="30409643" w:rsidR="006F1AF7" w:rsidRPr="009D0A4A" w:rsidRDefault="006F1AF7" w:rsidP="007012B9">
      <w:pPr>
        <w:pStyle w:val="BodyText"/>
        <w:jc w:val="both"/>
      </w:pPr>
      <w:bookmarkStart w:id="651" w:name="_Hlk103246550"/>
      <w:r w:rsidRPr="009D0A4A">
        <w:t xml:space="preserve">As noted in Section </w:t>
      </w:r>
      <w:r w:rsidR="009F18B4" w:rsidRPr="009D0A4A">
        <w:t>4</w:t>
      </w:r>
      <w:r w:rsidRPr="009D0A4A">
        <w:t>.7</w:t>
      </w:r>
      <w:r w:rsidR="00D742F1" w:rsidRPr="009D0A4A">
        <w:t>, Option</w:t>
      </w:r>
      <w:r w:rsidRPr="009D0A4A">
        <w:t xml:space="preserve"> 5b is equivalent to Option 5a with the exclusion of PCBUs working with engineered stone.</w:t>
      </w:r>
    </w:p>
    <w:bookmarkEnd w:id="651"/>
    <w:p w14:paraId="2613C71C" w14:textId="31A6C910" w:rsidR="006F1AF7" w:rsidRPr="009D0A4A" w:rsidRDefault="006F1AF7" w:rsidP="007012B9">
      <w:pPr>
        <w:pStyle w:val="BodyText"/>
        <w:jc w:val="both"/>
      </w:pPr>
      <w:r w:rsidRPr="009D0A4A">
        <w:t xml:space="preserve">Amendments to the model WHS Regulations applying to all silica containing materials, covering specific </w:t>
      </w:r>
      <w:r w:rsidR="00054126" w:rsidRPr="009D0A4A">
        <w:t>processes,</w:t>
      </w:r>
      <w:r w:rsidRPr="009D0A4A">
        <w:t xml:space="preserve"> and prescribing specific control measures when working with silica containing materials. This option would exclude engineered stone so that the costs and impacts of this option can be </w:t>
      </w:r>
      <w:r w:rsidR="004C031B" w:rsidRPr="009D0A4A">
        <w:t xml:space="preserve">considered </w:t>
      </w:r>
      <w:r w:rsidRPr="009D0A4A">
        <w:t>in combination with Option 4.</w:t>
      </w:r>
    </w:p>
    <w:p w14:paraId="5FCA3A63" w14:textId="77777777" w:rsidR="006F1AF7" w:rsidRPr="009D0A4A" w:rsidRDefault="006F1AF7" w:rsidP="007012B9">
      <w:pPr>
        <w:pStyle w:val="BodyText"/>
        <w:jc w:val="both"/>
      </w:pPr>
      <w:r w:rsidRPr="009D0A4A">
        <w:t>The effectiveness of this option is presented in Option 5a with key findings applicable to all industry sectors excluding engineered stone.</w:t>
      </w:r>
    </w:p>
    <w:p w14:paraId="6C2ED129" w14:textId="4995149D" w:rsidR="006F1AF7" w:rsidRPr="009D0A4A" w:rsidRDefault="006F1AF7" w:rsidP="003801F8">
      <w:pPr>
        <w:pStyle w:val="Heading2"/>
      </w:pPr>
      <w:bookmarkStart w:id="652" w:name="_Toc107395335"/>
      <w:r w:rsidRPr="009D0A4A">
        <w:t>Benefits assessment</w:t>
      </w:r>
      <w:bookmarkEnd w:id="652"/>
    </w:p>
    <w:p w14:paraId="5B1B12FF" w14:textId="76329BE8" w:rsidR="006F1AF7" w:rsidRPr="009D0A4A" w:rsidRDefault="006F1AF7" w:rsidP="007012B9">
      <w:pPr>
        <w:pStyle w:val="BodyText"/>
        <w:jc w:val="both"/>
        <w:rPr>
          <w:rFonts w:cstheme="minorHAnsi"/>
        </w:rPr>
      </w:pPr>
      <w:r w:rsidRPr="009D0A4A">
        <w:t xml:space="preserve">The qualitative assessment undertaken in Section 6.5 demonstrates that </w:t>
      </w:r>
      <w:r w:rsidR="00033E54" w:rsidRPr="009D0A4A">
        <w:t xml:space="preserve">to varying extents, </w:t>
      </w:r>
      <w:r w:rsidRPr="009D0A4A">
        <w:t>Options 2-5 would be likely to lead to increased compliance, reduced workplace exposure to RCS and a reduction in silicosis.</w:t>
      </w:r>
      <w:r w:rsidRPr="009D0A4A">
        <w:rPr>
          <w:rFonts w:cstheme="minorHAnsi"/>
        </w:rPr>
        <w:t xml:space="preserve"> This will result in direct and indirect benefits including: </w:t>
      </w:r>
    </w:p>
    <w:p w14:paraId="38B49947" w14:textId="0E9406E6"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reduction in premature death from silicosis </w:t>
      </w:r>
    </w:p>
    <w:p w14:paraId="03690E11" w14:textId="5FD96385"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reduced </w:t>
      </w:r>
      <w:r w:rsidR="00A4437B" w:rsidRPr="009D0A4A">
        <w:rPr>
          <w:rFonts w:asciiTheme="minorHAnsi" w:hAnsiTheme="minorHAnsi" w:cstheme="minorHAnsi"/>
          <w:sz w:val="20"/>
          <w:szCs w:val="20"/>
        </w:rPr>
        <w:t xml:space="preserve">number of </w:t>
      </w:r>
      <w:r w:rsidRPr="009D0A4A">
        <w:rPr>
          <w:rFonts w:asciiTheme="minorHAnsi" w:hAnsiTheme="minorHAnsi" w:cstheme="minorHAnsi"/>
          <w:sz w:val="20"/>
          <w:szCs w:val="20"/>
        </w:rPr>
        <w:t xml:space="preserve">workers living with silicosis </w:t>
      </w:r>
    </w:p>
    <w:p w14:paraId="704D4A69" w14:textId="71B044D8"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reduced </w:t>
      </w:r>
      <w:r w:rsidR="00D4785F" w:rsidRPr="009D0A4A">
        <w:rPr>
          <w:rFonts w:asciiTheme="minorHAnsi" w:hAnsiTheme="minorHAnsi" w:cstheme="minorHAnsi"/>
          <w:sz w:val="20"/>
          <w:szCs w:val="20"/>
        </w:rPr>
        <w:t xml:space="preserve">health care costs, including hospitalisations and treatment, for </w:t>
      </w:r>
      <w:r w:rsidRPr="009D0A4A">
        <w:rPr>
          <w:rFonts w:asciiTheme="minorHAnsi" w:hAnsiTheme="minorHAnsi" w:cstheme="minorHAnsi"/>
          <w:sz w:val="20"/>
          <w:szCs w:val="20"/>
        </w:rPr>
        <w:t xml:space="preserve">silicosis </w:t>
      </w:r>
    </w:p>
    <w:p w14:paraId="602C8CBD" w14:textId="4F554A3F"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improved worker productivity </w:t>
      </w:r>
      <w:r w:rsidR="004C031B" w:rsidRPr="009D0A4A">
        <w:rPr>
          <w:rFonts w:asciiTheme="minorHAnsi" w:hAnsiTheme="minorHAnsi" w:cstheme="minorHAnsi"/>
          <w:sz w:val="20"/>
          <w:szCs w:val="20"/>
        </w:rPr>
        <w:t>by extending working life</w:t>
      </w:r>
      <w:r w:rsidR="000F1677" w:rsidRPr="009D0A4A">
        <w:rPr>
          <w:rFonts w:asciiTheme="minorHAnsi" w:hAnsiTheme="minorHAnsi" w:cstheme="minorHAnsi"/>
          <w:sz w:val="20"/>
          <w:szCs w:val="20"/>
        </w:rPr>
        <w:t>, and</w:t>
      </w:r>
    </w:p>
    <w:p w14:paraId="28200C66" w14:textId="77777777"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avoided mental health and quality of life effects for workers, family and friends.</w:t>
      </w:r>
    </w:p>
    <w:p w14:paraId="5483C9E6" w14:textId="77777777" w:rsidR="00EF02BC" w:rsidRPr="009D0A4A" w:rsidRDefault="00EF02BC" w:rsidP="00B63440">
      <w:pPr>
        <w:pStyle w:val="BodyText"/>
        <w:jc w:val="both"/>
        <w:rPr>
          <w:rFonts w:cstheme="minorHAnsi"/>
        </w:rPr>
      </w:pPr>
      <w:r w:rsidRPr="009D0A4A">
        <w:rPr>
          <w:rFonts w:cstheme="minorHAnsi"/>
        </w:rPr>
        <w:t xml:space="preserve">A further benefit of capturing and analysing air and health monitoring data is that it will allow a national assessment on the effectiveness of initiatives to reduce exposure to RCS at the workplace and inform assessments about the ongoing risks to workers. </w:t>
      </w:r>
    </w:p>
    <w:p w14:paraId="70886172" w14:textId="7521668E" w:rsidR="006F1AF7" w:rsidRPr="009D0A4A" w:rsidRDefault="00F84B44" w:rsidP="007012B9">
      <w:pPr>
        <w:pStyle w:val="BodyText"/>
        <w:jc w:val="both"/>
        <w:rPr>
          <w:rFonts w:cstheme="minorHAnsi"/>
        </w:rPr>
      </w:pPr>
      <w:r w:rsidRPr="009D0A4A">
        <w:rPr>
          <w:rFonts w:cstheme="minorHAnsi"/>
        </w:rPr>
        <w:t>D</w:t>
      </w:r>
      <w:r w:rsidR="004C031B" w:rsidRPr="009D0A4A">
        <w:rPr>
          <w:rFonts w:cstheme="minorHAnsi"/>
        </w:rPr>
        <w:t>ue to uncertainty and</w:t>
      </w:r>
      <w:r w:rsidR="006F1AF7" w:rsidRPr="009D0A4A">
        <w:rPr>
          <w:rFonts w:cstheme="minorHAnsi"/>
        </w:rPr>
        <w:t xml:space="preserve"> insufficient data</w:t>
      </w:r>
      <w:r w:rsidR="004C031B" w:rsidRPr="009D0A4A">
        <w:rPr>
          <w:rFonts w:cstheme="minorHAnsi"/>
        </w:rPr>
        <w:t>, it is not possible</w:t>
      </w:r>
      <w:r w:rsidR="006F1AF7" w:rsidRPr="009D0A4A">
        <w:rPr>
          <w:rFonts w:cstheme="minorHAnsi"/>
        </w:rPr>
        <w:t xml:space="preserve"> to assess effectiveness of each option in monetary terms. The following section assesses the economic impact per case of silicosis. </w:t>
      </w:r>
    </w:p>
    <w:p w14:paraId="3B0F3BB0" w14:textId="63A7276C" w:rsidR="006F1AF7" w:rsidRPr="009D0A4A" w:rsidRDefault="006F1AF7" w:rsidP="0030750F">
      <w:pPr>
        <w:pStyle w:val="Heading3"/>
      </w:pPr>
      <w:r w:rsidRPr="009D0A4A">
        <w:t xml:space="preserve">Assessing the benefits </w:t>
      </w:r>
      <w:r w:rsidR="002D29AE" w:rsidRPr="009D0A4A">
        <w:t>of silicosis prevention</w:t>
      </w:r>
    </w:p>
    <w:p w14:paraId="5271B0B8" w14:textId="3418A041" w:rsidR="006F1AF7" w:rsidRPr="009D0A4A" w:rsidRDefault="006F1AF7" w:rsidP="007012B9">
      <w:pPr>
        <w:pStyle w:val="BodyText"/>
        <w:jc w:val="both"/>
      </w:pPr>
      <w:r w:rsidRPr="009D0A4A">
        <w:t xml:space="preserve">The </w:t>
      </w:r>
      <w:r w:rsidR="002D29AE" w:rsidRPr="009D0A4A">
        <w:t xml:space="preserve">economic </w:t>
      </w:r>
      <w:r w:rsidRPr="009D0A4A">
        <w:t xml:space="preserve">impact associated with </w:t>
      </w:r>
      <w:r w:rsidR="002D29AE" w:rsidRPr="009D0A4A">
        <w:t xml:space="preserve">a worker developing </w:t>
      </w:r>
      <w:r w:rsidRPr="009D0A4A">
        <w:t xml:space="preserve">silicosis can occur across many years, from the time an injury is diagnosed through to </w:t>
      </w:r>
      <w:r w:rsidR="002D29AE" w:rsidRPr="009D0A4A">
        <w:t>the end of the worker’s life</w:t>
      </w:r>
      <w:r w:rsidRPr="009D0A4A">
        <w:t xml:space="preserve">. In most cases, </w:t>
      </w:r>
      <w:r w:rsidR="0092136B" w:rsidRPr="009D0A4A">
        <w:t xml:space="preserve">silicosis </w:t>
      </w:r>
      <w:r w:rsidRPr="009D0A4A">
        <w:t xml:space="preserve">diseases will worsen over time. This means that workers who receive an early diagnosis are required to live with this burden and the increased likelihood of premature death. </w:t>
      </w:r>
    </w:p>
    <w:p w14:paraId="22487A2C" w14:textId="77777777" w:rsidR="00D34981" w:rsidRPr="009D0A4A" w:rsidRDefault="006F1AF7" w:rsidP="00D34981">
      <w:pPr>
        <w:pStyle w:val="BodyText"/>
        <w:jc w:val="both"/>
      </w:pPr>
      <w:r w:rsidRPr="009D0A4A">
        <w:t xml:space="preserve">These health benefits are typically estimated </w:t>
      </w:r>
      <w:r w:rsidR="002D29AE" w:rsidRPr="009D0A4A">
        <w:t xml:space="preserve">economically </w:t>
      </w:r>
      <w:r w:rsidRPr="009D0A4A">
        <w:t xml:space="preserve">through the quantification of value of lives saved and illness avoided. </w:t>
      </w:r>
      <w:r w:rsidR="00D34981" w:rsidRPr="009D0A4A">
        <w:t>This is an accepted economic method for analysing and comparing policy options for reducing fatalities and illness.</w:t>
      </w:r>
    </w:p>
    <w:p w14:paraId="53BEF034" w14:textId="72A21B7D" w:rsidR="002D29AE" w:rsidRPr="009D0A4A" w:rsidRDefault="00D34981" w:rsidP="007012B9">
      <w:pPr>
        <w:pStyle w:val="BodyText"/>
        <w:jc w:val="both"/>
      </w:pPr>
      <w:r w:rsidRPr="009D0A4A">
        <w:t xml:space="preserve">However, this analysis is conservative and is likely to underestimate the full costs of </w:t>
      </w:r>
      <w:r w:rsidR="00662EF2" w:rsidRPr="009D0A4A">
        <w:t xml:space="preserve">silicosis </w:t>
      </w:r>
      <w:r w:rsidRPr="009D0A4A">
        <w:t xml:space="preserve">to the Australian economy. It does not </w:t>
      </w:r>
      <w:r w:rsidR="00F84B44" w:rsidRPr="009D0A4A">
        <w:t>assess</w:t>
      </w:r>
      <w:r w:rsidRPr="009D0A4A">
        <w:t xml:space="preserve"> the costs associated with other silica related diseases</w:t>
      </w:r>
      <w:r w:rsidR="00F84B44" w:rsidRPr="009D0A4A">
        <w:t xml:space="preserve"> </w:t>
      </w:r>
      <w:r w:rsidR="00F84B44" w:rsidRPr="009D0A4A">
        <w:rPr>
          <w:lang w:val="en-US"/>
        </w:rPr>
        <w:t>(such as lung cancer, silicosis, and progressive massive fibrosis)</w:t>
      </w:r>
      <w:r w:rsidR="00F84B44" w:rsidRPr="009D0A4A">
        <w:t xml:space="preserve">, </w:t>
      </w:r>
      <w:r w:rsidRPr="009D0A4A">
        <w:t xml:space="preserve">nor the difference in the progression of acute or accelerated silicosis that is associated with higher exposures to RCS. It also does not consider </w:t>
      </w:r>
      <w:r w:rsidR="006F1AF7" w:rsidRPr="009D0A4A">
        <w:t xml:space="preserve">other significant benefits that are associated with not </w:t>
      </w:r>
      <w:r w:rsidR="004C031B" w:rsidRPr="009D0A4A">
        <w:t>having</w:t>
      </w:r>
      <w:r w:rsidR="006F1AF7" w:rsidRPr="009D0A4A">
        <w:t xml:space="preserve"> silicosis such </w:t>
      </w:r>
      <w:r w:rsidR="002D29AE" w:rsidRPr="009D0A4A">
        <w:t>as:</w:t>
      </w:r>
    </w:p>
    <w:p w14:paraId="4C8A0482" w14:textId="5F890955" w:rsidR="002D29AE"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improved mental health and wellbeing benefits</w:t>
      </w:r>
      <w:r w:rsidR="002D29AE" w:rsidRPr="009D0A4A">
        <w:rPr>
          <w:rFonts w:asciiTheme="minorHAnsi" w:hAnsiTheme="minorHAnsi" w:cstheme="minorHAnsi"/>
          <w:sz w:val="20"/>
          <w:szCs w:val="20"/>
        </w:rPr>
        <w:t xml:space="preserve"> for affected workers and their families</w:t>
      </w:r>
    </w:p>
    <w:p w14:paraId="5F640E18" w14:textId="5D31F958" w:rsidR="002D29AE" w:rsidRPr="009D0A4A" w:rsidRDefault="002D29AE"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reduced costs to the public health and workers</w:t>
      </w:r>
      <w:r w:rsidR="00EB17F4" w:rsidRPr="009D0A4A">
        <w:rPr>
          <w:rFonts w:asciiTheme="minorHAnsi" w:hAnsiTheme="minorHAnsi" w:cstheme="minorHAnsi"/>
          <w:sz w:val="20"/>
          <w:szCs w:val="20"/>
        </w:rPr>
        <w:t>’</w:t>
      </w:r>
      <w:r w:rsidRPr="009D0A4A">
        <w:rPr>
          <w:rFonts w:asciiTheme="minorHAnsi" w:hAnsiTheme="minorHAnsi" w:cstheme="minorHAnsi"/>
          <w:sz w:val="20"/>
          <w:szCs w:val="20"/>
        </w:rPr>
        <w:t xml:space="preserve"> compensation systems, and</w:t>
      </w:r>
    </w:p>
    <w:p w14:paraId="6E955E41" w14:textId="4F19CAFB" w:rsidR="006F1AF7" w:rsidRPr="009D0A4A" w:rsidRDefault="006F1AF7"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lastRenderedPageBreak/>
        <w:t xml:space="preserve">improved productivity </w:t>
      </w:r>
      <w:r w:rsidR="002D29AE" w:rsidRPr="009D0A4A">
        <w:rPr>
          <w:rFonts w:asciiTheme="minorHAnsi" w:hAnsiTheme="minorHAnsi" w:cstheme="minorHAnsi"/>
          <w:sz w:val="20"/>
          <w:szCs w:val="20"/>
        </w:rPr>
        <w:t xml:space="preserve">and efficiency </w:t>
      </w:r>
      <w:r w:rsidRPr="009D0A4A">
        <w:rPr>
          <w:rFonts w:asciiTheme="minorHAnsi" w:hAnsiTheme="minorHAnsi" w:cstheme="minorHAnsi"/>
          <w:sz w:val="20"/>
          <w:szCs w:val="20"/>
        </w:rPr>
        <w:t>resulting from reduced absenteeism</w:t>
      </w:r>
      <w:r w:rsidR="002D29AE" w:rsidRPr="009D0A4A">
        <w:rPr>
          <w:rFonts w:asciiTheme="minorHAnsi" w:hAnsiTheme="minorHAnsi" w:cstheme="minorHAnsi"/>
          <w:sz w:val="20"/>
          <w:szCs w:val="20"/>
        </w:rPr>
        <w:t>.</w:t>
      </w:r>
    </w:p>
    <w:p w14:paraId="0BDF350F" w14:textId="516BD646" w:rsidR="006F1AF7" w:rsidRPr="009D0A4A" w:rsidRDefault="006F1AF7" w:rsidP="0030750F">
      <w:pPr>
        <w:pStyle w:val="Heading4"/>
      </w:pPr>
      <w:r w:rsidRPr="009D0A4A">
        <w:t>Value of lives saved and illness avoided</w:t>
      </w:r>
    </w:p>
    <w:p w14:paraId="0D03373A" w14:textId="31C257B0" w:rsidR="006F1AF7" w:rsidRPr="009D0A4A" w:rsidRDefault="006F1AF7" w:rsidP="007012B9">
      <w:pPr>
        <w:pStyle w:val="BodyText"/>
        <w:jc w:val="both"/>
      </w:pPr>
      <w:r w:rsidRPr="009D0A4A">
        <w:t>The value of li</w:t>
      </w:r>
      <w:r w:rsidR="00054126" w:rsidRPr="009D0A4A">
        <w:t>v</w:t>
      </w:r>
      <w:r w:rsidRPr="009D0A4A">
        <w:t>e</w:t>
      </w:r>
      <w:r w:rsidR="00054126" w:rsidRPr="009D0A4A">
        <w:t>s</w:t>
      </w:r>
      <w:r w:rsidRPr="009D0A4A">
        <w:t xml:space="preserve"> saved and illness avoided is estimated by comparing the duration an individual </w:t>
      </w:r>
      <w:r w:rsidR="00EA4F59" w:rsidRPr="009D0A4A">
        <w:t xml:space="preserve">life </w:t>
      </w:r>
      <w:r w:rsidRPr="009D0A4A">
        <w:t xml:space="preserve">with silicosis and the number of years lost due to premature death </w:t>
      </w:r>
      <w:r w:rsidR="004421D8" w:rsidRPr="009D0A4A">
        <w:t>before</w:t>
      </w:r>
      <w:r w:rsidRPr="009D0A4A">
        <w:t xml:space="preserve"> the average life expectancy.</w:t>
      </w:r>
    </w:p>
    <w:p w14:paraId="4F6A5714" w14:textId="77777777" w:rsidR="006F1AF7" w:rsidRPr="009D0A4A" w:rsidRDefault="006F1AF7" w:rsidP="007012B9">
      <w:pPr>
        <w:pStyle w:val="BodyText"/>
        <w:jc w:val="both"/>
      </w:pPr>
      <w:r w:rsidRPr="009D0A4A">
        <w:t xml:space="preserve">This is measured using the value of a statistical life year (VSL) as an estimate of the value society places on a year of life. The VSL is most appropriately measured by estimating how much society is willing to pay to reduce the risk of death. The value of an individual living with the disease is measured using a disability adjusted life year (DALY) factor, representing the loss of one year of full health. </w:t>
      </w:r>
    </w:p>
    <w:p w14:paraId="3D9B7E25" w14:textId="5086596A" w:rsidR="006F1AF7" w:rsidRPr="009D0A4A" w:rsidRDefault="006F1AF7" w:rsidP="007012B9">
      <w:pPr>
        <w:pStyle w:val="BodyText"/>
        <w:jc w:val="both"/>
      </w:pPr>
      <w:r w:rsidRPr="009D0A4A">
        <w:t xml:space="preserve">Key assumptions used in the </w:t>
      </w:r>
      <w:r w:rsidR="003F45B9" w:rsidRPr="009D0A4A">
        <w:t>C</w:t>
      </w:r>
      <w:r w:rsidRPr="009D0A4A">
        <w:t>RIS undertaken in the Occupational Health and Safety Amendment (Crystalline Silica) Regulations 2021</w:t>
      </w:r>
      <w:r w:rsidRPr="009D0A4A" w:rsidDel="00581F3F">
        <w:t xml:space="preserve"> </w:t>
      </w:r>
      <w:r w:rsidRPr="009D0A4A">
        <w:t xml:space="preserve">Regulatory Impact Statement </w:t>
      </w:r>
      <w:r w:rsidR="004C0756" w:rsidRPr="009D0A4A">
        <w:t>commissioned</w:t>
      </w:r>
      <w:r w:rsidRPr="009D0A4A">
        <w:t xml:space="preserve"> by WorkSafe Victoria</w:t>
      </w:r>
      <w:r w:rsidR="004C0756" w:rsidRPr="009D0A4A">
        <w:t xml:space="preserve"> </w:t>
      </w:r>
      <w:r w:rsidR="004C0756" w:rsidRPr="009D0A4A">
        <w:fldChar w:fldCharType="begin"/>
      </w:r>
      <w:r w:rsidR="004067E3">
        <w:instrText xml:space="preserve"> ADDIN ZOTERO_ITEM CSL_CITATION {"citationID":"aUqD5hIM","properties":{"formattedCitation":"(Deloitte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004C0756" w:rsidRPr="009D0A4A">
        <w:fldChar w:fldCharType="separate"/>
      </w:r>
      <w:r w:rsidR="004C0756" w:rsidRPr="009D0A4A">
        <w:rPr>
          <w:rFonts w:ascii="Calibri" w:hAnsi="Calibri" w:cs="Calibri"/>
        </w:rPr>
        <w:t>(Deloitte 2021)</w:t>
      </w:r>
      <w:r w:rsidR="004C0756" w:rsidRPr="009D0A4A">
        <w:fldChar w:fldCharType="end"/>
      </w:r>
      <w:r w:rsidR="004C0756" w:rsidRPr="009D0A4A">
        <w:t xml:space="preserve"> </w:t>
      </w:r>
      <w:r w:rsidRPr="009D0A4A">
        <w:t xml:space="preserve">as presented in </w:t>
      </w:r>
      <w:r w:rsidR="00C64F37" w:rsidRPr="009D0A4A">
        <w:t xml:space="preserve">Table </w:t>
      </w:r>
      <w:r w:rsidR="003F5102" w:rsidRPr="009D0A4A">
        <w:t>22</w:t>
      </w:r>
      <w:r w:rsidRPr="009D0A4A">
        <w:t>.</w:t>
      </w:r>
    </w:p>
    <w:p w14:paraId="11433027" w14:textId="62EBEC08" w:rsidR="006F1AF7" w:rsidRPr="009D0A4A" w:rsidRDefault="00C64F37" w:rsidP="006F1AF7">
      <w:pPr>
        <w:pStyle w:val="Caption"/>
      </w:pPr>
      <w:r w:rsidRPr="009D0A4A">
        <w:t xml:space="preserve">Table </w:t>
      </w:r>
      <w:r w:rsidR="003F5102" w:rsidRPr="009D0A4A">
        <w:t>22</w:t>
      </w:r>
      <w:r w:rsidR="006F1AF7" w:rsidRPr="009D0A4A">
        <w:t xml:space="preserve">: </w:t>
      </w:r>
      <w:r w:rsidR="002D29AE" w:rsidRPr="009D0A4A">
        <w:t>Key assumptions for breakeven analysis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5"/>
        <w:gridCol w:w="3969"/>
      </w:tblGrid>
      <w:tr w:rsidR="006F1AF7" w:rsidRPr="009D0A4A" w14:paraId="0905B131" w14:textId="77777777" w:rsidTr="00AF6E84">
        <w:trPr>
          <w:trHeight w:val="104"/>
          <w:tblHeader/>
        </w:trPr>
        <w:tc>
          <w:tcPr>
            <w:tcW w:w="3055" w:type="pct"/>
            <w:shd w:val="clear" w:color="auto" w:fill="D1D1D1" w:themeFill="background2"/>
            <w:vAlign w:val="center"/>
          </w:tcPr>
          <w:p w14:paraId="599B126C" w14:textId="77777777" w:rsidR="006F1AF7" w:rsidRPr="009D0A4A" w:rsidRDefault="006F1AF7" w:rsidP="007012B9">
            <w:pPr>
              <w:spacing w:before="60" w:after="60"/>
              <w:rPr>
                <w:rStyle w:val="Strong"/>
                <w:rFonts w:asciiTheme="majorHAnsi" w:hAnsiTheme="majorHAnsi" w:cstheme="minorHAnsi"/>
                <w:b w:val="0"/>
                <w:iCs/>
                <w:color w:val="014463" w:themeColor="text2"/>
                <w:szCs w:val="18"/>
              </w:rPr>
            </w:pPr>
            <w:r w:rsidRPr="009D0A4A">
              <w:rPr>
                <w:rStyle w:val="Strong"/>
                <w:rFonts w:cstheme="minorHAnsi"/>
              </w:rPr>
              <w:t xml:space="preserve">Assumption </w:t>
            </w:r>
          </w:p>
        </w:tc>
        <w:tc>
          <w:tcPr>
            <w:tcW w:w="1945" w:type="pct"/>
            <w:shd w:val="clear" w:color="auto" w:fill="D1D1D1" w:themeFill="background2"/>
            <w:vAlign w:val="center"/>
          </w:tcPr>
          <w:p w14:paraId="2D1E934D" w14:textId="77777777" w:rsidR="006F1AF7" w:rsidRPr="009D0A4A" w:rsidRDefault="006F1AF7" w:rsidP="007012B9">
            <w:pPr>
              <w:spacing w:before="60" w:after="60"/>
              <w:rPr>
                <w:rStyle w:val="Strong"/>
                <w:rFonts w:cstheme="minorHAnsi"/>
              </w:rPr>
            </w:pPr>
            <w:r w:rsidRPr="009D0A4A">
              <w:rPr>
                <w:rStyle w:val="Strong"/>
                <w:rFonts w:cstheme="minorHAnsi"/>
              </w:rPr>
              <w:t>Value</w:t>
            </w:r>
          </w:p>
        </w:tc>
      </w:tr>
      <w:tr w:rsidR="006F1AF7" w:rsidRPr="009D0A4A" w14:paraId="0B398C52" w14:textId="77777777" w:rsidTr="00AF6E84">
        <w:trPr>
          <w:trHeight w:val="467"/>
        </w:trPr>
        <w:tc>
          <w:tcPr>
            <w:tcW w:w="3055" w:type="pct"/>
            <w:tcBorders>
              <w:bottom w:val="single" w:sz="8" w:space="0" w:color="D1D1D1" w:themeColor="background2"/>
            </w:tcBorders>
            <w:vAlign w:val="center"/>
          </w:tcPr>
          <w:p w14:paraId="3A6B4B77" w14:textId="77777777" w:rsidR="006F1AF7" w:rsidRPr="009D0A4A" w:rsidRDefault="006F1AF7" w:rsidP="007012B9">
            <w:pPr>
              <w:spacing w:before="60" w:after="60"/>
              <w:rPr>
                <w:rFonts w:cstheme="minorHAnsi"/>
                <w:color w:val="000000"/>
              </w:rPr>
            </w:pPr>
            <w:r w:rsidRPr="009D0A4A">
              <w:rPr>
                <w:rFonts w:cstheme="minorHAnsi"/>
                <w:color w:val="000000"/>
              </w:rPr>
              <w:t>Average life expectancy of an Australian</w:t>
            </w:r>
          </w:p>
        </w:tc>
        <w:tc>
          <w:tcPr>
            <w:tcW w:w="1945" w:type="pct"/>
            <w:tcBorders>
              <w:bottom w:val="single" w:sz="8" w:space="0" w:color="D1D1D1" w:themeColor="background2"/>
            </w:tcBorders>
            <w:vAlign w:val="center"/>
          </w:tcPr>
          <w:p w14:paraId="413AE394" w14:textId="253EF350" w:rsidR="006F1AF7" w:rsidRPr="009D0A4A" w:rsidRDefault="006F1AF7" w:rsidP="007012B9">
            <w:pPr>
              <w:spacing w:before="60" w:after="60"/>
              <w:rPr>
                <w:rFonts w:cstheme="minorHAnsi"/>
                <w:color w:val="000000"/>
              </w:rPr>
            </w:pPr>
            <w:r w:rsidRPr="009D0A4A">
              <w:rPr>
                <w:rFonts w:cstheme="minorHAnsi"/>
                <w:color w:val="000000"/>
              </w:rPr>
              <w:t>82.30 years</w:t>
            </w:r>
            <w:r w:rsidR="004C0756" w:rsidRPr="009D0A4A">
              <w:t xml:space="preserve"> </w:t>
            </w:r>
            <w:r w:rsidR="004C0756" w:rsidRPr="009D0A4A">
              <w:fldChar w:fldCharType="begin"/>
            </w:r>
            <w:r w:rsidR="004067E3">
              <w:instrText xml:space="preserve"> ADDIN ZOTERO_ITEM CSL_CITATION {"citationID":"8E1yaRBN","properties":{"formattedCitation":"(Australian Institute of Health and Welfare 2022)","plainCitation":"(Australian Institute of Health and Welfare 2022)","noteIndex":0},"citationItems":[{"id":934,"uris":["http://zotero.org/users/6230888/items/KRFHT8IG"],"itemData":{"id":934,"type":"report","page":"27","title":"Deaths in Australia","URL":"https://www.aihw.gov.au/getmedia/743dd325-7e96-4674-bb87-9f77420a7ef5/Deaths-in-Australia.pdf","author":[{"literal":"Australian Institute of Health and Welfare"}],"accessed":{"date-parts":[["2022",6,30]]},"issued":{"date-parts":[["2022"]]}}}],"schema":"https://github.com/citation-style-language/schema/raw/master/csl-citation.json"} </w:instrText>
            </w:r>
            <w:r w:rsidR="004C0756" w:rsidRPr="009D0A4A">
              <w:fldChar w:fldCharType="separate"/>
            </w:r>
            <w:r w:rsidR="00D45D04" w:rsidRPr="009D0A4A">
              <w:rPr>
                <w:rFonts w:ascii="Calibri" w:hAnsi="Calibri" w:cs="Calibri"/>
              </w:rPr>
              <w:t>(Australian Institute of Health and Welfare 2022)</w:t>
            </w:r>
            <w:r w:rsidR="004C0756" w:rsidRPr="009D0A4A">
              <w:fldChar w:fldCharType="end"/>
            </w:r>
          </w:p>
        </w:tc>
      </w:tr>
      <w:tr w:rsidR="006F1AF7" w:rsidRPr="009D0A4A" w14:paraId="728421BB" w14:textId="77777777" w:rsidTr="00AF6E84">
        <w:trPr>
          <w:trHeight w:val="196"/>
        </w:trPr>
        <w:tc>
          <w:tcPr>
            <w:tcW w:w="3055" w:type="pct"/>
            <w:tcBorders>
              <w:bottom w:val="single" w:sz="8" w:space="0" w:color="D1D1D1" w:themeColor="background2"/>
            </w:tcBorders>
            <w:vAlign w:val="center"/>
          </w:tcPr>
          <w:p w14:paraId="39C8DA51" w14:textId="77777777" w:rsidR="006F1AF7" w:rsidRPr="009D0A4A" w:rsidRDefault="006F1AF7" w:rsidP="007012B9">
            <w:pPr>
              <w:spacing w:before="60" w:after="60"/>
              <w:rPr>
                <w:rFonts w:cstheme="minorHAnsi"/>
                <w:color w:val="000000"/>
              </w:rPr>
            </w:pPr>
            <w:r w:rsidRPr="009D0A4A">
              <w:rPr>
                <w:rFonts w:cstheme="minorHAnsi"/>
                <w:color w:val="000000"/>
              </w:rPr>
              <w:t>Average age of diagnosis with silicosis</w:t>
            </w:r>
          </w:p>
        </w:tc>
        <w:tc>
          <w:tcPr>
            <w:tcW w:w="1945" w:type="pct"/>
            <w:tcBorders>
              <w:bottom w:val="single" w:sz="8" w:space="0" w:color="D1D1D1" w:themeColor="background2"/>
            </w:tcBorders>
            <w:vAlign w:val="center"/>
          </w:tcPr>
          <w:p w14:paraId="696C1590" w14:textId="2265BED9" w:rsidR="006F1AF7" w:rsidRPr="009D0A4A" w:rsidRDefault="006F1AF7" w:rsidP="007012B9">
            <w:pPr>
              <w:spacing w:before="60" w:after="60"/>
              <w:rPr>
                <w:rFonts w:cstheme="minorHAnsi"/>
                <w:color w:val="000000"/>
              </w:rPr>
            </w:pPr>
            <w:r w:rsidRPr="009D0A4A">
              <w:rPr>
                <w:rFonts w:cstheme="minorHAnsi"/>
                <w:color w:val="000000"/>
              </w:rPr>
              <w:t>43.30 years</w:t>
            </w:r>
            <w:r w:rsidR="00D45D04" w:rsidRPr="009D0A4A">
              <w:t xml:space="preserve"> </w:t>
            </w:r>
            <w:r w:rsidR="00D45D04" w:rsidRPr="009D0A4A">
              <w:fldChar w:fldCharType="begin"/>
            </w:r>
            <w:r w:rsidR="004067E3">
              <w:instrText xml:space="preserve"> ADDIN ZOTERO_ITEM CSL_CITATION {"citationID":"HruToubF","properties":{"formattedCitation":"(Deloitte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00D45D04" w:rsidRPr="009D0A4A">
              <w:fldChar w:fldCharType="separate"/>
            </w:r>
            <w:r w:rsidR="00D45D04" w:rsidRPr="009D0A4A">
              <w:rPr>
                <w:rFonts w:ascii="Calibri" w:hAnsi="Calibri" w:cs="Calibri"/>
              </w:rPr>
              <w:t>(Deloitte 2021)</w:t>
            </w:r>
            <w:r w:rsidR="00D45D04" w:rsidRPr="009D0A4A">
              <w:fldChar w:fldCharType="end"/>
            </w:r>
          </w:p>
        </w:tc>
      </w:tr>
      <w:tr w:rsidR="006F1AF7" w:rsidRPr="009D0A4A" w14:paraId="41B07164" w14:textId="77777777" w:rsidTr="00AF6E84">
        <w:trPr>
          <w:trHeight w:val="196"/>
        </w:trPr>
        <w:tc>
          <w:tcPr>
            <w:tcW w:w="3055" w:type="pct"/>
            <w:tcBorders>
              <w:top w:val="single" w:sz="8" w:space="0" w:color="D1D1D1" w:themeColor="background2"/>
              <w:bottom w:val="single" w:sz="8" w:space="0" w:color="D1D1D1" w:themeColor="background2"/>
            </w:tcBorders>
            <w:vAlign w:val="center"/>
          </w:tcPr>
          <w:p w14:paraId="520EFCC4" w14:textId="77777777" w:rsidR="006F1AF7" w:rsidRPr="009D0A4A" w:rsidRDefault="006F1AF7" w:rsidP="007012B9">
            <w:pPr>
              <w:spacing w:before="60" w:after="60"/>
              <w:rPr>
                <w:rFonts w:cstheme="minorHAnsi"/>
                <w:color w:val="000000"/>
              </w:rPr>
            </w:pPr>
            <w:r w:rsidRPr="009D0A4A">
              <w:rPr>
                <w:rFonts w:cstheme="minorHAnsi"/>
                <w:color w:val="000000"/>
              </w:rPr>
              <w:t>Average time between diagnosis of silicosis and death</w:t>
            </w:r>
          </w:p>
        </w:tc>
        <w:tc>
          <w:tcPr>
            <w:tcW w:w="1945" w:type="pct"/>
            <w:tcBorders>
              <w:top w:val="single" w:sz="8" w:space="0" w:color="D1D1D1" w:themeColor="background2"/>
              <w:bottom w:val="single" w:sz="8" w:space="0" w:color="D1D1D1" w:themeColor="background2"/>
            </w:tcBorders>
            <w:vAlign w:val="center"/>
          </w:tcPr>
          <w:p w14:paraId="2403D288" w14:textId="2F2B2A58" w:rsidR="006F1AF7" w:rsidRPr="009D0A4A" w:rsidRDefault="006F1AF7" w:rsidP="007012B9">
            <w:pPr>
              <w:spacing w:before="60" w:after="60"/>
              <w:rPr>
                <w:rFonts w:cstheme="minorHAnsi"/>
                <w:color w:val="000000"/>
              </w:rPr>
            </w:pPr>
            <w:r w:rsidRPr="009D0A4A">
              <w:rPr>
                <w:rFonts w:cstheme="minorHAnsi"/>
                <w:color w:val="000000"/>
              </w:rPr>
              <w:t>9.30 years</w:t>
            </w:r>
            <w:r w:rsidR="00D45D04" w:rsidRPr="009D0A4A">
              <w:t xml:space="preserve"> </w:t>
            </w:r>
            <w:r w:rsidR="00D45D04" w:rsidRPr="009D0A4A">
              <w:fldChar w:fldCharType="begin"/>
            </w:r>
            <w:r w:rsidR="004067E3">
              <w:instrText xml:space="preserve"> ADDIN ZOTERO_ITEM CSL_CITATION {"citationID":"YT7TFsi2","properties":{"formattedCitation":"(Deloitte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00D45D04" w:rsidRPr="009D0A4A">
              <w:fldChar w:fldCharType="separate"/>
            </w:r>
            <w:r w:rsidR="00D45D04" w:rsidRPr="009D0A4A">
              <w:rPr>
                <w:rFonts w:ascii="Calibri" w:hAnsi="Calibri" w:cs="Calibri"/>
              </w:rPr>
              <w:t>(Deloitte 2021)</w:t>
            </w:r>
            <w:r w:rsidR="00D45D04" w:rsidRPr="009D0A4A">
              <w:fldChar w:fldCharType="end"/>
            </w:r>
          </w:p>
        </w:tc>
      </w:tr>
      <w:tr w:rsidR="006F1AF7" w:rsidRPr="009D0A4A" w14:paraId="63A70818" w14:textId="77777777" w:rsidTr="00AF6E84">
        <w:trPr>
          <w:trHeight w:val="196"/>
        </w:trPr>
        <w:tc>
          <w:tcPr>
            <w:tcW w:w="3055"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28FAD5D5" w14:textId="77777777" w:rsidR="006F1AF7" w:rsidRPr="009D0A4A" w:rsidRDefault="006F1AF7" w:rsidP="007012B9">
            <w:pPr>
              <w:spacing w:before="60" w:after="60"/>
              <w:rPr>
                <w:rFonts w:cstheme="minorHAnsi"/>
                <w:b/>
                <w:bCs/>
              </w:rPr>
            </w:pPr>
            <w:r w:rsidRPr="009D0A4A">
              <w:rPr>
                <w:rFonts w:cstheme="minorHAnsi"/>
                <w:b/>
                <w:bCs/>
              </w:rPr>
              <w:t xml:space="preserve">Estimated average age of death due to silicosis </w:t>
            </w:r>
          </w:p>
        </w:tc>
        <w:tc>
          <w:tcPr>
            <w:tcW w:w="1945"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39EA1150" w14:textId="77777777" w:rsidR="006F1AF7" w:rsidRPr="009D0A4A" w:rsidRDefault="006F1AF7" w:rsidP="007012B9">
            <w:pPr>
              <w:spacing w:before="60" w:after="60"/>
              <w:rPr>
                <w:rFonts w:cstheme="minorHAnsi"/>
                <w:b/>
                <w:bCs/>
              </w:rPr>
            </w:pPr>
            <w:r w:rsidRPr="009D0A4A">
              <w:rPr>
                <w:rFonts w:cstheme="minorHAnsi"/>
                <w:b/>
                <w:bCs/>
              </w:rPr>
              <w:t xml:space="preserve">52.6 </w:t>
            </w:r>
            <w:r w:rsidRPr="009D0A4A">
              <w:rPr>
                <w:rFonts w:cstheme="minorHAnsi"/>
                <w:b/>
                <w:bCs/>
                <w:color w:val="000000"/>
              </w:rPr>
              <w:t>years</w:t>
            </w:r>
          </w:p>
        </w:tc>
      </w:tr>
      <w:tr w:rsidR="006F1AF7" w:rsidRPr="009D0A4A" w14:paraId="07935278" w14:textId="77777777" w:rsidTr="00AF6E84">
        <w:trPr>
          <w:trHeight w:val="196"/>
        </w:trPr>
        <w:tc>
          <w:tcPr>
            <w:tcW w:w="3055" w:type="pct"/>
            <w:tcBorders>
              <w:top w:val="single" w:sz="8" w:space="0" w:color="D1D1D1" w:themeColor="background2"/>
              <w:bottom w:val="single" w:sz="8" w:space="0" w:color="D1D1D1" w:themeColor="background2"/>
            </w:tcBorders>
            <w:shd w:val="clear" w:color="auto" w:fill="FFFFFF" w:themeFill="background1"/>
            <w:vAlign w:val="center"/>
          </w:tcPr>
          <w:p w14:paraId="19EE7F5A" w14:textId="59002201" w:rsidR="006F1AF7" w:rsidRPr="009D0A4A" w:rsidRDefault="006F1AF7" w:rsidP="007012B9">
            <w:pPr>
              <w:spacing w:before="60" w:after="60"/>
              <w:rPr>
                <w:rFonts w:cstheme="minorHAnsi"/>
              </w:rPr>
            </w:pPr>
            <w:r w:rsidRPr="009D0A4A">
              <w:rPr>
                <w:rFonts w:cstheme="minorHAnsi"/>
              </w:rPr>
              <w:t xml:space="preserve">Proportion of silicosis diagnoses that led to a </w:t>
            </w:r>
            <w:r w:rsidR="00D34981" w:rsidRPr="009D0A4A">
              <w:rPr>
                <w:rFonts w:cstheme="minorHAnsi"/>
              </w:rPr>
              <w:t>fatality</w:t>
            </w:r>
          </w:p>
        </w:tc>
        <w:tc>
          <w:tcPr>
            <w:tcW w:w="1945" w:type="pct"/>
            <w:tcBorders>
              <w:top w:val="single" w:sz="8" w:space="0" w:color="D1D1D1" w:themeColor="background2"/>
              <w:bottom w:val="single" w:sz="8" w:space="0" w:color="D1D1D1" w:themeColor="background2"/>
            </w:tcBorders>
            <w:shd w:val="clear" w:color="auto" w:fill="FFFFFF" w:themeFill="background1"/>
            <w:vAlign w:val="center"/>
          </w:tcPr>
          <w:p w14:paraId="6D98521F" w14:textId="5FEC7413" w:rsidR="006F1AF7" w:rsidRPr="009D0A4A" w:rsidRDefault="006F1AF7" w:rsidP="007012B9">
            <w:pPr>
              <w:spacing w:before="60" w:after="60"/>
              <w:rPr>
                <w:rFonts w:cstheme="minorHAnsi"/>
                <w:color w:val="000000"/>
              </w:rPr>
            </w:pPr>
            <w:r w:rsidRPr="009D0A4A">
              <w:rPr>
                <w:rFonts w:cstheme="minorHAnsi"/>
                <w:color w:val="000000"/>
              </w:rPr>
              <w:t>28%</w:t>
            </w:r>
            <w:r w:rsidR="00D45D04" w:rsidRPr="009D0A4A">
              <w:t xml:space="preserve"> </w:t>
            </w:r>
            <w:r w:rsidR="00D45D04" w:rsidRPr="009D0A4A">
              <w:fldChar w:fldCharType="begin"/>
            </w:r>
            <w:r w:rsidR="004067E3">
              <w:instrText xml:space="preserve"> ADDIN ZOTERO_ITEM CSL_CITATION {"citationID":"U5kyctjd","properties":{"formattedCitation":"(Deloitte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00D45D04" w:rsidRPr="009D0A4A">
              <w:fldChar w:fldCharType="separate"/>
            </w:r>
            <w:r w:rsidR="00D45D04" w:rsidRPr="009D0A4A">
              <w:rPr>
                <w:rFonts w:ascii="Calibri" w:hAnsi="Calibri" w:cs="Calibri"/>
              </w:rPr>
              <w:t>(Deloitte 2021)</w:t>
            </w:r>
            <w:r w:rsidR="00D45D04" w:rsidRPr="009D0A4A">
              <w:fldChar w:fldCharType="end"/>
            </w:r>
          </w:p>
        </w:tc>
      </w:tr>
      <w:tr w:rsidR="006F1AF7" w:rsidRPr="009D0A4A" w14:paraId="21DB2275" w14:textId="77777777" w:rsidTr="00AF6E84">
        <w:trPr>
          <w:trHeight w:val="196"/>
        </w:trPr>
        <w:tc>
          <w:tcPr>
            <w:tcW w:w="3055" w:type="pct"/>
            <w:tcBorders>
              <w:top w:val="single" w:sz="8" w:space="0" w:color="D1D1D1" w:themeColor="background2"/>
              <w:bottom w:val="single" w:sz="8" w:space="0" w:color="D1D1D1" w:themeColor="background2"/>
            </w:tcBorders>
            <w:shd w:val="clear" w:color="auto" w:fill="FFFFFF" w:themeFill="background1"/>
            <w:vAlign w:val="center"/>
          </w:tcPr>
          <w:p w14:paraId="39CF8BF4" w14:textId="603B8015" w:rsidR="006F1AF7" w:rsidRPr="009D0A4A" w:rsidRDefault="006F1AF7" w:rsidP="007012B9">
            <w:pPr>
              <w:spacing w:before="60" w:after="60"/>
              <w:rPr>
                <w:rFonts w:cstheme="minorHAnsi"/>
                <w:b/>
                <w:bCs/>
              </w:rPr>
            </w:pPr>
            <w:r w:rsidRPr="009D0A4A">
              <w:rPr>
                <w:rFonts w:cstheme="minorHAnsi"/>
              </w:rPr>
              <w:t xml:space="preserve">Proportion of silicosis diagnoses that </w:t>
            </w:r>
            <w:r w:rsidR="00D34981" w:rsidRPr="009D0A4A">
              <w:rPr>
                <w:rFonts w:cstheme="minorHAnsi"/>
              </w:rPr>
              <w:t>do not lead</w:t>
            </w:r>
            <w:r w:rsidRPr="009D0A4A">
              <w:rPr>
                <w:rFonts w:cstheme="minorHAnsi"/>
              </w:rPr>
              <w:t xml:space="preserve"> to a </w:t>
            </w:r>
            <w:r w:rsidR="00D34981" w:rsidRPr="009D0A4A">
              <w:rPr>
                <w:rFonts w:cstheme="minorHAnsi"/>
              </w:rPr>
              <w:t>fatality</w:t>
            </w:r>
          </w:p>
        </w:tc>
        <w:tc>
          <w:tcPr>
            <w:tcW w:w="1945" w:type="pct"/>
            <w:tcBorders>
              <w:top w:val="single" w:sz="8" w:space="0" w:color="D1D1D1" w:themeColor="background2"/>
              <w:bottom w:val="single" w:sz="8" w:space="0" w:color="D1D1D1" w:themeColor="background2"/>
            </w:tcBorders>
            <w:shd w:val="clear" w:color="auto" w:fill="FFFFFF" w:themeFill="background1"/>
            <w:vAlign w:val="center"/>
          </w:tcPr>
          <w:p w14:paraId="6A38D89E" w14:textId="1C08AD72" w:rsidR="006F1AF7" w:rsidRPr="009D0A4A" w:rsidRDefault="006F1AF7" w:rsidP="007012B9">
            <w:pPr>
              <w:spacing w:before="60" w:after="60"/>
              <w:rPr>
                <w:rFonts w:cstheme="minorHAnsi"/>
              </w:rPr>
            </w:pPr>
            <w:r w:rsidRPr="009D0A4A">
              <w:rPr>
                <w:rFonts w:cstheme="minorHAnsi"/>
              </w:rPr>
              <w:t>72%</w:t>
            </w:r>
            <w:r w:rsidR="00D45D04" w:rsidRPr="009D0A4A">
              <w:t xml:space="preserve"> </w:t>
            </w:r>
            <w:r w:rsidR="00D45D04" w:rsidRPr="009D0A4A">
              <w:fldChar w:fldCharType="begin"/>
            </w:r>
            <w:r w:rsidR="004067E3">
              <w:instrText xml:space="preserve"> ADDIN ZOTERO_ITEM CSL_CITATION {"citationID":"s6KlDljS","properties":{"formattedCitation":"(Deloitte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00D45D04" w:rsidRPr="009D0A4A">
              <w:fldChar w:fldCharType="separate"/>
            </w:r>
            <w:r w:rsidR="00D45D04" w:rsidRPr="009D0A4A">
              <w:rPr>
                <w:rFonts w:ascii="Calibri" w:hAnsi="Calibri" w:cs="Calibri"/>
              </w:rPr>
              <w:t>(Deloitte 2021)</w:t>
            </w:r>
            <w:r w:rsidR="00D45D04" w:rsidRPr="009D0A4A">
              <w:fldChar w:fldCharType="end"/>
            </w:r>
          </w:p>
        </w:tc>
      </w:tr>
      <w:tr w:rsidR="006F1AF7" w:rsidRPr="009D0A4A" w14:paraId="603E1F2A" w14:textId="77777777" w:rsidTr="00AF6E84">
        <w:trPr>
          <w:trHeight w:val="196"/>
        </w:trPr>
        <w:tc>
          <w:tcPr>
            <w:tcW w:w="3055"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6EC59C0C" w14:textId="77777777" w:rsidR="006F1AF7" w:rsidRPr="009D0A4A" w:rsidRDefault="006F1AF7" w:rsidP="007012B9">
            <w:pPr>
              <w:spacing w:before="60" w:after="60"/>
              <w:rPr>
                <w:rFonts w:cstheme="minorHAnsi"/>
                <w:b/>
                <w:bCs/>
              </w:rPr>
            </w:pPr>
            <w:r w:rsidRPr="009D0A4A">
              <w:rPr>
                <w:rFonts w:cstheme="minorHAnsi"/>
                <w:b/>
                <w:bCs/>
              </w:rPr>
              <w:t>Weighted average life expectancy of people with silicosis</w:t>
            </w:r>
          </w:p>
        </w:tc>
        <w:tc>
          <w:tcPr>
            <w:tcW w:w="1945" w:type="pct"/>
            <w:tcBorders>
              <w:top w:val="single" w:sz="8" w:space="0" w:color="D1D1D1" w:themeColor="background2"/>
              <w:bottom w:val="single" w:sz="8" w:space="0" w:color="D1D1D1" w:themeColor="background2"/>
            </w:tcBorders>
            <w:shd w:val="clear" w:color="auto" w:fill="D9D9D9" w:themeFill="background1" w:themeFillShade="D9"/>
            <w:vAlign w:val="center"/>
          </w:tcPr>
          <w:p w14:paraId="2E006562" w14:textId="77777777" w:rsidR="006F1AF7" w:rsidRPr="009D0A4A" w:rsidRDefault="006F1AF7" w:rsidP="007012B9">
            <w:pPr>
              <w:spacing w:before="60" w:after="60"/>
              <w:rPr>
                <w:rFonts w:cstheme="minorHAnsi"/>
                <w:b/>
                <w:bCs/>
              </w:rPr>
            </w:pPr>
            <w:r w:rsidRPr="009D0A4A">
              <w:rPr>
                <w:rFonts w:cstheme="minorHAnsi"/>
                <w:b/>
                <w:bCs/>
              </w:rPr>
              <w:t xml:space="preserve">73.9 </w:t>
            </w:r>
            <w:r w:rsidRPr="009D0A4A">
              <w:rPr>
                <w:rFonts w:cstheme="minorHAnsi"/>
                <w:b/>
                <w:bCs/>
                <w:color w:val="000000"/>
              </w:rPr>
              <w:t>years</w:t>
            </w:r>
          </w:p>
        </w:tc>
      </w:tr>
      <w:tr w:rsidR="006F1AF7" w:rsidRPr="009D0A4A" w14:paraId="1BAD9E01" w14:textId="77777777" w:rsidTr="00AF6E84">
        <w:trPr>
          <w:trHeight w:val="196"/>
        </w:trPr>
        <w:tc>
          <w:tcPr>
            <w:tcW w:w="3055" w:type="pct"/>
            <w:tcBorders>
              <w:top w:val="single" w:sz="8" w:space="0" w:color="D1D1D1" w:themeColor="background2"/>
              <w:bottom w:val="single" w:sz="8" w:space="0" w:color="D1D1D1" w:themeColor="background2"/>
            </w:tcBorders>
            <w:shd w:val="clear" w:color="auto" w:fill="FFFFFF" w:themeFill="background1"/>
            <w:vAlign w:val="center"/>
          </w:tcPr>
          <w:p w14:paraId="4A3E81CC" w14:textId="77777777" w:rsidR="006F1AF7" w:rsidRPr="009D0A4A" w:rsidRDefault="006F1AF7" w:rsidP="007012B9">
            <w:pPr>
              <w:spacing w:before="60" w:after="60"/>
              <w:rPr>
                <w:rFonts w:cstheme="minorHAnsi"/>
              </w:rPr>
            </w:pPr>
            <w:r w:rsidRPr="009D0A4A">
              <w:rPr>
                <w:rFonts w:cstheme="minorHAnsi"/>
              </w:rPr>
              <w:t xml:space="preserve">Value of a statistical life year (VSL) </w:t>
            </w:r>
          </w:p>
        </w:tc>
        <w:tc>
          <w:tcPr>
            <w:tcW w:w="1945" w:type="pct"/>
            <w:tcBorders>
              <w:top w:val="single" w:sz="8" w:space="0" w:color="D1D1D1" w:themeColor="background2"/>
              <w:bottom w:val="single" w:sz="8" w:space="0" w:color="D1D1D1" w:themeColor="background2"/>
            </w:tcBorders>
            <w:shd w:val="clear" w:color="auto" w:fill="FFFFFF" w:themeFill="background1"/>
            <w:vAlign w:val="center"/>
          </w:tcPr>
          <w:p w14:paraId="5B064C65" w14:textId="5B6570F7" w:rsidR="006F1AF7" w:rsidRPr="009D0A4A" w:rsidRDefault="006F1AF7" w:rsidP="007012B9">
            <w:pPr>
              <w:spacing w:before="60" w:after="60"/>
              <w:rPr>
                <w:rFonts w:cstheme="minorHAnsi"/>
              </w:rPr>
            </w:pPr>
            <w:r w:rsidRPr="009D0A4A">
              <w:rPr>
                <w:rFonts w:cstheme="minorHAnsi"/>
              </w:rPr>
              <w:t xml:space="preserve"> $217,000</w:t>
            </w:r>
            <w:r w:rsidR="00D45D04" w:rsidRPr="009D0A4A">
              <w:t xml:space="preserve"> </w:t>
            </w:r>
            <w:r w:rsidR="00D45D04" w:rsidRPr="009D0A4A">
              <w:fldChar w:fldCharType="begin"/>
            </w:r>
            <w:r w:rsidR="004067E3">
              <w:instrText xml:space="preserve"> ADDIN ZOTERO_ITEM CSL_CITATION {"citationID":"QsDABkZ9","properties":{"formattedCitation":"(Department of Prime Minister and Cabinet 2021b)","plainCitation":"(Department of Prime Minister and Cabinet 2021b)","noteIndex":0},"citationItems":[{"id":935,"uris":["http://zotero.org/users/6230888/items/85UH9XC3"],"itemData":{"id":935,"type":"webpage","title":"Guidance note: value of statistical life","URL":"https://obpr.pmc.gov.au/resources/guidance-assessing-impacts/value-statistical-life","author":[{"literal":"Department of Prime Minister and Cabinet"}],"accessed":{"date-parts":[["2022",6,30]]},"issued":{"date-parts":[["2021"]]}}}],"schema":"https://github.com/citation-style-language/schema/raw/master/csl-citation.json"} </w:instrText>
            </w:r>
            <w:r w:rsidR="00D45D04" w:rsidRPr="009D0A4A">
              <w:fldChar w:fldCharType="separate"/>
            </w:r>
            <w:r w:rsidR="00D45D04" w:rsidRPr="009D0A4A">
              <w:rPr>
                <w:rFonts w:ascii="Calibri" w:hAnsi="Calibri" w:cs="Calibri"/>
              </w:rPr>
              <w:t>(Department of Prime Minister and Cabinet 2021b)</w:t>
            </w:r>
            <w:r w:rsidR="00D45D04" w:rsidRPr="009D0A4A">
              <w:fldChar w:fldCharType="end"/>
            </w:r>
          </w:p>
        </w:tc>
      </w:tr>
      <w:tr w:rsidR="006F1AF7" w:rsidRPr="009D0A4A" w14:paraId="08965536" w14:textId="77777777" w:rsidTr="00AF6E84">
        <w:trPr>
          <w:trHeight w:val="196"/>
        </w:trPr>
        <w:tc>
          <w:tcPr>
            <w:tcW w:w="3055" w:type="pct"/>
            <w:tcBorders>
              <w:top w:val="single" w:sz="8" w:space="0" w:color="D1D1D1" w:themeColor="background2"/>
              <w:bottom w:val="single" w:sz="8" w:space="0" w:color="D1D1D1" w:themeColor="background2"/>
            </w:tcBorders>
            <w:shd w:val="clear" w:color="auto" w:fill="FFFFFF" w:themeFill="background1"/>
            <w:vAlign w:val="center"/>
          </w:tcPr>
          <w:p w14:paraId="6E9341A3" w14:textId="77777777" w:rsidR="006F1AF7" w:rsidRPr="009D0A4A" w:rsidRDefault="006F1AF7" w:rsidP="007012B9">
            <w:pPr>
              <w:spacing w:before="60" w:after="60"/>
              <w:rPr>
                <w:rFonts w:cstheme="minorHAnsi"/>
              </w:rPr>
            </w:pPr>
            <w:r w:rsidRPr="009D0A4A">
              <w:rPr>
                <w:rFonts w:cstheme="minorHAnsi"/>
              </w:rPr>
              <w:t>Disability adjusted life year (DALY)</w:t>
            </w:r>
          </w:p>
        </w:tc>
        <w:tc>
          <w:tcPr>
            <w:tcW w:w="1945" w:type="pct"/>
            <w:tcBorders>
              <w:top w:val="single" w:sz="8" w:space="0" w:color="D1D1D1" w:themeColor="background2"/>
              <w:bottom w:val="single" w:sz="8" w:space="0" w:color="D1D1D1" w:themeColor="background2"/>
            </w:tcBorders>
            <w:shd w:val="clear" w:color="auto" w:fill="FFFFFF" w:themeFill="background1"/>
            <w:vAlign w:val="center"/>
          </w:tcPr>
          <w:p w14:paraId="2249E9AD" w14:textId="0C6BB84C" w:rsidR="006F1AF7" w:rsidRPr="009D0A4A" w:rsidRDefault="006F1AF7" w:rsidP="007012B9">
            <w:pPr>
              <w:spacing w:before="60" w:after="60"/>
              <w:rPr>
                <w:rFonts w:cstheme="minorHAnsi"/>
              </w:rPr>
            </w:pPr>
            <w:r w:rsidRPr="009D0A4A">
              <w:rPr>
                <w:rFonts w:cstheme="minorHAnsi"/>
              </w:rPr>
              <w:t xml:space="preserve"> $94,338</w:t>
            </w:r>
            <w:r w:rsidR="00D45D04" w:rsidRPr="009D0A4A">
              <w:rPr>
                <w:rStyle w:val="FootnoteReference"/>
              </w:rPr>
              <w:t xml:space="preserve"> </w:t>
            </w:r>
            <w:r w:rsidR="00D45D04" w:rsidRPr="009D0A4A">
              <w:fldChar w:fldCharType="begin"/>
            </w:r>
            <w:r w:rsidR="004067E3">
              <w:instrText xml:space="preserve"> ADDIN ZOTERO_ITEM CSL_CITATION {"citationID":"sp6Gdfik","properties":{"formattedCitation":"(Department of Prime Minister and Cabinet 2021b)","plainCitation":"(Department of Prime Minister and Cabinet 2021b)","noteIndex":0},"citationItems":[{"id":935,"uris":["http://zotero.org/users/6230888/items/85UH9XC3"],"itemData":{"id":935,"type":"webpage","title":"Guidance note: value of statistical life","URL":"https://obpr.pmc.gov.au/resources/guidance-assessing-impacts/value-statistical-life","author":[{"literal":"Department of Prime Minister and Cabinet"}],"accessed":{"date-parts":[["2022",6,30]]},"issued":{"date-parts":[["2021"]]}}}],"schema":"https://github.com/citation-style-language/schema/raw/master/csl-citation.json"} </w:instrText>
            </w:r>
            <w:r w:rsidR="00D45D04" w:rsidRPr="009D0A4A">
              <w:fldChar w:fldCharType="separate"/>
            </w:r>
            <w:r w:rsidR="00D45D04" w:rsidRPr="009D0A4A">
              <w:rPr>
                <w:rFonts w:ascii="Calibri" w:hAnsi="Calibri" w:cs="Calibri"/>
              </w:rPr>
              <w:t>(Department of Prime Minister and Cabinet 2021b)</w:t>
            </w:r>
            <w:r w:rsidR="00D45D04" w:rsidRPr="009D0A4A">
              <w:fldChar w:fldCharType="end"/>
            </w:r>
          </w:p>
        </w:tc>
      </w:tr>
    </w:tbl>
    <w:p w14:paraId="0A4FB769" w14:textId="6CD1F17A" w:rsidR="006F1AF7" w:rsidRPr="009D0A4A" w:rsidRDefault="006F1AF7" w:rsidP="007012B9">
      <w:pPr>
        <w:pStyle w:val="BodyText"/>
        <w:spacing w:before="120"/>
        <w:jc w:val="both"/>
      </w:pPr>
      <w:r w:rsidRPr="009D0A4A">
        <w:t>Under this scenario, the quantification of the value of life saved and illness avoided is calculated using the following formula</w:t>
      </w:r>
      <w:r w:rsidR="002D29AE" w:rsidRPr="009D0A4A">
        <w:t>:</w:t>
      </w:r>
    </w:p>
    <w:p w14:paraId="3E7DCAFE" w14:textId="27FEADB2" w:rsidR="006F1AF7" w:rsidRPr="009D0A4A" w:rsidRDefault="002D29AE" w:rsidP="002D29AE">
      <w:pPr>
        <w:pStyle w:val="BodyText"/>
        <w:spacing w:after="240"/>
      </w:pPr>
      <w:r w:rsidRPr="009D0A4A">
        <w:t>Expected value of life saved and illness avoided</w:t>
      </w:r>
      <w:r w:rsidRPr="009D0A4A">
        <w:rPr>
          <w:b/>
          <w:bCs/>
        </w:rPr>
        <w:t xml:space="preserve"> = </w:t>
      </w:r>
      <w:r w:rsidRPr="009D0A4A">
        <w:t>VSL</w:t>
      </w:r>
      <w:r w:rsidR="006F1AF7" w:rsidRPr="009D0A4A">
        <w:t xml:space="preserve"> ×</w:t>
      </w:r>
      <w:r w:rsidRPr="009D0A4A">
        <w:t xml:space="preserve"> </w:t>
      </w:r>
      <w:r w:rsidR="006F1AF7" w:rsidRPr="009D0A4A">
        <w:t>(</w:t>
      </w:r>
      <w:r w:rsidR="006F1AF7" w:rsidRPr="009D0A4A">
        <w:rPr>
          <w:rFonts w:cstheme="minorHAnsi"/>
          <w:color w:val="000000"/>
        </w:rPr>
        <w:t xml:space="preserve">Average life expectancy of an Australian </w:t>
      </w:r>
      <m:oMath>
        <m:r>
          <m:rPr>
            <m:sty m:val="p"/>
          </m:rPr>
          <w:rPr>
            <w:rFonts w:ascii="Cambria Math" w:hAnsi="Cambria Math" w:cstheme="minorHAnsi"/>
            <w:color w:val="000000"/>
          </w:rPr>
          <m:t>-</m:t>
        </m:r>
      </m:oMath>
      <w:r w:rsidR="006F1AF7" w:rsidRPr="009D0A4A">
        <w:rPr>
          <w:rFonts w:cstheme="minorHAnsi"/>
          <w:color w:val="000000"/>
        </w:rPr>
        <w:t xml:space="preserve"> </w:t>
      </w:r>
      <w:r w:rsidR="006F1AF7" w:rsidRPr="009D0A4A">
        <w:rPr>
          <w:rFonts w:cstheme="minorHAnsi"/>
        </w:rPr>
        <w:t>Weighted average life expectancy of people with silicosis</w:t>
      </w:r>
      <w:r w:rsidR="006F1AF7" w:rsidRPr="009D0A4A">
        <w:t>)</w:t>
      </w:r>
      <w:r w:rsidRPr="009D0A4A">
        <w:t xml:space="preserve"> </w:t>
      </w:r>
      <w:r w:rsidR="006F1AF7" w:rsidRPr="009D0A4A">
        <w:t>+</w:t>
      </w:r>
      <w:r w:rsidRPr="009D0A4A">
        <w:t xml:space="preserve"> DALY </w:t>
      </w:r>
      <w:r w:rsidR="006F1AF7" w:rsidRPr="009D0A4A">
        <w:t>x</w:t>
      </w:r>
      <w:r w:rsidRPr="009D0A4A">
        <w:t xml:space="preserve"> </w:t>
      </w:r>
      <w:r w:rsidR="006F1AF7" w:rsidRPr="009D0A4A">
        <w:t>Number of avoided years living with silica related illness (years)</w:t>
      </w:r>
      <w:r w:rsidR="008D2E7E">
        <w:t>.</w:t>
      </w:r>
    </w:p>
    <w:p w14:paraId="47F085A8" w14:textId="77777777" w:rsidR="006F1AF7" w:rsidRPr="009D0A4A" w:rsidRDefault="006F1AF7" w:rsidP="006F1AF7">
      <w:pPr>
        <w:pStyle w:val="BodyText"/>
      </w:pPr>
      <w:r w:rsidRPr="009D0A4A">
        <w:t xml:space="preserve">The average value of life saved and illness avoided per person is </w:t>
      </w:r>
      <w:r w:rsidRPr="009D0A4A">
        <w:rPr>
          <w:b/>
          <w:bCs/>
        </w:rPr>
        <w:t>$4.07 million</w:t>
      </w:r>
      <w:r w:rsidRPr="009D0A4A">
        <w:t>.</w:t>
      </w:r>
    </w:p>
    <w:p w14:paraId="009A6CEA" w14:textId="638B64D2" w:rsidR="006F1AF7" w:rsidRPr="009D0A4A" w:rsidRDefault="006F1AF7" w:rsidP="003801F8">
      <w:pPr>
        <w:pStyle w:val="Heading2"/>
      </w:pPr>
      <w:bookmarkStart w:id="653" w:name="_Toc107395336"/>
      <w:r w:rsidRPr="009D0A4A">
        <w:t>Breakeven analysis</w:t>
      </w:r>
      <w:bookmarkEnd w:id="653"/>
    </w:p>
    <w:p w14:paraId="3F50FACA" w14:textId="77777777" w:rsidR="006F1AF7" w:rsidRPr="009D0A4A" w:rsidRDefault="006F1AF7" w:rsidP="007012B9">
      <w:pPr>
        <w:pStyle w:val="BodyText"/>
        <w:jc w:val="both"/>
      </w:pPr>
      <w:r w:rsidRPr="009D0A4A">
        <w:t xml:space="preserve">Breakeven analysis measures how effective an option needs to be so that the benefits outweigh the costs. In this analysis, the breakeven point expresses how many cases of silicosis would need to be prevented to justify the cost of each of the proposed options. </w:t>
      </w:r>
    </w:p>
    <w:p w14:paraId="20B1F08D" w14:textId="4D2123C7" w:rsidR="006F1AF7" w:rsidRPr="009D0A4A" w:rsidRDefault="00C64F37" w:rsidP="007012B9">
      <w:pPr>
        <w:pStyle w:val="BodyText"/>
        <w:jc w:val="both"/>
      </w:pPr>
      <w:r w:rsidRPr="009D0A4A">
        <w:t xml:space="preserve">Table </w:t>
      </w:r>
      <w:r w:rsidR="003F5102" w:rsidRPr="009D0A4A">
        <w:t xml:space="preserve">23 </w:t>
      </w:r>
      <w:r w:rsidR="006F1AF7" w:rsidRPr="009D0A4A">
        <w:t xml:space="preserve">lists the </w:t>
      </w:r>
      <w:r w:rsidR="00D34981" w:rsidRPr="009D0A4A">
        <w:t>net present cost</w:t>
      </w:r>
      <w:r w:rsidR="006F1AF7" w:rsidRPr="009D0A4A">
        <w:t xml:space="preserve"> of each of the options over the </w:t>
      </w:r>
      <w:r w:rsidR="004E3629" w:rsidRPr="009D0A4A">
        <w:t>ten-year</w:t>
      </w:r>
      <w:r w:rsidR="006F1AF7" w:rsidRPr="009D0A4A">
        <w:t xml:space="preserve"> reporting period. The number of cases of silicosis that would need to be prevented for each option to breakeven is determined by dividing the </w:t>
      </w:r>
      <w:r w:rsidR="00D34981" w:rsidRPr="009D0A4A">
        <w:t>net present cost</w:t>
      </w:r>
      <w:r w:rsidR="006F1AF7" w:rsidRPr="009D0A4A">
        <w:t xml:space="preserve"> of each option </w:t>
      </w:r>
      <w:r w:rsidR="00C6197C" w:rsidRPr="009D0A4A">
        <w:t>by</w:t>
      </w:r>
      <w:r w:rsidR="006F1AF7" w:rsidRPr="009D0A4A">
        <w:t xml:space="preserve"> the costs of illness and death due to silicosis.  </w:t>
      </w:r>
    </w:p>
    <w:p w14:paraId="65661601" w14:textId="3B76ADCC" w:rsidR="006F1AF7" w:rsidRPr="009D0A4A" w:rsidRDefault="00C64F37" w:rsidP="006F1AF7">
      <w:pPr>
        <w:pStyle w:val="Caption"/>
      </w:pPr>
      <w:r w:rsidRPr="009D0A4A">
        <w:lastRenderedPageBreak/>
        <w:t xml:space="preserve">Table </w:t>
      </w:r>
      <w:r w:rsidR="003F5102" w:rsidRPr="009D0A4A">
        <w:t>23</w:t>
      </w:r>
      <w:r w:rsidR="006F1AF7" w:rsidRPr="009D0A4A">
        <w:t>: Breakeven analysis results over ten years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gridCol w:w="3222"/>
        <w:gridCol w:w="3220"/>
      </w:tblGrid>
      <w:tr w:rsidR="006F1AF7" w:rsidRPr="009D0A4A" w14:paraId="27848013" w14:textId="77777777" w:rsidTr="00291E22">
        <w:trPr>
          <w:trHeight w:val="104"/>
          <w:tblHeader/>
        </w:trPr>
        <w:tc>
          <w:tcPr>
            <w:tcW w:w="1843" w:type="pct"/>
            <w:shd w:val="clear" w:color="auto" w:fill="D1D1D1" w:themeFill="background2"/>
            <w:vAlign w:val="center"/>
          </w:tcPr>
          <w:p w14:paraId="18671AD4" w14:textId="77777777" w:rsidR="006F1AF7" w:rsidRPr="009D0A4A" w:rsidRDefault="006F1AF7" w:rsidP="007012B9">
            <w:pPr>
              <w:spacing w:before="60" w:after="60"/>
              <w:rPr>
                <w:rStyle w:val="Strong"/>
                <w:rFonts w:asciiTheme="majorHAnsi" w:hAnsiTheme="majorHAnsi" w:cstheme="minorHAnsi"/>
                <w:b w:val="0"/>
                <w:iCs/>
                <w:color w:val="014463" w:themeColor="text2"/>
                <w:sz w:val="18"/>
                <w:szCs w:val="18"/>
              </w:rPr>
            </w:pPr>
            <w:bookmarkStart w:id="654" w:name="_Hlk107217157"/>
            <w:r w:rsidRPr="009D0A4A">
              <w:rPr>
                <w:rStyle w:val="Strong"/>
                <w:rFonts w:asciiTheme="majorHAnsi" w:hAnsiTheme="majorHAnsi" w:cstheme="minorHAnsi"/>
                <w:sz w:val="18"/>
                <w:szCs w:val="18"/>
              </w:rPr>
              <w:t>O</w:t>
            </w:r>
            <w:r w:rsidRPr="009D0A4A">
              <w:rPr>
                <w:rStyle w:val="Strong"/>
                <w:rFonts w:asciiTheme="majorHAnsi" w:hAnsiTheme="majorHAnsi"/>
                <w:sz w:val="18"/>
                <w:szCs w:val="18"/>
              </w:rPr>
              <w:t>ption</w:t>
            </w:r>
          </w:p>
        </w:tc>
        <w:tc>
          <w:tcPr>
            <w:tcW w:w="1579" w:type="pct"/>
            <w:shd w:val="clear" w:color="auto" w:fill="D1D1D1" w:themeFill="background2"/>
            <w:vAlign w:val="center"/>
          </w:tcPr>
          <w:p w14:paraId="467CF129" w14:textId="7FE2DDEE" w:rsidR="006F1AF7" w:rsidRPr="009D0A4A" w:rsidRDefault="00D34981" w:rsidP="007012B9">
            <w:pPr>
              <w:spacing w:before="60" w:after="60"/>
              <w:jc w:val="center"/>
              <w:rPr>
                <w:rStyle w:val="Strong"/>
                <w:rFonts w:asciiTheme="majorHAnsi" w:hAnsiTheme="majorHAnsi" w:cstheme="minorHAnsi"/>
                <w:sz w:val="18"/>
                <w:szCs w:val="18"/>
              </w:rPr>
            </w:pPr>
            <w:r w:rsidRPr="009D0A4A">
              <w:rPr>
                <w:rStyle w:val="Strong"/>
                <w:rFonts w:asciiTheme="majorHAnsi" w:hAnsiTheme="majorHAnsi" w:cstheme="minorHAnsi"/>
                <w:sz w:val="18"/>
                <w:szCs w:val="18"/>
              </w:rPr>
              <w:t>Net present cost</w:t>
            </w:r>
            <w:r w:rsidR="006F1AF7" w:rsidRPr="009D0A4A">
              <w:rPr>
                <w:rStyle w:val="Strong"/>
                <w:rFonts w:asciiTheme="majorHAnsi" w:hAnsiTheme="majorHAnsi"/>
                <w:sz w:val="18"/>
                <w:szCs w:val="18"/>
              </w:rPr>
              <w:t xml:space="preserve"> ($m)</w:t>
            </w:r>
          </w:p>
        </w:tc>
        <w:tc>
          <w:tcPr>
            <w:tcW w:w="1578" w:type="pct"/>
            <w:shd w:val="clear" w:color="auto" w:fill="D1D1D1" w:themeFill="background2"/>
          </w:tcPr>
          <w:p w14:paraId="423C89EF" w14:textId="0589EC79" w:rsidR="006F1AF7" w:rsidRPr="009D0A4A" w:rsidRDefault="00C81F90" w:rsidP="007012B9">
            <w:pPr>
              <w:spacing w:before="60" w:after="60"/>
              <w:jc w:val="center"/>
              <w:rPr>
                <w:rStyle w:val="Strong"/>
                <w:rFonts w:asciiTheme="majorHAnsi" w:hAnsiTheme="majorHAnsi" w:cstheme="minorHAnsi"/>
                <w:sz w:val="18"/>
                <w:szCs w:val="18"/>
              </w:rPr>
            </w:pPr>
            <w:r>
              <w:rPr>
                <w:rStyle w:val="Strong"/>
                <w:rFonts w:asciiTheme="majorHAnsi" w:hAnsiTheme="majorHAnsi"/>
                <w:sz w:val="18"/>
                <w:szCs w:val="18"/>
              </w:rPr>
              <w:t>Required n</w:t>
            </w:r>
            <w:r w:rsidR="00A05250">
              <w:rPr>
                <w:rStyle w:val="Strong"/>
                <w:rFonts w:asciiTheme="majorHAnsi" w:hAnsiTheme="majorHAnsi"/>
                <w:sz w:val="18"/>
                <w:szCs w:val="18"/>
              </w:rPr>
              <w:t>umber of</w:t>
            </w:r>
            <w:r w:rsidR="006F1AF7" w:rsidRPr="009D0A4A">
              <w:rPr>
                <w:rStyle w:val="Strong"/>
                <w:rFonts w:asciiTheme="majorHAnsi" w:hAnsiTheme="majorHAnsi"/>
                <w:sz w:val="18"/>
                <w:szCs w:val="18"/>
              </w:rPr>
              <w:t xml:space="preserve"> </w:t>
            </w:r>
            <w:r w:rsidR="00A05250">
              <w:rPr>
                <w:rStyle w:val="Strong"/>
                <w:rFonts w:asciiTheme="majorHAnsi" w:hAnsiTheme="majorHAnsi"/>
                <w:sz w:val="18"/>
                <w:szCs w:val="18"/>
              </w:rPr>
              <w:t xml:space="preserve">silicosis </w:t>
            </w:r>
            <w:r w:rsidR="0040654F" w:rsidRPr="009D0A4A">
              <w:rPr>
                <w:rStyle w:val="Strong"/>
                <w:rFonts w:asciiTheme="majorHAnsi" w:hAnsiTheme="majorHAnsi"/>
                <w:sz w:val="18"/>
                <w:szCs w:val="18"/>
              </w:rPr>
              <w:t xml:space="preserve">cases </w:t>
            </w:r>
            <w:r>
              <w:rPr>
                <w:rStyle w:val="Strong"/>
                <w:rFonts w:asciiTheme="majorHAnsi" w:hAnsiTheme="majorHAnsi"/>
                <w:sz w:val="18"/>
                <w:szCs w:val="18"/>
              </w:rPr>
              <w:t xml:space="preserve">prevented </w:t>
            </w:r>
            <w:r w:rsidR="00A05250">
              <w:rPr>
                <w:rStyle w:val="Strong"/>
                <w:rFonts w:asciiTheme="majorHAnsi" w:hAnsiTheme="majorHAnsi"/>
                <w:sz w:val="18"/>
                <w:szCs w:val="18"/>
              </w:rPr>
              <w:t>to breakeven</w:t>
            </w:r>
          </w:p>
        </w:tc>
      </w:tr>
      <w:tr w:rsidR="00291E22" w:rsidRPr="009D0A4A" w14:paraId="12391C4D" w14:textId="77777777" w:rsidTr="00291E22">
        <w:trPr>
          <w:trHeight w:val="196"/>
        </w:trPr>
        <w:tc>
          <w:tcPr>
            <w:tcW w:w="1843" w:type="pct"/>
            <w:tcBorders>
              <w:bottom w:val="single" w:sz="8" w:space="0" w:color="D1D1D1" w:themeColor="background2"/>
            </w:tcBorders>
          </w:tcPr>
          <w:p w14:paraId="2132221C" w14:textId="77777777" w:rsidR="00291E22" w:rsidRPr="009D0A4A" w:rsidRDefault="00291E22" w:rsidP="00291E22">
            <w:pPr>
              <w:spacing w:before="60" w:after="60"/>
              <w:rPr>
                <w:rFonts w:cstheme="minorHAnsi"/>
                <w:sz w:val="18"/>
                <w:szCs w:val="18"/>
              </w:rPr>
            </w:pPr>
            <w:r w:rsidRPr="009D0A4A">
              <w:rPr>
                <w:sz w:val="18"/>
                <w:szCs w:val="18"/>
              </w:rPr>
              <w:t>Option 2</w:t>
            </w:r>
          </w:p>
        </w:tc>
        <w:tc>
          <w:tcPr>
            <w:tcW w:w="1579" w:type="pct"/>
            <w:tcBorders>
              <w:bottom w:val="single" w:sz="8" w:space="0" w:color="D1D1D1" w:themeColor="background2"/>
            </w:tcBorders>
            <w:vAlign w:val="center"/>
          </w:tcPr>
          <w:p w14:paraId="1B535168" w14:textId="37440CA8" w:rsidR="00291E22" w:rsidRPr="009D0A4A" w:rsidRDefault="00291E22" w:rsidP="00291E22">
            <w:pPr>
              <w:spacing w:before="60" w:after="60"/>
              <w:jc w:val="center"/>
              <w:rPr>
                <w:sz w:val="18"/>
                <w:szCs w:val="18"/>
              </w:rPr>
            </w:pPr>
            <w:r w:rsidRPr="009D0A4A">
              <w:rPr>
                <w:rFonts w:ascii="Calibri" w:hAnsi="Calibri" w:cs="Calibri"/>
                <w:color w:val="262626"/>
                <w:sz w:val="18"/>
                <w:szCs w:val="18"/>
              </w:rPr>
              <w:t>$6.08</w:t>
            </w:r>
          </w:p>
        </w:tc>
        <w:tc>
          <w:tcPr>
            <w:tcW w:w="1578" w:type="pct"/>
            <w:tcBorders>
              <w:bottom w:val="single" w:sz="8" w:space="0" w:color="D1D1D1" w:themeColor="background2"/>
            </w:tcBorders>
            <w:vAlign w:val="center"/>
          </w:tcPr>
          <w:p w14:paraId="6666D653" w14:textId="48A66740" w:rsidR="00291E22" w:rsidRPr="009D0A4A" w:rsidRDefault="00291E22" w:rsidP="00291E22">
            <w:pPr>
              <w:spacing w:before="60" w:after="60"/>
              <w:jc w:val="center"/>
              <w:rPr>
                <w:sz w:val="18"/>
                <w:szCs w:val="18"/>
              </w:rPr>
            </w:pPr>
            <w:r w:rsidRPr="009D0A4A">
              <w:rPr>
                <w:rFonts w:ascii="Calibri" w:hAnsi="Calibri" w:cs="Calibri"/>
                <w:color w:val="262626"/>
                <w:sz w:val="18"/>
                <w:szCs w:val="18"/>
              </w:rPr>
              <w:t>1.49</w:t>
            </w:r>
          </w:p>
        </w:tc>
      </w:tr>
      <w:tr w:rsidR="00291E22" w:rsidRPr="009D0A4A" w14:paraId="461F0410" w14:textId="77777777" w:rsidTr="00291E22">
        <w:trPr>
          <w:trHeight w:val="196"/>
        </w:trPr>
        <w:tc>
          <w:tcPr>
            <w:tcW w:w="1843" w:type="pct"/>
            <w:tcBorders>
              <w:bottom w:val="single" w:sz="8" w:space="0" w:color="D1D1D1" w:themeColor="background2"/>
            </w:tcBorders>
          </w:tcPr>
          <w:p w14:paraId="33FF69E6" w14:textId="77777777" w:rsidR="00291E22" w:rsidRPr="009D0A4A" w:rsidRDefault="00291E22" w:rsidP="00291E22">
            <w:pPr>
              <w:spacing w:before="60" w:after="60"/>
              <w:rPr>
                <w:rFonts w:cstheme="minorHAnsi"/>
                <w:sz w:val="18"/>
                <w:szCs w:val="18"/>
              </w:rPr>
            </w:pPr>
            <w:r w:rsidRPr="009D0A4A">
              <w:rPr>
                <w:sz w:val="18"/>
                <w:szCs w:val="18"/>
              </w:rPr>
              <w:t>Option 3</w:t>
            </w:r>
          </w:p>
        </w:tc>
        <w:tc>
          <w:tcPr>
            <w:tcW w:w="1579" w:type="pct"/>
            <w:tcBorders>
              <w:bottom w:val="single" w:sz="8" w:space="0" w:color="D1D1D1" w:themeColor="background2"/>
            </w:tcBorders>
            <w:vAlign w:val="center"/>
          </w:tcPr>
          <w:p w14:paraId="688E71AC" w14:textId="32D3E827" w:rsidR="00291E22" w:rsidRPr="009D0A4A" w:rsidRDefault="00291E22" w:rsidP="00291E22">
            <w:pPr>
              <w:spacing w:before="60" w:after="60"/>
              <w:jc w:val="center"/>
              <w:rPr>
                <w:sz w:val="18"/>
                <w:szCs w:val="18"/>
              </w:rPr>
            </w:pPr>
            <w:r w:rsidRPr="009D0A4A">
              <w:rPr>
                <w:rFonts w:ascii="Calibri" w:hAnsi="Calibri" w:cs="Calibri"/>
                <w:color w:val="262626"/>
                <w:sz w:val="18"/>
                <w:szCs w:val="18"/>
              </w:rPr>
              <w:t>$0.11</w:t>
            </w:r>
          </w:p>
        </w:tc>
        <w:tc>
          <w:tcPr>
            <w:tcW w:w="1578" w:type="pct"/>
            <w:tcBorders>
              <w:bottom w:val="single" w:sz="8" w:space="0" w:color="D1D1D1" w:themeColor="background2"/>
            </w:tcBorders>
            <w:vAlign w:val="center"/>
          </w:tcPr>
          <w:p w14:paraId="3BABBA83" w14:textId="067DFB36" w:rsidR="00291E22" w:rsidRPr="009D0A4A" w:rsidRDefault="00291E22" w:rsidP="00291E22">
            <w:pPr>
              <w:spacing w:before="60" w:after="60"/>
              <w:jc w:val="center"/>
              <w:rPr>
                <w:sz w:val="18"/>
                <w:szCs w:val="18"/>
              </w:rPr>
            </w:pPr>
            <w:r w:rsidRPr="009D0A4A">
              <w:rPr>
                <w:rFonts w:ascii="Calibri" w:hAnsi="Calibri" w:cs="Calibri"/>
                <w:color w:val="262626"/>
                <w:sz w:val="18"/>
                <w:szCs w:val="18"/>
              </w:rPr>
              <w:t>0.03</w:t>
            </w:r>
          </w:p>
        </w:tc>
      </w:tr>
      <w:tr w:rsidR="00291E22" w:rsidRPr="009D0A4A" w14:paraId="564C5E61" w14:textId="77777777" w:rsidTr="00291E22">
        <w:trPr>
          <w:trHeight w:val="196"/>
        </w:trPr>
        <w:tc>
          <w:tcPr>
            <w:tcW w:w="1843" w:type="pct"/>
            <w:tcBorders>
              <w:top w:val="single" w:sz="8" w:space="0" w:color="D1D1D1" w:themeColor="background2"/>
              <w:bottom w:val="single" w:sz="8" w:space="0" w:color="D1D1D1" w:themeColor="background2"/>
            </w:tcBorders>
          </w:tcPr>
          <w:p w14:paraId="2EEBB6CD" w14:textId="77777777" w:rsidR="00291E22" w:rsidRPr="009D0A4A" w:rsidRDefault="00291E22" w:rsidP="00291E22">
            <w:pPr>
              <w:spacing w:before="60" w:after="60"/>
              <w:rPr>
                <w:rFonts w:cstheme="minorHAnsi"/>
                <w:sz w:val="18"/>
                <w:szCs w:val="18"/>
              </w:rPr>
            </w:pPr>
            <w:r w:rsidRPr="009D0A4A">
              <w:rPr>
                <w:sz w:val="18"/>
                <w:szCs w:val="18"/>
              </w:rPr>
              <w:t>Option 4</w:t>
            </w:r>
          </w:p>
        </w:tc>
        <w:tc>
          <w:tcPr>
            <w:tcW w:w="1579" w:type="pct"/>
            <w:tcBorders>
              <w:top w:val="single" w:sz="8" w:space="0" w:color="D1D1D1" w:themeColor="background2"/>
              <w:bottom w:val="single" w:sz="8" w:space="0" w:color="D1D1D1" w:themeColor="background2"/>
            </w:tcBorders>
            <w:vAlign w:val="center"/>
          </w:tcPr>
          <w:p w14:paraId="23D099E9" w14:textId="03E8052A" w:rsidR="00291E22" w:rsidRPr="009D0A4A" w:rsidRDefault="00291E22" w:rsidP="00291E22">
            <w:pPr>
              <w:spacing w:before="60" w:after="60"/>
              <w:jc w:val="center"/>
              <w:rPr>
                <w:sz w:val="18"/>
                <w:szCs w:val="18"/>
              </w:rPr>
            </w:pPr>
            <w:r w:rsidRPr="009D0A4A">
              <w:rPr>
                <w:rFonts w:ascii="Calibri" w:hAnsi="Calibri" w:cs="Calibri"/>
                <w:color w:val="262626"/>
                <w:sz w:val="18"/>
                <w:szCs w:val="18"/>
              </w:rPr>
              <w:t>$</w:t>
            </w:r>
            <w:r w:rsidR="00317647" w:rsidRPr="009D0A4A">
              <w:rPr>
                <w:rFonts w:ascii="Calibri" w:hAnsi="Calibri" w:cs="Calibri"/>
                <w:color w:val="262626"/>
                <w:sz w:val="18"/>
                <w:szCs w:val="18"/>
              </w:rPr>
              <w:t>24.02</w:t>
            </w:r>
          </w:p>
        </w:tc>
        <w:tc>
          <w:tcPr>
            <w:tcW w:w="1578" w:type="pct"/>
            <w:tcBorders>
              <w:top w:val="single" w:sz="8" w:space="0" w:color="D1D1D1" w:themeColor="background2"/>
              <w:bottom w:val="single" w:sz="8" w:space="0" w:color="D1D1D1" w:themeColor="background2"/>
            </w:tcBorders>
            <w:vAlign w:val="center"/>
          </w:tcPr>
          <w:p w14:paraId="14AD4568" w14:textId="771AC9A9" w:rsidR="00291E22" w:rsidRPr="009D0A4A" w:rsidRDefault="00291E22" w:rsidP="00291E22">
            <w:pPr>
              <w:spacing w:before="60" w:after="60"/>
              <w:jc w:val="center"/>
              <w:rPr>
                <w:sz w:val="18"/>
                <w:szCs w:val="18"/>
              </w:rPr>
            </w:pPr>
            <w:r w:rsidRPr="009D0A4A">
              <w:rPr>
                <w:rFonts w:ascii="Calibri" w:hAnsi="Calibri" w:cs="Calibri"/>
                <w:color w:val="262626"/>
                <w:sz w:val="18"/>
                <w:szCs w:val="18"/>
              </w:rPr>
              <w:t>5.</w:t>
            </w:r>
            <w:r w:rsidR="00843032" w:rsidRPr="009D0A4A">
              <w:rPr>
                <w:rFonts w:ascii="Calibri" w:hAnsi="Calibri" w:cs="Calibri"/>
                <w:color w:val="262626"/>
                <w:sz w:val="18"/>
                <w:szCs w:val="18"/>
              </w:rPr>
              <w:t>90</w:t>
            </w:r>
          </w:p>
        </w:tc>
      </w:tr>
      <w:tr w:rsidR="00291E22" w:rsidRPr="009D0A4A" w14:paraId="52C8D1E0" w14:textId="77777777" w:rsidTr="00291E22">
        <w:trPr>
          <w:trHeight w:val="196"/>
        </w:trPr>
        <w:tc>
          <w:tcPr>
            <w:tcW w:w="1843" w:type="pct"/>
            <w:tcBorders>
              <w:top w:val="single" w:sz="8" w:space="0" w:color="D1D1D1" w:themeColor="background2"/>
              <w:bottom w:val="single" w:sz="8" w:space="0" w:color="D1D1D1" w:themeColor="background2"/>
            </w:tcBorders>
          </w:tcPr>
          <w:p w14:paraId="4ACD8089" w14:textId="77777777" w:rsidR="00291E22" w:rsidRPr="009D0A4A" w:rsidRDefault="00291E22" w:rsidP="00291E22">
            <w:pPr>
              <w:spacing w:before="60" w:after="60"/>
              <w:rPr>
                <w:rFonts w:cstheme="minorHAnsi"/>
                <w:sz w:val="18"/>
                <w:szCs w:val="18"/>
              </w:rPr>
            </w:pPr>
            <w:r w:rsidRPr="009D0A4A">
              <w:rPr>
                <w:sz w:val="18"/>
                <w:szCs w:val="18"/>
              </w:rPr>
              <w:t>Option 5a</w:t>
            </w:r>
          </w:p>
        </w:tc>
        <w:tc>
          <w:tcPr>
            <w:tcW w:w="1579" w:type="pct"/>
            <w:tcBorders>
              <w:top w:val="single" w:sz="8" w:space="0" w:color="D1D1D1" w:themeColor="background2"/>
              <w:bottom w:val="single" w:sz="8" w:space="0" w:color="D1D1D1" w:themeColor="background2"/>
            </w:tcBorders>
            <w:vAlign w:val="center"/>
          </w:tcPr>
          <w:p w14:paraId="48C8E4AE" w14:textId="59B75B71" w:rsidR="00291E22" w:rsidRPr="009D0A4A" w:rsidRDefault="00291E22" w:rsidP="00291E22">
            <w:pPr>
              <w:spacing w:before="60" w:after="60"/>
              <w:jc w:val="center"/>
              <w:rPr>
                <w:sz w:val="18"/>
                <w:szCs w:val="18"/>
              </w:rPr>
            </w:pPr>
            <w:r w:rsidRPr="009D0A4A">
              <w:rPr>
                <w:rFonts w:ascii="Calibri" w:hAnsi="Calibri" w:cs="Calibri"/>
                <w:color w:val="262626"/>
                <w:sz w:val="18"/>
                <w:szCs w:val="18"/>
              </w:rPr>
              <w:t>$195.</w:t>
            </w:r>
            <w:r w:rsidR="00843032" w:rsidRPr="009D0A4A">
              <w:rPr>
                <w:rFonts w:ascii="Calibri" w:hAnsi="Calibri" w:cs="Calibri"/>
                <w:color w:val="262626"/>
                <w:sz w:val="18"/>
                <w:szCs w:val="18"/>
              </w:rPr>
              <w:t>35</w:t>
            </w:r>
          </w:p>
        </w:tc>
        <w:tc>
          <w:tcPr>
            <w:tcW w:w="1578" w:type="pct"/>
            <w:tcBorders>
              <w:top w:val="single" w:sz="8" w:space="0" w:color="D1D1D1" w:themeColor="background2"/>
              <w:bottom w:val="single" w:sz="8" w:space="0" w:color="D1D1D1" w:themeColor="background2"/>
            </w:tcBorders>
            <w:vAlign w:val="center"/>
          </w:tcPr>
          <w:p w14:paraId="5DF9CA0A" w14:textId="18CFA9B9" w:rsidR="00291E22" w:rsidRPr="009D0A4A" w:rsidRDefault="00291E22" w:rsidP="00291E22">
            <w:pPr>
              <w:spacing w:before="60" w:after="60"/>
              <w:jc w:val="center"/>
              <w:rPr>
                <w:sz w:val="18"/>
                <w:szCs w:val="18"/>
              </w:rPr>
            </w:pPr>
            <w:r w:rsidRPr="009D0A4A">
              <w:rPr>
                <w:rFonts w:ascii="Calibri" w:hAnsi="Calibri" w:cs="Calibri"/>
                <w:color w:val="262626"/>
                <w:sz w:val="18"/>
                <w:szCs w:val="18"/>
              </w:rPr>
              <w:t>4</w:t>
            </w:r>
            <w:r w:rsidR="00CB74EE" w:rsidRPr="009D0A4A">
              <w:rPr>
                <w:rFonts w:ascii="Calibri" w:hAnsi="Calibri" w:cs="Calibri"/>
                <w:color w:val="262626"/>
                <w:sz w:val="18"/>
                <w:szCs w:val="18"/>
              </w:rPr>
              <w:t>8.00</w:t>
            </w:r>
          </w:p>
        </w:tc>
      </w:tr>
      <w:tr w:rsidR="00291E22" w:rsidRPr="009D0A4A" w14:paraId="3B1E96D0" w14:textId="77777777" w:rsidTr="00291E22">
        <w:trPr>
          <w:trHeight w:val="196"/>
        </w:trPr>
        <w:tc>
          <w:tcPr>
            <w:tcW w:w="1843" w:type="pct"/>
            <w:tcBorders>
              <w:top w:val="single" w:sz="8" w:space="0" w:color="D1D1D1" w:themeColor="background2"/>
              <w:bottom w:val="single" w:sz="8" w:space="0" w:color="D1D1D1" w:themeColor="background2"/>
            </w:tcBorders>
          </w:tcPr>
          <w:p w14:paraId="7D285BF5" w14:textId="77777777" w:rsidR="00291E22" w:rsidRPr="009D0A4A" w:rsidRDefault="00291E22" w:rsidP="00291E22">
            <w:pPr>
              <w:spacing w:before="60" w:after="60"/>
              <w:rPr>
                <w:rFonts w:cstheme="minorHAnsi"/>
                <w:sz w:val="18"/>
                <w:szCs w:val="18"/>
              </w:rPr>
            </w:pPr>
            <w:r w:rsidRPr="009D0A4A">
              <w:rPr>
                <w:sz w:val="18"/>
                <w:szCs w:val="18"/>
              </w:rPr>
              <w:t>Option 5b</w:t>
            </w:r>
          </w:p>
        </w:tc>
        <w:tc>
          <w:tcPr>
            <w:tcW w:w="1579" w:type="pct"/>
            <w:tcBorders>
              <w:top w:val="single" w:sz="8" w:space="0" w:color="D1D1D1" w:themeColor="background2"/>
              <w:bottom w:val="single" w:sz="8" w:space="0" w:color="D1D1D1" w:themeColor="background2"/>
            </w:tcBorders>
            <w:vAlign w:val="center"/>
          </w:tcPr>
          <w:p w14:paraId="105CC130" w14:textId="71AED02E" w:rsidR="00291E22" w:rsidRPr="009D0A4A" w:rsidRDefault="00291E22" w:rsidP="00291E22">
            <w:pPr>
              <w:spacing w:before="60" w:after="60"/>
              <w:jc w:val="center"/>
              <w:rPr>
                <w:sz w:val="18"/>
                <w:szCs w:val="18"/>
              </w:rPr>
            </w:pPr>
            <w:r w:rsidRPr="009D0A4A">
              <w:rPr>
                <w:rFonts w:ascii="Calibri" w:hAnsi="Calibri" w:cs="Calibri"/>
                <w:color w:val="262626"/>
                <w:sz w:val="18"/>
                <w:szCs w:val="18"/>
              </w:rPr>
              <w:t>$192.</w:t>
            </w:r>
            <w:r w:rsidR="00843032" w:rsidRPr="009D0A4A">
              <w:rPr>
                <w:rFonts w:ascii="Calibri" w:hAnsi="Calibri" w:cs="Calibri"/>
                <w:color w:val="262626"/>
                <w:sz w:val="18"/>
                <w:szCs w:val="18"/>
              </w:rPr>
              <w:t>70</w:t>
            </w:r>
          </w:p>
        </w:tc>
        <w:tc>
          <w:tcPr>
            <w:tcW w:w="1578" w:type="pct"/>
            <w:tcBorders>
              <w:top w:val="single" w:sz="8" w:space="0" w:color="D1D1D1" w:themeColor="background2"/>
              <w:bottom w:val="single" w:sz="8" w:space="0" w:color="D1D1D1" w:themeColor="background2"/>
            </w:tcBorders>
            <w:vAlign w:val="center"/>
          </w:tcPr>
          <w:p w14:paraId="516C1997" w14:textId="5A757AD5" w:rsidR="00291E22" w:rsidRPr="009D0A4A" w:rsidRDefault="00291E22" w:rsidP="00291E22">
            <w:pPr>
              <w:spacing w:before="60" w:after="60"/>
              <w:jc w:val="center"/>
              <w:rPr>
                <w:sz w:val="18"/>
                <w:szCs w:val="18"/>
              </w:rPr>
            </w:pPr>
            <w:r w:rsidRPr="009D0A4A">
              <w:rPr>
                <w:rFonts w:ascii="Calibri" w:hAnsi="Calibri" w:cs="Calibri"/>
                <w:color w:val="262626"/>
                <w:sz w:val="18"/>
                <w:szCs w:val="18"/>
              </w:rPr>
              <w:t>47.</w:t>
            </w:r>
            <w:r w:rsidR="007538B9" w:rsidRPr="009D0A4A">
              <w:rPr>
                <w:rFonts w:ascii="Calibri" w:hAnsi="Calibri" w:cs="Calibri"/>
                <w:color w:val="262626"/>
                <w:sz w:val="18"/>
                <w:szCs w:val="18"/>
              </w:rPr>
              <w:t>35</w:t>
            </w:r>
          </w:p>
        </w:tc>
      </w:tr>
    </w:tbl>
    <w:p w14:paraId="0AD2985D" w14:textId="6780E8E4" w:rsidR="0040654F" w:rsidRPr="009D0A4A" w:rsidRDefault="0040654F" w:rsidP="003E2BC8">
      <w:pPr>
        <w:pStyle w:val="BodyText"/>
        <w:spacing w:before="120"/>
        <w:jc w:val="both"/>
      </w:pPr>
      <w:bookmarkStart w:id="655" w:name="_Hlk107326965"/>
      <w:bookmarkEnd w:id="654"/>
      <w:r w:rsidRPr="009D0A4A">
        <w:t>It is difficult to forecast the effectiveness of each option</w:t>
      </w:r>
      <w:r w:rsidR="0010211F" w:rsidRPr="009D0A4A">
        <w:t xml:space="preserve">. Although Options 4 and 5 have been developed based on </w:t>
      </w:r>
      <w:r w:rsidRPr="009D0A4A">
        <w:t>the Victorian Occupational Health and Safety Amendment (Crystalline Silica) Regulations 2021</w:t>
      </w:r>
      <w:r w:rsidR="0010211F" w:rsidRPr="009D0A4A">
        <w:t xml:space="preserve"> there has been insufficient time to assess the effectiveness of these options</w:t>
      </w:r>
      <w:r w:rsidRPr="009D0A4A">
        <w:t xml:space="preserve">. Commencement of </w:t>
      </w:r>
      <w:r w:rsidR="0010211F" w:rsidRPr="009D0A4A">
        <w:t>Victoria’s</w:t>
      </w:r>
      <w:r w:rsidRPr="009D0A4A">
        <w:t xml:space="preserve"> high risk silica regulations occurred in May 2022, and the licensing scheme for employers working with engineered stone will commence in November 2022. </w:t>
      </w:r>
      <w:r w:rsidR="00B45A95" w:rsidRPr="001B4226">
        <w:t xml:space="preserve">However, </w:t>
      </w:r>
      <w:r w:rsidR="00B45A95" w:rsidRPr="00253B8B">
        <w:t xml:space="preserve">it is estimated that lower cost options (i.e. Options 2-4) </w:t>
      </w:r>
      <w:r w:rsidR="003E2BC8">
        <w:t>would</w:t>
      </w:r>
      <w:r w:rsidR="003E2BC8" w:rsidRPr="00253B8B">
        <w:t xml:space="preserve"> </w:t>
      </w:r>
      <w:r w:rsidR="00B45A95" w:rsidRPr="00253B8B">
        <w:t xml:space="preserve">require fewer cases to </w:t>
      </w:r>
      <w:r w:rsidR="00B45A95">
        <w:t xml:space="preserve">be </w:t>
      </w:r>
      <w:r w:rsidR="003E2BC8">
        <w:t xml:space="preserve">prevented to </w:t>
      </w:r>
      <w:r w:rsidR="00B45A95" w:rsidRPr="00253B8B">
        <w:t>breakeven</w:t>
      </w:r>
      <w:r w:rsidR="00B45A95">
        <w:t>, compared with Option 5.</w:t>
      </w:r>
    </w:p>
    <w:p w14:paraId="226F8136" w14:textId="714C9DF4" w:rsidR="00D34981" w:rsidRPr="009D0A4A" w:rsidRDefault="00EA0A25" w:rsidP="003801F8">
      <w:pPr>
        <w:pStyle w:val="Heading2"/>
      </w:pPr>
      <w:bookmarkStart w:id="656" w:name="_Toc107395337"/>
      <w:bookmarkEnd w:id="655"/>
      <w:r w:rsidRPr="009D0A4A">
        <w:t>Consultation questions</w:t>
      </w:r>
      <w:bookmarkEnd w:id="656"/>
    </w:p>
    <w:p w14:paraId="6A0DA565" w14:textId="02CA12C0" w:rsidR="00D34981" w:rsidRPr="009D0A4A" w:rsidRDefault="00721636" w:rsidP="005E7152">
      <w:pPr>
        <w:pStyle w:val="BodyText"/>
      </w:pPr>
      <w:r w:rsidRPr="009D0A4A">
        <w:t>Safe Work Australia is seeking feedback on the following consultation questions related to the impact analysis:</w:t>
      </w:r>
    </w:p>
    <w:p w14:paraId="3C85CBF2" w14:textId="63D39EAE" w:rsidR="00D34981" w:rsidRPr="009D0A4A" w:rsidRDefault="00D34981" w:rsidP="005E7152">
      <w:pPr>
        <w:pStyle w:val="BodyText"/>
      </w:pPr>
      <w:r w:rsidRPr="009D0A4A">
        <w:t xml:space="preserve">6.1 Is the cost modelling methodology appropriate to estimate the costs to industry and governments (Appendix </w:t>
      </w:r>
      <w:r w:rsidR="00EA0A25" w:rsidRPr="009D0A4A">
        <w:t>D</w:t>
      </w:r>
      <w:r w:rsidRPr="009D0A4A">
        <w:t xml:space="preserve">)? </w:t>
      </w:r>
      <w:r w:rsidR="00721636" w:rsidRPr="009D0A4A">
        <w:t>Please provide evidence to support your position</w:t>
      </w:r>
      <w:r w:rsidR="00EA0A25" w:rsidRPr="009D0A4A">
        <w:t xml:space="preserve">. </w:t>
      </w:r>
    </w:p>
    <w:p w14:paraId="0E5A9326" w14:textId="14078896" w:rsidR="00721636" w:rsidRPr="009D0A4A" w:rsidRDefault="00D34981" w:rsidP="00721636">
      <w:pPr>
        <w:pStyle w:val="BodyText"/>
      </w:pPr>
      <w:r w:rsidRPr="009D0A4A">
        <w:t xml:space="preserve">6.2 Are the estimates of the number of </w:t>
      </w:r>
      <w:r w:rsidR="00721636" w:rsidRPr="009D0A4A">
        <w:t>businesses</w:t>
      </w:r>
      <w:r w:rsidRPr="009D0A4A">
        <w:t xml:space="preserve"> covered by each of the regulatory and non-regulatory options accurate? </w:t>
      </w:r>
      <w:r w:rsidR="00721636" w:rsidRPr="009D0A4A">
        <w:t xml:space="preserve">Please provide evidence to support your position. </w:t>
      </w:r>
    </w:p>
    <w:p w14:paraId="7644FA35" w14:textId="24F1207F" w:rsidR="009A6D76" w:rsidRPr="009D0A4A" w:rsidRDefault="00D90C96" w:rsidP="009A6D76">
      <w:pPr>
        <w:pStyle w:val="BodyText"/>
      </w:pPr>
      <w:bookmarkStart w:id="657" w:name="_Hlk107326920"/>
      <w:r w:rsidRPr="009D0A4A">
        <w:t>6.3</w:t>
      </w:r>
      <w:r w:rsidR="00FC5125" w:rsidRPr="009D0A4A">
        <w:t xml:space="preserve"> Are there other factors that </w:t>
      </w:r>
      <w:r w:rsidR="009A6D76" w:rsidRPr="009D0A4A">
        <w:t xml:space="preserve">should be </w:t>
      </w:r>
      <w:r w:rsidR="006F081B" w:rsidRPr="009D0A4A">
        <w:t>considered</w:t>
      </w:r>
      <w:r w:rsidR="009A6D76" w:rsidRPr="009D0A4A">
        <w:t xml:space="preserve"> in the assessment of the effectiveness of each option (Section 6.5)</w:t>
      </w:r>
      <w:r w:rsidR="00A93D46" w:rsidRPr="009D0A4A">
        <w:t>?</w:t>
      </w:r>
      <w:r w:rsidR="009A6D76" w:rsidRPr="009D0A4A">
        <w:t xml:space="preserve"> Please provide evidence to support your position. </w:t>
      </w:r>
    </w:p>
    <w:bookmarkEnd w:id="657"/>
    <w:p w14:paraId="0FB2FA04" w14:textId="3616CC73" w:rsidR="00721636" w:rsidRPr="009D0A4A" w:rsidRDefault="00D34981" w:rsidP="00721636">
      <w:pPr>
        <w:pStyle w:val="BodyText"/>
      </w:pPr>
      <w:r w:rsidRPr="009D0A4A">
        <w:t>6.</w:t>
      </w:r>
      <w:r w:rsidR="0010211F" w:rsidRPr="009D0A4A">
        <w:t xml:space="preserve">4 </w:t>
      </w:r>
      <w:r w:rsidRPr="009D0A4A">
        <w:t xml:space="preserve">Are the </w:t>
      </w:r>
      <w:r w:rsidR="00EA4F59" w:rsidRPr="009D0A4A">
        <w:t xml:space="preserve">cost and other </w:t>
      </w:r>
      <w:r w:rsidRPr="009D0A4A">
        <w:t xml:space="preserve">estimates (including worker wage assumptions) listed in Appendix </w:t>
      </w:r>
      <w:r w:rsidR="00EA0A25" w:rsidRPr="009D0A4A">
        <w:t xml:space="preserve">D </w:t>
      </w:r>
      <w:r w:rsidRPr="009D0A4A">
        <w:t>accurate</w:t>
      </w:r>
      <w:r w:rsidR="00EA4F59" w:rsidRPr="009D0A4A">
        <w:t xml:space="preserve"> and appropriate</w:t>
      </w:r>
      <w:r w:rsidRPr="009D0A4A">
        <w:t xml:space="preserve">? </w:t>
      </w:r>
      <w:r w:rsidR="00EA4F59" w:rsidRPr="009D0A4A">
        <w:t xml:space="preserve">If </w:t>
      </w:r>
      <w:r w:rsidR="000D1F3F" w:rsidRPr="009D0A4A">
        <w:t>not</w:t>
      </w:r>
      <w:r w:rsidR="00EA4F59" w:rsidRPr="009D0A4A">
        <w:t>, p</w:t>
      </w:r>
      <w:r w:rsidR="00721636" w:rsidRPr="009D0A4A">
        <w:t xml:space="preserve">lease provide </w:t>
      </w:r>
      <w:r w:rsidR="00EA4F59" w:rsidRPr="009D0A4A">
        <w:t>additional data to support a more accurate estimate of costs</w:t>
      </w:r>
      <w:r w:rsidR="00721636" w:rsidRPr="009D0A4A">
        <w:t xml:space="preserve">. </w:t>
      </w:r>
    </w:p>
    <w:p w14:paraId="43D2A7B7" w14:textId="23AE2F25" w:rsidR="00B71044" w:rsidRPr="009D0A4A" w:rsidRDefault="004E3629" w:rsidP="00B71044">
      <w:pPr>
        <w:pStyle w:val="BodyText"/>
      </w:pPr>
      <w:r w:rsidRPr="009D0A4A">
        <w:t>6.</w:t>
      </w:r>
      <w:r w:rsidR="0010211F" w:rsidRPr="009D0A4A">
        <w:t xml:space="preserve">5 </w:t>
      </w:r>
      <w:r w:rsidRPr="009D0A4A">
        <w:t>Do you have further information regarding the costs to the public health system for silicosis</w:t>
      </w:r>
      <w:r w:rsidR="000D1F3F" w:rsidRPr="009D0A4A">
        <w:t xml:space="preserve"> and silica related diseases</w:t>
      </w:r>
      <w:r w:rsidRPr="009D0A4A">
        <w:t xml:space="preserve">? </w:t>
      </w:r>
    </w:p>
    <w:p w14:paraId="50A695C8" w14:textId="77777777" w:rsidR="00B71044" w:rsidRPr="009D0A4A" w:rsidRDefault="00B71044">
      <w:pPr>
        <w:rPr>
          <w:rFonts w:asciiTheme="majorHAnsi" w:hAnsiTheme="majorHAnsi"/>
          <w:b/>
          <w:color w:val="014463" w:themeColor="text2"/>
          <w:sz w:val="60"/>
          <w:szCs w:val="60"/>
        </w:rPr>
      </w:pPr>
      <w:r w:rsidRPr="009D0A4A">
        <w:br w:type="page"/>
      </w:r>
    </w:p>
    <w:p w14:paraId="6D7B0600" w14:textId="16C5DF84" w:rsidR="008A1D1F" w:rsidRPr="009D0A4A" w:rsidRDefault="008A1D1F" w:rsidP="00041D73">
      <w:pPr>
        <w:pStyle w:val="Heading1"/>
      </w:pPr>
      <w:bookmarkStart w:id="658" w:name="_Toc107395338"/>
      <w:r w:rsidRPr="009D0A4A">
        <w:lastRenderedPageBreak/>
        <w:t>Discussion of options</w:t>
      </w:r>
      <w:bookmarkEnd w:id="658"/>
    </w:p>
    <w:p w14:paraId="7EB64083" w14:textId="39E85B5B" w:rsidR="008A1D1F" w:rsidRPr="009D0A4A" w:rsidRDefault="008A1D1F" w:rsidP="003801F8">
      <w:pPr>
        <w:pStyle w:val="Heading2"/>
      </w:pPr>
      <w:bookmarkStart w:id="659" w:name="_Toc107395339"/>
      <w:r w:rsidRPr="009D0A4A">
        <w:t>Option 1</w:t>
      </w:r>
      <w:r w:rsidR="00D14CC1" w:rsidRPr="009D0A4A">
        <w:t>:</w:t>
      </w:r>
      <w:r w:rsidRPr="009D0A4A">
        <w:t xml:space="preserve"> Base case</w:t>
      </w:r>
      <w:bookmarkEnd w:id="659"/>
    </w:p>
    <w:p w14:paraId="30D5E7B6" w14:textId="32F20B53" w:rsidR="008A1D1F" w:rsidRPr="009D0A4A" w:rsidRDefault="008A1D1F" w:rsidP="00F84B44">
      <w:pPr>
        <w:pStyle w:val="BodyText"/>
        <w:jc w:val="both"/>
      </w:pPr>
      <w:r w:rsidRPr="009D0A4A">
        <w:t xml:space="preserve">The base case, Option 1, is unlikely to be successful in addressing workplace exposure to RCS and reducing the </w:t>
      </w:r>
      <w:r w:rsidR="00397CB8" w:rsidRPr="009D0A4A">
        <w:t>number of cases</w:t>
      </w:r>
      <w:r w:rsidRPr="009D0A4A">
        <w:t xml:space="preserve"> of silicosis and other silica related diseases. Despite the extensive </w:t>
      </w:r>
      <w:r w:rsidR="001A265F" w:rsidRPr="009D0A4A">
        <w:t xml:space="preserve">education, </w:t>
      </w:r>
      <w:r w:rsidRPr="009D0A4A">
        <w:t xml:space="preserve">compliance and enforcement activities </w:t>
      </w:r>
      <w:r w:rsidR="003801F8" w:rsidRPr="009D0A4A">
        <w:t>undertaken</w:t>
      </w:r>
      <w:r w:rsidRPr="009D0A4A">
        <w:t xml:space="preserve"> in recent years, workers are continuing to be exposed to RCS and the </w:t>
      </w:r>
      <w:r w:rsidR="00397CB8" w:rsidRPr="009D0A4A">
        <w:t>number of cases</w:t>
      </w:r>
      <w:r w:rsidRPr="009D0A4A">
        <w:t xml:space="preserve"> of silicosis and silica related diseases has not declined. These activities alone are likely to be insufficient in addressing the risks of RCS exposure in the workplace</w:t>
      </w:r>
      <w:r w:rsidR="00EA4F59" w:rsidRPr="009D0A4A">
        <w:t>. However, because of the latency of silicosis and silica related diseases, it is acknowledged that there has been insufficient time to evaluate the effectiveness of recent initiatives</w:t>
      </w:r>
      <w:r w:rsidR="00AC20A2" w:rsidRPr="009D0A4A">
        <w:t xml:space="preserve"> included in this option</w:t>
      </w:r>
      <w:r w:rsidR="00EA4F59" w:rsidRPr="009D0A4A">
        <w:t>.</w:t>
      </w:r>
    </w:p>
    <w:p w14:paraId="1927105B" w14:textId="26E4E46B" w:rsidR="008A1D1F" w:rsidRPr="009D0A4A" w:rsidRDefault="008A1D1F" w:rsidP="003801F8">
      <w:pPr>
        <w:pStyle w:val="Heading2"/>
      </w:pPr>
      <w:bookmarkStart w:id="660" w:name="_Toc107395340"/>
      <w:r w:rsidRPr="009D0A4A">
        <w:t>Option 2</w:t>
      </w:r>
      <w:r w:rsidR="00D14CC1" w:rsidRPr="009D0A4A">
        <w:t>:</w:t>
      </w:r>
      <w:r w:rsidRPr="009D0A4A">
        <w:t xml:space="preserve"> National awareness and behaviour change </w:t>
      </w:r>
      <w:r w:rsidR="00B30612" w:rsidRPr="009D0A4A">
        <w:t>initiatives to</w:t>
      </w:r>
      <w:r w:rsidRPr="009D0A4A">
        <w:t xml:space="preserve"> minimis</w:t>
      </w:r>
      <w:r w:rsidR="00B30612" w:rsidRPr="009D0A4A">
        <w:t>e</w:t>
      </w:r>
      <w:r w:rsidRPr="009D0A4A">
        <w:t xml:space="preserve"> the risks of RCS exposure</w:t>
      </w:r>
      <w:bookmarkEnd w:id="660"/>
    </w:p>
    <w:p w14:paraId="0AAB215E" w14:textId="77F8E143" w:rsidR="008A1D1F" w:rsidRPr="009D0A4A" w:rsidRDefault="008A1D1F" w:rsidP="00C64F37">
      <w:pPr>
        <w:pStyle w:val="BodyText"/>
        <w:jc w:val="both"/>
        <w:rPr>
          <w:i/>
          <w:iCs/>
        </w:rPr>
      </w:pPr>
      <w:r w:rsidRPr="009D0A4A">
        <w:t xml:space="preserve">Implementation of Option 2 alone is unlikely to adequately address the problem. Awareness campaigns have been conducted across all state and territories (Table </w:t>
      </w:r>
      <w:r w:rsidR="00C473F8" w:rsidRPr="009D0A4A">
        <w:t>2</w:t>
      </w:r>
      <w:r w:rsidRPr="009D0A4A">
        <w:t xml:space="preserve">) as well as through specific </w:t>
      </w:r>
      <w:r w:rsidR="00927EFF" w:rsidRPr="009D0A4A">
        <w:t>groups such as</w:t>
      </w:r>
      <w:r w:rsidRPr="009D0A4A">
        <w:t xml:space="preserve"> the Australian Workers Union </w:t>
      </w:r>
      <w:r w:rsidR="00927EFF" w:rsidRPr="009D0A4A">
        <w:fldChar w:fldCharType="begin"/>
      </w:r>
      <w:r w:rsidR="004067E3">
        <w:instrText xml:space="preserve"> ADDIN ZOTERO_ITEM CSL_CITATION {"citationID":"u0cFYCHK","properties":{"formattedCitation":"(Australian Workers Union 2021)","plainCitation":"(Australian Workers Union 2021)","noteIndex":0},"citationItems":[{"id":896,"uris":["http://zotero.org/users/6230888/items/SVHL46UG"],"itemData":{"id":896,"type":"webpage","container-title":"The Australian Workers' Union","language":"en-AU","note":"section: -National","title":"Silica Dust Kills","URL":"https://www.awu.net.au/national/campaigns/13261/silicosis-kills/","author":[{"literal":"Australian Workers Union"}],"accessed":{"date-parts":[["2022",6,30]]},"issued":{"date-parts":[["2021"]]}}}],"schema":"https://github.com/citation-style-language/schema/raw/master/csl-citation.json"} </w:instrText>
      </w:r>
      <w:r w:rsidR="00927EFF" w:rsidRPr="009D0A4A">
        <w:fldChar w:fldCharType="separate"/>
      </w:r>
      <w:r w:rsidR="006B4A7D" w:rsidRPr="009D0A4A">
        <w:rPr>
          <w:rFonts w:ascii="Calibri" w:hAnsi="Calibri" w:cs="Calibri"/>
        </w:rPr>
        <w:t>(Australian Workers Union 2021)</w:t>
      </w:r>
      <w:r w:rsidR="00927EFF" w:rsidRPr="009D0A4A">
        <w:fldChar w:fldCharType="end"/>
      </w:r>
      <w:r w:rsidR="00927EFF" w:rsidRPr="009D0A4A">
        <w:t xml:space="preserve"> </w:t>
      </w:r>
      <w:r w:rsidRPr="009D0A4A">
        <w:t>and Lung Foundation Australia</w:t>
      </w:r>
      <w:r w:rsidR="00AE142D" w:rsidRPr="009D0A4A">
        <w:t xml:space="preserve"> </w:t>
      </w:r>
      <w:r w:rsidR="00AE142D" w:rsidRPr="009D0A4A">
        <w:fldChar w:fldCharType="begin"/>
      </w:r>
      <w:r w:rsidR="004067E3">
        <w:instrText xml:space="preserve"> ADDIN ZOTERO_ITEM CSL_CITATION {"citationID":"DMOnH752","properties":{"formattedCitation":"(Lung Foundation Australia n.d.)","plainCitation":"(Lung Foundation Australia n.d.)","noteIndex":0},"citationItems":[{"id":898,"uris":["http://zotero.org/users/6230888/items/CLX9NYX7"],"itemData":{"id":898,"type":"webpage","title":"Campaigns - Lung Foundation Australia","URL":"https://lungfoundation.com.au/news-and-advocacy/advocacy/campaigns/","author":[{"literal":"Lung Foundation Australia"}],"accessed":{"date-parts":[["2022",6,30]]}}}],"schema":"https://github.com/citation-style-language/schema/raw/master/csl-citation.json"} </w:instrText>
      </w:r>
      <w:r w:rsidR="00AE142D" w:rsidRPr="009D0A4A">
        <w:fldChar w:fldCharType="separate"/>
      </w:r>
      <w:r w:rsidR="006B4A7D" w:rsidRPr="009D0A4A">
        <w:rPr>
          <w:rFonts w:ascii="Calibri" w:hAnsi="Calibri" w:cs="Calibri"/>
        </w:rPr>
        <w:t>(Lung Foundation Australia n.d.)</w:t>
      </w:r>
      <w:r w:rsidR="00AE142D" w:rsidRPr="009D0A4A">
        <w:fldChar w:fldCharType="end"/>
      </w:r>
      <w:r w:rsidRPr="009D0A4A">
        <w:t xml:space="preserve">. While there is some evidence of increase in compliance </w:t>
      </w:r>
      <w:r w:rsidR="00BD1631" w:rsidRPr="009D0A4A">
        <w:t>especially in relation to the engineered stone sector</w:t>
      </w:r>
      <w:r w:rsidR="00E51D13" w:rsidRPr="009D0A4A">
        <w:t xml:space="preserve"> </w:t>
      </w:r>
      <w:r w:rsidR="00E51D13" w:rsidRPr="009D0A4A">
        <w:fldChar w:fldCharType="begin"/>
      </w:r>
      <w:r w:rsidR="004067E3">
        <w:instrText xml:space="preserve"> ADDIN ZOTERO_ITEM CSL_CITATION {"citationID":"bzbucSq6","properties":{"formattedCitation":"(e.g. Kreitals et al. 2022)","plainCitation":"(e.g. Kreitals et al. 2022)","noteIndex":0},"citationItems":[{"id":900,"uris":["http://zotero.org/users/6230888/items/QD3WMVXF"],"itemData":{"id":900,"type":"paper-conference","container-title":"Proceedings of the Australian Institute of Occupational Hygienists Annual Conference and Exhibition 2021","title":"Industry change in the manufactured stone benchtop industry as a result of proactive compliance activities in NSW","author":[{"family":"Kreitals","given":"N"},{"family":"Weller","given":"M"},{"family":"Nand","given":"A"}],"issued":{"date-parts":[["2022"]]}},"prefix":"e.g. "}],"schema":"https://github.com/citation-style-language/schema/raw/master/csl-citation.json"} </w:instrText>
      </w:r>
      <w:r w:rsidR="00E51D13" w:rsidRPr="009D0A4A">
        <w:fldChar w:fldCharType="separate"/>
      </w:r>
      <w:r w:rsidR="006B4A7D" w:rsidRPr="009D0A4A">
        <w:rPr>
          <w:rFonts w:ascii="Calibri" w:hAnsi="Calibri" w:cs="Calibri"/>
        </w:rPr>
        <w:t>(e.g. Kreitals et al. 2022)</w:t>
      </w:r>
      <w:r w:rsidR="00E51D13" w:rsidRPr="009D0A4A">
        <w:fldChar w:fldCharType="end"/>
      </w:r>
      <w:r w:rsidRPr="009D0A4A">
        <w:t xml:space="preserve">, there continues to be a lack of awareness </w:t>
      </w:r>
      <w:r w:rsidR="006B4D7D" w:rsidRPr="009D0A4A">
        <w:t xml:space="preserve">and understanding </w:t>
      </w:r>
      <w:r w:rsidRPr="009D0A4A">
        <w:t>among PCBUs, workers and other duty holders</w:t>
      </w:r>
      <w:r w:rsidR="00BD1631" w:rsidRPr="009D0A4A">
        <w:t xml:space="preserve"> engaged in other high risk silica work</w:t>
      </w:r>
      <w:r w:rsidRPr="009D0A4A">
        <w:t xml:space="preserve"> </w:t>
      </w:r>
      <w:r w:rsidR="00EB17F4" w:rsidRPr="009D0A4A">
        <w:t>of</w:t>
      </w:r>
      <w:r w:rsidRPr="009D0A4A">
        <w:t xml:space="preserve"> the requirements of the model WHS laws</w:t>
      </w:r>
      <w:r w:rsidR="001F17CB" w:rsidRPr="009D0A4A">
        <w:t xml:space="preserve"> </w:t>
      </w:r>
      <w:r w:rsidR="001F17CB" w:rsidRPr="009D0A4A">
        <w:fldChar w:fldCharType="begin"/>
      </w:r>
      <w:r w:rsidR="004067E3">
        <w:instrText xml:space="preserve"> ADDIN ZOTERO_ITEM CSL_CITATION {"citationID":"MTvR9OzX","properties":{"formattedCitation":"(e.g. Glass et al. 2022, SafeWork SA 2021)","plainCitation":"(e.g. Glass et al. 2022, SafeWork SA 2021)","noteIndex":0},"citationItems":[{"id":901,"uris":["http://zotero.org/users/6230888/items/KRXYLKXH"],"itemData":{"id":901,"type":"article-journal","container-title":"Abstracts of the 33rd International Congress on Occupational Health 2022 (ICOH 2022) 6–10 February 2022","DOI":"10.1016/j.shaw.2021.12.786","ISSN":"2093-7911","journalAbbreviation":"Safety and Health at Work","page":"S25","title":"Changes to Silica Exposure Control Measures in the Artificial Stone Benchtop Industry in Victoria Australia","volume":"13","author":[{"family":"Glass","given":"Deborah"},{"family":"Dimitriadis","given":"Christina"},{"family":"Hansen","given":"Jessy"},{"family":"Hore-Lacy","given":"Fiona"},{"family":"Sim","given":"Malcolm R."},{"family":"Hoy","given":"Ryan F."}],"issued":{"date-parts":[["2022",1,1]]}},"prefix":"e.g."},{"id":879,"uris":["http://zotero.org/users/6230888/items/DKBHJC4X"],"itemData":{"id":879,"type":"report","page":"18","title":"Respirable Crystalline Silica Campaign Report 2020-21","URL":"https://www.safework.sa.gov.au/__data/assets/pdf_file/0006/469833/Respirable-Crystalline-Silica-Campaign-Report-2020-21.pdf","author":[{"literal":"SafeWork SA"}],"accessed":{"date-parts":[["2022",6,30]]},"issued":{"date-parts":[["2021"]]}}}],"schema":"https://github.com/citation-style-language/schema/raw/master/csl-citation.json"} </w:instrText>
      </w:r>
      <w:r w:rsidR="001F17CB" w:rsidRPr="009D0A4A">
        <w:fldChar w:fldCharType="separate"/>
      </w:r>
      <w:r w:rsidR="006B4A7D" w:rsidRPr="009D0A4A">
        <w:rPr>
          <w:rFonts w:ascii="Calibri" w:hAnsi="Calibri" w:cs="Calibri"/>
        </w:rPr>
        <w:t>(e.g. Glass et al. 2022, SafeWork SA 2021)</w:t>
      </w:r>
      <w:r w:rsidR="001F17CB" w:rsidRPr="009D0A4A">
        <w:fldChar w:fldCharType="end"/>
      </w:r>
      <w:r w:rsidRPr="009D0A4A">
        <w:t>.</w:t>
      </w:r>
      <w:r w:rsidR="001F17CB" w:rsidRPr="009D0A4A">
        <w:t xml:space="preserve"> </w:t>
      </w:r>
      <w:r w:rsidRPr="009D0A4A">
        <w:t xml:space="preserve">Implementation of national awareness and behaviour change </w:t>
      </w:r>
      <w:r w:rsidR="00E13AC9" w:rsidRPr="009D0A4A">
        <w:t xml:space="preserve">initiatives </w:t>
      </w:r>
      <w:r w:rsidRPr="009D0A4A">
        <w:t xml:space="preserve">without clarification of the model WHS </w:t>
      </w:r>
      <w:r w:rsidR="00E13AC9" w:rsidRPr="009D0A4A">
        <w:t>R</w:t>
      </w:r>
      <w:r w:rsidRPr="009D0A4A">
        <w:t xml:space="preserve">egulations is unlikely to </w:t>
      </w:r>
      <w:r w:rsidR="00BD1631" w:rsidRPr="009D0A4A">
        <w:t>effectively reduce RCS exposure</w:t>
      </w:r>
      <w:r w:rsidRPr="009D0A4A">
        <w:t>.</w:t>
      </w:r>
      <w:r w:rsidR="003E5980" w:rsidRPr="009D0A4A">
        <w:t xml:space="preserve"> Option 2 would be relatively low cost ($6.08 million over 10 years) and if undertaken in conjunction with one of the</w:t>
      </w:r>
      <w:r w:rsidR="00EA4F59" w:rsidRPr="009D0A4A">
        <w:t xml:space="preserve"> regulatory options</w:t>
      </w:r>
      <w:r w:rsidR="003E5980" w:rsidRPr="009D0A4A">
        <w:t xml:space="preserve">, would be expected to further reduce workplace RCS exposures. </w:t>
      </w:r>
      <w:r w:rsidR="00606EED" w:rsidRPr="009D0A4A">
        <w:t>From an economic standpoint, it would break even if 1.49 cases of silicosis were prevented over 10 years.</w:t>
      </w:r>
    </w:p>
    <w:p w14:paraId="622BD05D" w14:textId="2265348D" w:rsidR="008A1D1F" w:rsidRPr="009D0A4A" w:rsidRDefault="008A1D1F" w:rsidP="003801F8">
      <w:pPr>
        <w:pStyle w:val="Heading2"/>
      </w:pPr>
      <w:bookmarkStart w:id="661" w:name="_Toc107395341"/>
      <w:r w:rsidRPr="009D0A4A">
        <w:t>Option 3</w:t>
      </w:r>
      <w:r w:rsidR="00D14CC1" w:rsidRPr="009D0A4A">
        <w:t>:</w:t>
      </w:r>
      <w:r w:rsidRPr="009D0A4A">
        <w:t xml:space="preserve"> Clarifying the existing requirements of the model WHS laws for high risk silica processes</w:t>
      </w:r>
      <w:bookmarkEnd w:id="661"/>
    </w:p>
    <w:p w14:paraId="0CF9664A" w14:textId="13C6E7F9" w:rsidR="008A1D1F" w:rsidRPr="009D0A4A" w:rsidRDefault="008A1D1F" w:rsidP="003E5980">
      <w:pPr>
        <w:pStyle w:val="BodyText"/>
        <w:jc w:val="both"/>
      </w:pPr>
      <w:r w:rsidRPr="009D0A4A">
        <w:t xml:space="preserve">Option 3 </w:t>
      </w:r>
      <w:r w:rsidR="003E5980" w:rsidRPr="009D0A4A">
        <w:t>is a lower cost approach</w:t>
      </w:r>
      <w:r w:rsidRPr="009D0A4A">
        <w:t xml:space="preserve"> to addressing the risks of RCS </w:t>
      </w:r>
      <w:r w:rsidR="004E3629" w:rsidRPr="009D0A4A">
        <w:t>exposure and</w:t>
      </w:r>
      <w:r w:rsidR="003E5980" w:rsidRPr="009D0A4A">
        <w:t xml:space="preserve"> is estimated to cost $0.1</w:t>
      </w:r>
      <w:r w:rsidR="00606EED" w:rsidRPr="009D0A4A">
        <w:t>1</w:t>
      </w:r>
      <w:r w:rsidR="003E5980" w:rsidRPr="009D0A4A">
        <w:t xml:space="preserve"> million over 10 years</w:t>
      </w:r>
      <w:r w:rsidRPr="009D0A4A">
        <w:t xml:space="preserve">. It </w:t>
      </w:r>
      <w:r w:rsidR="003E5980" w:rsidRPr="009D0A4A">
        <w:t>would ensure</w:t>
      </w:r>
      <w:r w:rsidRPr="009D0A4A">
        <w:t xml:space="preserve"> regulations related to high risk silica processes are </w:t>
      </w:r>
      <w:r w:rsidR="003E5980" w:rsidRPr="009D0A4A">
        <w:t xml:space="preserve">clarified for PCBUs, workers and other duty holders. </w:t>
      </w:r>
      <w:r w:rsidRPr="009D0A4A">
        <w:t xml:space="preserve">Clarification of the existing regulations </w:t>
      </w:r>
      <w:r w:rsidR="003E5980" w:rsidRPr="009D0A4A">
        <w:t>would</w:t>
      </w:r>
      <w:r w:rsidRPr="009D0A4A">
        <w:t xml:space="preserve"> remove </w:t>
      </w:r>
      <w:r w:rsidR="003E5980" w:rsidRPr="009D0A4A">
        <w:t xml:space="preserve">the existing </w:t>
      </w:r>
      <w:r w:rsidRPr="009D0A4A">
        <w:t xml:space="preserve">ambiguity about the requirements of the model WHS laws with respect to RCS, and will provide certainty for PCBUs undertaking high risk silica work about their duties to undertake air monitoring and health monitoring, and </w:t>
      </w:r>
      <w:r w:rsidR="003E5980" w:rsidRPr="009D0A4A">
        <w:t xml:space="preserve">raise awareness of the need to </w:t>
      </w:r>
      <w:r w:rsidRPr="009D0A4A">
        <w:t>address risks of RCS</w:t>
      </w:r>
      <w:r w:rsidR="003E5980" w:rsidRPr="009D0A4A">
        <w:t xml:space="preserve"> for high risk silica processes</w:t>
      </w:r>
      <w:r w:rsidRPr="009D0A4A">
        <w:t xml:space="preserve">. </w:t>
      </w:r>
    </w:p>
    <w:p w14:paraId="56D5D715" w14:textId="2654D5B6" w:rsidR="008A1D1F" w:rsidRPr="009D0A4A" w:rsidRDefault="008A1D1F" w:rsidP="008A1D1F">
      <w:pPr>
        <w:pStyle w:val="BodyText"/>
        <w:rPr>
          <w:i/>
          <w:iCs/>
          <w:color w:val="auto"/>
        </w:rPr>
      </w:pPr>
      <w:r w:rsidRPr="009D0A4A">
        <w:rPr>
          <w:color w:val="auto"/>
        </w:rPr>
        <w:t xml:space="preserve">Option 3 is a relatively cost-effective measure, both in the immediate and projected period of 10 years, with no additional regulatory burden to industry beyond the </w:t>
      </w:r>
      <w:r w:rsidR="00E03F7B" w:rsidRPr="009D0A4A">
        <w:rPr>
          <w:color w:val="auto"/>
        </w:rPr>
        <w:t>base case</w:t>
      </w:r>
      <w:r w:rsidRPr="009D0A4A">
        <w:rPr>
          <w:color w:val="auto"/>
        </w:rPr>
        <w:t xml:space="preserve">. </w:t>
      </w:r>
      <w:r w:rsidR="00033E54" w:rsidRPr="009D0A4A">
        <w:rPr>
          <w:color w:val="auto"/>
        </w:rPr>
        <w:t xml:space="preserve">Because of its low </w:t>
      </w:r>
      <w:r w:rsidR="00072651" w:rsidRPr="009D0A4A">
        <w:rPr>
          <w:color w:val="auto"/>
        </w:rPr>
        <w:t xml:space="preserve">additional </w:t>
      </w:r>
      <w:r w:rsidR="00033E54" w:rsidRPr="009D0A4A">
        <w:rPr>
          <w:color w:val="auto"/>
        </w:rPr>
        <w:t xml:space="preserve">cost, it would require </w:t>
      </w:r>
      <w:r w:rsidR="00072651" w:rsidRPr="009D0A4A">
        <w:rPr>
          <w:color w:val="auto"/>
        </w:rPr>
        <w:t xml:space="preserve">0.03 cases of silicosis to be avoided to break even from an economic perspective. </w:t>
      </w:r>
      <w:r w:rsidR="00033E54" w:rsidRPr="009D0A4A">
        <w:rPr>
          <w:color w:val="auto"/>
        </w:rPr>
        <w:t xml:space="preserve">However, this option would not introduce additional regulation, such as requirements to undertake risk assessments, to develop and implement </w:t>
      </w:r>
      <w:r w:rsidR="00072651" w:rsidRPr="009D0A4A">
        <w:rPr>
          <w:color w:val="auto"/>
        </w:rPr>
        <w:t xml:space="preserve">silica risk </w:t>
      </w:r>
      <w:r w:rsidR="00033E54" w:rsidRPr="009D0A4A">
        <w:rPr>
          <w:color w:val="auto"/>
        </w:rPr>
        <w:t xml:space="preserve">control plans </w:t>
      </w:r>
      <w:r w:rsidR="00072651" w:rsidRPr="009D0A4A">
        <w:rPr>
          <w:color w:val="auto"/>
        </w:rPr>
        <w:t xml:space="preserve">and/or engineered stone control plans, </w:t>
      </w:r>
      <w:r w:rsidR="00033E54" w:rsidRPr="009D0A4A">
        <w:rPr>
          <w:color w:val="auto"/>
        </w:rPr>
        <w:t xml:space="preserve">and provide air monitoring and health monitoring reports to regulators. </w:t>
      </w:r>
    </w:p>
    <w:p w14:paraId="4A6E50F7" w14:textId="54A29B70" w:rsidR="008A1D1F" w:rsidRPr="009D0A4A" w:rsidRDefault="008A1D1F" w:rsidP="003801F8">
      <w:pPr>
        <w:pStyle w:val="Heading2"/>
      </w:pPr>
      <w:bookmarkStart w:id="662" w:name="_Toc107395342"/>
      <w:r w:rsidRPr="009D0A4A">
        <w:lastRenderedPageBreak/>
        <w:t>Option 4</w:t>
      </w:r>
      <w:r w:rsidR="00D14CC1" w:rsidRPr="009D0A4A">
        <w:t>:</w:t>
      </w:r>
      <w:r w:rsidRPr="009D0A4A">
        <w:t xml:space="preserve"> Implementation of a national licensing framework for PCBUs working with engineered stone</w:t>
      </w:r>
      <w:bookmarkEnd w:id="662"/>
    </w:p>
    <w:p w14:paraId="052501F4" w14:textId="2B7A30BF" w:rsidR="008A1D1F" w:rsidRPr="009D0A4A" w:rsidRDefault="008A1D1F" w:rsidP="008A1D1F">
      <w:pPr>
        <w:pStyle w:val="BodyText"/>
      </w:pPr>
      <w:r w:rsidRPr="009D0A4A">
        <w:t xml:space="preserve">The regulatory requirements of Option 4 </w:t>
      </w:r>
      <w:r w:rsidR="003E5980" w:rsidRPr="009D0A4A">
        <w:t>may</w:t>
      </w:r>
      <w:r w:rsidRPr="009D0A4A">
        <w:t xml:space="preserve"> offer limited additional benefits compared with the </w:t>
      </w:r>
      <w:r w:rsidR="00E03F7B" w:rsidRPr="009D0A4A">
        <w:t>base case</w:t>
      </w:r>
      <w:r w:rsidR="003E5980" w:rsidRPr="009D0A4A">
        <w:t xml:space="preserve"> or Option 3</w:t>
      </w:r>
      <w:r w:rsidRPr="009D0A4A">
        <w:t xml:space="preserve">. Most of the </w:t>
      </w:r>
      <w:r w:rsidR="00557995" w:rsidRPr="009D0A4A">
        <w:t>intended outcomes for</w:t>
      </w:r>
      <w:r w:rsidRPr="009D0A4A">
        <w:t xml:space="preserve"> this option are addressed in </w:t>
      </w:r>
      <w:r w:rsidR="00EA4F59" w:rsidRPr="009D0A4A">
        <w:t xml:space="preserve">the </w:t>
      </w:r>
      <w:r w:rsidR="00E03F7B" w:rsidRPr="009D0A4A">
        <w:t>base case</w:t>
      </w:r>
      <w:r w:rsidR="00EA4F59" w:rsidRPr="009D0A4A">
        <w:t xml:space="preserve"> </w:t>
      </w:r>
      <w:r w:rsidRPr="009D0A4A">
        <w:t>and clarified further in Option 3. For instance:</w:t>
      </w:r>
    </w:p>
    <w:p w14:paraId="77C8A888" w14:textId="4FD352ED" w:rsidR="008A1D1F" w:rsidRPr="009D0A4A" w:rsidRDefault="008A1D1F"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proposed requirements for PCBUs to be licensed would enable data on the characteristics and locations of business to be retained by regulators to inform further compliance action. However, </w:t>
      </w:r>
      <w:r w:rsidR="00EF1614" w:rsidRPr="009D0A4A">
        <w:rPr>
          <w:rFonts w:asciiTheme="minorHAnsi" w:hAnsiTheme="minorHAnsi" w:cstheme="minorHAnsi"/>
          <w:sz w:val="20"/>
          <w:szCs w:val="20"/>
        </w:rPr>
        <w:t xml:space="preserve">WHS </w:t>
      </w:r>
      <w:r w:rsidRPr="009D0A4A">
        <w:rPr>
          <w:rFonts w:asciiTheme="minorHAnsi" w:hAnsiTheme="minorHAnsi" w:cstheme="minorHAnsi"/>
          <w:sz w:val="20"/>
          <w:szCs w:val="20"/>
        </w:rPr>
        <w:t>regulators are able</w:t>
      </w:r>
      <w:r w:rsidR="00EB17F4" w:rsidRPr="009D0A4A">
        <w:rPr>
          <w:rFonts w:asciiTheme="minorHAnsi" w:hAnsiTheme="minorHAnsi" w:cstheme="minorHAnsi"/>
          <w:sz w:val="20"/>
          <w:szCs w:val="20"/>
        </w:rPr>
        <w:t xml:space="preserve"> to</w:t>
      </w:r>
      <w:r w:rsidRPr="009D0A4A">
        <w:rPr>
          <w:rFonts w:asciiTheme="minorHAnsi" w:hAnsiTheme="minorHAnsi" w:cstheme="minorHAnsi"/>
          <w:sz w:val="20"/>
          <w:szCs w:val="20"/>
        </w:rPr>
        <w:t xml:space="preserve"> identify engineered stone workplaces through existing</w:t>
      </w:r>
      <w:r w:rsidR="003E5980" w:rsidRPr="009D0A4A">
        <w:rPr>
          <w:rFonts w:asciiTheme="minorHAnsi" w:hAnsiTheme="minorHAnsi" w:cstheme="minorHAnsi"/>
          <w:sz w:val="20"/>
          <w:szCs w:val="20"/>
        </w:rPr>
        <w:t xml:space="preserve"> regulatory</w:t>
      </w:r>
      <w:r w:rsidRPr="009D0A4A">
        <w:rPr>
          <w:rFonts w:asciiTheme="minorHAnsi" w:hAnsiTheme="minorHAnsi" w:cstheme="minorHAnsi"/>
          <w:sz w:val="20"/>
          <w:szCs w:val="20"/>
        </w:rPr>
        <w:t xml:space="preserve"> mechanisms</w:t>
      </w:r>
      <w:r w:rsidR="00EF1614" w:rsidRPr="009D0A4A">
        <w:rPr>
          <w:rFonts w:asciiTheme="minorHAnsi" w:hAnsiTheme="minorHAnsi" w:cstheme="minorHAnsi"/>
          <w:sz w:val="20"/>
          <w:szCs w:val="20"/>
        </w:rPr>
        <w:t xml:space="preserve"> </w:t>
      </w:r>
      <w:r w:rsidR="00EF1614" w:rsidRPr="009D0A4A">
        <w:rPr>
          <w:rFonts w:asciiTheme="minorHAnsi" w:hAnsiTheme="minorHAnsi" w:cstheme="minorHAnsi"/>
          <w:sz w:val="20"/>
          <w:szCs w:val="20"/>
        </w:rPr>
        <w:fldChar w:fldCharType="begin"/>
      </w:r>
      <w:r w:rsidR="004067E3">
        <w:rPr>
          <w:rFonts w:asciiTheme="minorHAnsi" w:hAnsiTheme="minorHAnsi" w:cstheme="minorHAnsi"/>
          <w:sz w:val="20"/>
          <w:szCs w:val="20"/>
        </w:rPr>
        <w:instrText xml:space="preserve"> ADDIN ZOTERO_ITEM CSL_CITATION {"citationID":"aDhTaAuY","properties":{"formattedCitation":"(NSW Legislative Council Standing Committee on Law and Justice 2022)","plainCitation":"(NSW Legislative Council Standing Committee on Law and Justice 2022)","noteIndex":0},"citationItems":[{"id":902,"uris":["http://zotero.org/users/6230888/items/W7BHQ3ZM"],"itemData":{"id":902,"type":"report","title":"2021 Review of the Dust Diseases Scheme","URL":"https://www.parliament.nsw.gov.au/lcdocs/inquiries/2833/Report%20No.%2080%20-%202021%20Review%20of%20the%20Dust%20Diseases%20Scheme.pdf","author":[{"literal":"NSW Legislative Council Standing Committee on Law and Justice"}],"accessed":{"date-parts":[["2022",6,30]]},"issued":{"date-parts":[["2022"]]}}}],"schema":"https://github.com/citation-style-language/schema/raw/master/csl-citation.json"} </w:instrText>
      </w:r>
      <w:r w:rsidR="00EF1614" w:rsidRPr="009D0A4A">
        <w:rPr>
          <w:rFonts w:asciiTheme="minorHAnsi" w:hAnsiTheme="minorHAnsi" w:cstheme="minorHAnsi"/>
          <w:sz w:val="20"/>
          <w:szCs w:val="20"/>
        </w:rPr>
        <w:fldChar w:fldCharType="separate"/>
      </w:r>
      <w:r w:rsidR="006B4A7D" w:rsidRPr="009D0A4A">
        <w:rPr>
          <w:rFonts w:asciiTheme="minorHAnsi" w:hAnsiTheme="minorHAnsi" w:cstheme="minorHAnsi"/>
          <w:sz w:val="20"/>
          <w:szCs w:val="20"/>
        </w:rPr>
        <w:t>(NSW Legislative Council Standing Committee on Law and Justice 2022)</w:t>
      </w:r>
      <w:r w:rsidR="00EF1614" w:rsidRPr="009D0A4A">
        <w:rPr>
          <w:rFonts w:asciiTheme="minorHAnsi" w:hAnsiTheme="minorHAnsi" w:cstheme="minorHAnsi"/>
          <w:sz w:val="20"/>
          <w:szCs w:val="20"/>
        </w:rPr>
        <w:fldChar w:fldCharType="end"/>
      </w:r>
    </w:p>
    <w:p w14:paraId="67F660C4" w14:textId="20953FAD" w:rsidR="008A1D1F" w:rsidRPr="009D0A4A" w:rsidRDefault="008A1D1F"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requirements for provision of training to workers engaged by licensees are similar to the current requirements of reg 39 in the model WHS regulations, which require a PCBU to ensure that information, training and instruction provided to a worker are suitable and adequate</w:t>
      </w:r>
    </w:p>
    <w:p w14:paraId="71EB26AD" w14:textId="58098189" w:rsidR="008A1D1F" w:rsidRPr="009D0A4A" w:rsidRDefault="008A1D1F"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requirements for PCBUs to implement specific </w:t>
      </w:r>
      <w:r w:rsidR="003801F8" w:rsidRPr="009D0A4A">
        <w:rPr>
          <w:rFonts w:asciiTheme="minorHAnsi" w:hAnsiTheme="minorHAnsi" w:cstheme="minorHAnsi"/>
          <w:sz w:val="20"/>
          <w:szCs w:val="20"/>
        </w:rPr>
        <w:t xml:space="preserve">engineering and RPE </w:t>
      </w:r>
      <w:r w:rsidRPr="009D0A4A">
        <w:rPr>
          <w:rFonts w:asciiTheme="minorHAnsi" w:hAnsiTheme="minorHAnsi" w:cstheme="minorHAnsi"/>
          <w:sz w:val="20"/>
          <w:szCs w:val="20"/>
        </w:rPr>
        <w:t>control</w:t>
      </w:r>
      <w:r w:rsidR="003801F8" w:rsidRPr="009D0A4A">
        <w:rPr>
          <w:rFonts w:asciiTheme="minorHAnsi" w:hAnsiTheme="minorHAnsi" w:cstheme="minorHAnsi"/>
          <w:sz w:val="20"/>
          <w:szCs w:val="20"/>
        </w:rPr>
        <w:t xml:space="preserve">s </w:t>
      </w:r>
      <w:r w:rsidRPr="009D0A4A">
        <w:rPr>
          <w:rFonts w:asciiTheme="minorHAnsi" w:hAnsiTheme="minorHAnsi" w:cstheme="minorHAnsi"/>
          <w:sz w:val="20"/>
          <w:szCs w:val="20"/>
        </w:rPr>
        <w:t xml:space="preserve">when using a power tool or mechanical plant </w:t>
      </w:r>
      <w:r w:rsidR="00EA0251" w:rsidRPr="009D0A4A">
        <w:rPr>
          <w:rFonts w:asciiTheme="minorHAnsi" w:hAnsiTheme="minorHAnsi" w:cstheme="minorHAnsi"/>
          <w:sz w:val="20"/>
          <w:szCs w:val="20"/>
        </w:rPr>
        <w:t xml:space="preserve">when </w:t>
      </w:r>
      <w:r w:rsidRPr="009D0A4A">
        <w:rPr>
          <w:rFonts w:asciiTheme="minorHAnsi" w:hAnsiTheme="minorHAnsi" w:cstheme="minorHAnsi"/>
          <w:sz w:val="20"/>
          <w:szCs w:val="20"/>
        </w:rPr>
        <w:t>process</w:t>
      </w:r>
      <w:r w:rsidR="00EA0251" w:rsidRPr="009D0A4A">
        <w:rPr>
          <w:rFonts w:asciiTheme="minorHAnsi" w:hAnsiTheme="minorHAnsi" w:cstheme="minorHAnsi"/>
          <w:sz w:val="20"/>
          <w:szCs w:val="20"/>
        </w:rPr>
        <w:t>ing</w:t>
      </w:r>
      <w:r w:rsidRPr="009D0A4A">
        <w:rPr>
          <w:rFonts w:asciiTheme="minorHAnsi" w:hAnsiTheme="minorHAnsi" w:cstheme="minorHAnsi"/>
          <w:sz w:val="20"/>
          <w:szCs w:val="20"/>
        </w:rPr>
        <w:t xml:space="preserve"> engineered stone are consistent with </w:t>
      </w:r>
      <w:r w:rsidR="00EA4F59" w:rsidRPr="009D0A4A">
        <w:rPr>
          <w:rFonts w:asciiTheme="minorHAnsi" w:hAnsiTheme="minorHAnsi" w:cstheme="minorHAnsi"/>
          <w:sz w:val="20"/>
          <w:szCs w:val="20"/>
        </w:rPr>
        <w:t xml:space="preserve">the </w:t>
      </w:r>
      <w:r w:rsidRPr="009D0A4A">
        <w:rPr>
          <w:rFonts w:asciiTheme="minorHAnsi" w:hAnsiTheme="minorHAnsi" w:cstheme="minorHAnsi"/>
          <w:sz w:val="20"/>
          <w:szCs w:val="20"/>
        </w:rPr>
        <w:t>amendments to the model WHS regulations to prohibit uncontrolled processing of engineered stone</w:t>
      </w:r>
      <w:r w:rsidR="003E5980" w:rsidRPr="009D0A4A">
        <w:rPr>
          <w:rFonts w:asciiTheme="minorHAnsi" w:hAnsiTheme="minorHAnsi" w:cstheme="minorHAnsi"/>
          <w:sz w:val="20"/>
          <w:szCs w:val="20"/>
        </w:rPr>
        <w:t xml:space="preserve"> that are under development (see Section </w:t>
      </w:r>
      <w:r w:rsidR="009F18B4" w:rsidRPr="009D0A4A">
        <w:rPr>
          <w:rFonts w:asciiTheme="minorHAnsi" w:hAnsiTheme="minorHAnsi" w:cstheme="minorHAnsi"/>
          <w:sz w:val="20"/>
          <w:szCs w:val="20"/>
        </w:rPr>
        <w:t>4.2</w:t>
      </w:r>
      <w:r w:rsidR="003E5980" w:rsidRPr="009D0A4A">
        <w:rPr>
          <w:rFonts w:asciiTheme="minorHAnsi" w:hAnsiTheme="minorHAnsi" w:cstheme="minorHAnsi"/>
          <w:sz w:val="20"/>
          <w:szCs w:val="20"/>
        </w:rPr>
        <w:t xml:space="preserve">), and </w:t>
      </w:r>
    </w:p>
    <w:p w14:paraId="6537B521" w14:textId="6D8B191C" w:rsidR="008A1D1F" w:rsidRPr="009D0A4A" w:rsidRDefault="008A1D1F"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the proposed prohibition on the use of compressed air for cleaning is included in the model Code of Practice: managing the risks of respirable crystalline silica from engineered stone in the workplace</w:t>
      </w:r>
      <w:r w:rsidR="001F17CB" w:rsidRPr="009D0A4A">
        <w:rPr>
          <w:rFonts w:asciiTheme="minorHAnsi" w:hAnsiTheme="minorHAnsi" w:cstheme="minorHAnsi"/>
          <w:sz w:val="20"/>
          <w:szCs w:val="20"/>
        </w:rPr>
        <w:t xml:space="preserve"> </w:t>
      </w:r>
      <w:r w:rsidR="001F17CB" w:rsidRPr="009D0A4A">
        <w:rPr>
          <w:rFonts w:asciiTheme="minorHAnsi" w:hAnsiTheme="minorHAnsi" w:cstheme="minorHAnsi"/>
          <w:sz w:val="20"/>
          <w:szCs w:val="20"/>
        </w:rPr>
        <w:fldChar w:fldCharType="begin"/>
      </w:r>
      <w:r w:rsidR="004067E3">
        <w:rPr>
          <w:rFonts w:asciiTheme="minorHAnsi" w:hAnsiTheme="minorHAnsi" w:cstheme="minorHAnsi"/>
          <w:sz w:val="20"/>
          <w:szCs w:val="20"/>
        </w:rPr>
        <w:instrText xml:space="preserve"> ADDIN ZOTERO_ITEM CSL_CITATION {"citationID":"buhPKAsE","properties":{"formattedCitation":"(Safe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001F17CB" w:rsidRPr="009D0A4A">
        <w:rPr>
          <w:rFonts w:asciiTheme="minorHAnsi" w:hAnsiTheme="minorHAnsi" w:cstheme="minorHAnsi"/>
          <w:sz w:val="20"/>
          <w:szCs w:val="20"/>
        </w:rPr>
        <w:fldChar w:fldCharType="separate"/>
      </w:r>
      <w:r w:rsidR="006B4A7D" w:rsidRPr="009D0A4A">
        <w:rPr>
          <w:rFonts w:asciiTheme="minorHAnsi" w:hAnsiTheme="minorHAnsi" w:cstheme="minorHAnsi"/>
          <w:sz w:val="20"/>
          <w:szCs w:val="20"/>
        </w:rPr>
        <w:t>(Safe Work Australia 2021a)</w:t>
      </w:r>
      <w:r w:rsidR="001F17CB" w:rsidRPr="009D0A4A">
        <w:rPr>
          <w:rFonts w:asciiTheme="minorHAnsi" w:hAnsiTheme="minorHAnsi" w:cstheme="minorHAnsi"/>
          <w:sz w:val="20"/>
          <w:szCs w:val="20"/>
        </w:rPr>
        <w:fldChar w:fldCharType="end"/>
      </w:r>
      <w:r w:rsidRPr="009D0A4A">
        <w:rPr>
          <w:rFonts w:asciiTheme="minorHAnsi" w:hAnsiTheme="minorHAnsi" w:cstheme="minorHAnsi"/>
          <w:sz w:val="20"/>
          <w:szCs w:val="20"/>
        </w:rPr>
        <w:t>.</w:t>
      </w:r>
    </w:p>
    <w:p w14:paraId="252C9D9D" w14:textId="475AE888" w:rsidR="008A1D1F" w:rsidRPr="009D0A4A" w:rsidRDefault="008A1D1F" w:rsidP="008A1D1F">
      <w:pPr>
        <w:pStyle w:val="BodyText"/>
        <w:jc w:val="both"/>
      </w:pPr>
      <w:r w:rsidRPr="009D0A4A">
        <w:t xml:space="preserve">Additional requirements of Option 4 involve reporting of all health monitoring and air monitoring data to regulators within 30 days of receiving a report, requiring licensees to </w:t>
      </w:r>
      <w:r w:rsidR="00753B23" w:rsidRPr="009D0A4A">
        <w:t>undertake a risk assessment</w:t>
      </w:r>
      <w:r w:rsidR="00FC4908" w:rsidRPr="009D0A4A">
        <w:t>,</w:t>
      </w:r>
      <w:r w:rsidR="00753B23" w:rsidRPr="009D0A4A">
        <w:t xml:space="preserve"> and </w:t>
      </w:r>
      <w:r w:rsidRPr="009D0A4A">
        <w:t xml:space="preserve">develop and implement an engineered stone control plan. </w:t>
      </w:r>
      <w:r w:rsidR="00753B23" w:rsidRPr="009D0A4A">
        <w:t xml:space="preserve">The reports </w:t>
      </w:r>
      <w:r w:rsidR="003E5980" w:rsidRPr="009D0A4A">
        <w:t xml:space="preserve">would provide WHS regulators with greater visibility of the number and proportion of PCBUs </w:t>
      </w:r>
      <w:r w:rsidR="00743D81" w:rsidRPr="009D0A4A">
        <w:t xml:space="preserve">working with engineered stone who are </w:t>
      </w:r>
      <w:r w:rsidR="003E5980" w:rsidRPr="009D0A4A">
        <w:t xml:space="preserve">undertaking air and health monitoring programs. </w:t>
      </w:r>
    </w:p>
    <w:p w14:paraId="5A8CCFA9" w14:textId="7539BD10" w:rsidR="00EA4F59" w:rsidRPr="009D0A4A" w:rsidRDefault="008A1D1F" w:rsidP="008A1D1F">
      <w:pPr>
        <w:pStyle w:val="BodyText"/>
      </w:pPr>
      <w:r w:rsidRPr="009D0A4A">
        <w:t xml:space="preserve">Currently, a PCBU working with engineered stone must ensure that air monitoring is carried out to determine the airborne concentration of </w:t>
      </w:r>
      <w:r w:rsidR="00FF2409" w:rsidRPr="009D0A4A">
        <w:t>RCS</w:t>
      </w:r>
      <w:r w:rsidRPr="009D0A4A">
        <w:t xml:space="preserve"> in a worker’s breathing zone, if necessary, to determine whether there is a risk to a worker’s health, or if the PCBU is not certain whether </w:t>
      </w:r>
      <w:r w:rsidR="00FD738B" w:rsidRPr="009D0A4A">
        <w:t>RCS</w:t>
      </w:r>
      <w:r w:rsidRPr="009D0A4A">
        <w:t xml:space="preserve"> levels exceed the WES. </w:t>
      </w:r>
    </w:p>
    <w:p w14:paraId="3BA755B8" w14:textId="2829464B" w:rsidR="008A1D1F" w:rsidRPr="009D0A4A" w:rsidRDefault="008A1D1F" w:rsidP="00C2132A">
      <w:pPr>
        <w:pStyle w:val="BodyText"/>
      </w:pPr>
      <w:r w:rsidRPr="009D0A4A">
        <w:t xml:space="preserve">Although there is currently no explicit requirement for results of air monitoring data to be provided to regulators, Safe Work Australia is currently investigating if reporting of exceedances of the WES for some or all airborne contaminants could be mandatory under the dangerous incident provisions of the model WHS Act (see Section </w:t>
      </w:r>
      <w:r w:rsidR="009F18B4" w:rsidRPr="009D0A4A">
        <w:t>1.4.3</w:t>
      </w:r>
      <w:r w:rsidRPr="009D0A4A">
        <w:t xml:space="preserve">). </w:t>
      </w:r>
      <w:r w:rsidR="00EA4F59" w:rsidRPr="009D0A4A">
        <w:t xml:space="preserve">If this </w:t>
      </w:r>
      <w:r w:rsidR="00743D81" w:rsidRPr="009D0A4A">
        <w:t xml:space="preserve">work </w:t>
      </w:r>
      <w:r w:rsidR="00EA4F59" w:rsidRPr="009D0A4A">
        <w:t xml:space="preserve">was to proceed, it would be part of a separate regulatory impact analysis process. </w:t>
      </w:r>
    </w:p>
    <w:p w14:paraId="1D904AD7" w14:textId="63EBEE02" w:rsidR="008A1D1F" w:rsidRPr="009D0A4A" w:rsidRDefault="008A1D1F" w:rsidP="008A1D1F">
      <w:pPr>
        <w:pStyle w:val="BodyText"/>
        <w:jc w:val="both"/>
      </w:pPr>
      <w:r w:rsidRPr="009D0A4A">
        <w:t xml:space="preserve">Under the model Code of Practice: managing the risks of respirable crystalline silica from engineered stone in the workplace, a PCBU working with engineered stone must organise and pay for health monitoring for all workers involved in fabrication and installation. The model WHS laws currently require that a PCBU disclose the results of health monitoring to the regulator as soon as practicable after obtaining the report if it contains advice that test results indicate that the worker may have contracted a disease (such as silicosis). </w:t>
      </w:r>
    </w:p>
    <w:p w14:paraId="4393C929" w14:textId="30E01F2A" w:rsidR="008A1D1F" w:rsidRPr="009D0A4A" w:rsidRDefault="008A1D1F" w:rsidP="008A1D1F">
      <w:pPr>
        <w:pStyle w:val="BodyText"/>
        <w:jc w:val="both"/>
      </w:pPr>
      <w:r w:rsidRPr="009D0A4A">
        <w:t>Licensees would also be required to develop and implement an engineered stone</w:t>
      </w:r>
      <w:r w:rsidR="00054E1D" w:rsidRPr="009D0A4A">
        <w:t xml:space="preserve"> </w:t>
      </w:r>
      <w:r w:rsidRPr="009D0A4A">
        <w:t>control plan which would include equivalent requirements to a SWMS. As noted previously, the model WHS laws already require a SWMS to be developed and implemented where processing of engineered stone is considered construction work (</w:t>
      </w:r>
      <w:r w:rsidR="004E3629" w:rsidRPr="009D0A4A">
        <w:t>e.g.,</w:t>
      </w:r>
      <w:r w:rsidRPr="009D0A4A">
        <w:t xml:space="preserve"> installation of benchtops). However, this requirement would require PCBUs involved in </w:t>
      </w:r>
      <w:r w:rsidR="004E3629" w:rsidRPr="009D0A4A">
        <w:t>off-site</w:t>
      </w:r>
      <w:r w:rsidRPr="009D0A4A">
        <w:t xml:space="preserve"> manufacture and fabrication of engineered stone components to develop and implement an engineered stone control plan, as this is not covered under the definition of high risk construction work. </w:t>
      </w:r>
    </w:p>
    <w:p w14:paraId="1799066F" w14:textId="45D8A9BC" w:rsidR="008A1D1F" w:rsidRPr="009D0A4A" w:rsidRDefault="008A1D1F" w:rsidP="008A1D1F">
      <w:pPr>
        <w:pStyle w:val="BodyText"/>
        <w:jc w:val="both"/>
      </w:pPr>
      <w:r w:rsidRPr="009D0A4A">
        <w:t xml:space="preserve">Additionally, Option 4 is likely to have competition effects on the market. OBPR advises that for options that are likely to restrict competition, the benefits must outweigh the costs and that there </w:t>
      </w:r>
      <w:r w:rsidR="00EF1614" w:rsidRPr="009D0A4A">
        <w:t>should</w:t>
      </w:r>
      <w:r w:rsidRPr="009D0A4A">
        <w:t xml:space="preserve"> be no alternative option to achieve the same objective</w:t>
      </w:r>
      <w:r w:rsidR="00EF1614" w:rsidRPr="009D0A4A">
        <w:t xml:space="preserve"> </w:t>
      </w:r>
      <w:r w:rsidR="00EF1614" w:rsidRPr="009D0A4A">
        <w:fldChar w:fldCharType="begin"/>
      </w:r>
      <w:r w:rsidR="004067E3">
        <w:instrText xml:space="preserve"> ADDIN ZOTERO_ITEM CSL_CITATION {"citationID":"fP1YVf1n","properties":{"formattedCitation":"(Department of Prime Minister and Cabinet 2020)","plainCitation":"(Department of Prime Minister and Cabinet 2020)","noteIndex":0},"citationItems":[{"id":903,"uris":["http://zotero.org/users/6230888/items/L6FRBNBI"],"itemData":{"id":903,"type":"report","page":"9","title":"Competition and Regulation Guidance Note","URL":"https://obpr.pmc.gov.au/sites/default/files/2021-06/competition-and-regulation.pdf","author":[{"literal":"Department of Prime Minister and Cabinet"}],"accessed":{"date-parts":[["2022",6,30]]},"issued":{"date-parts":[["2020"]]}}}],"schema":"https://github.com/citation-style-language/schema/raw/master/csl-citation.json"} </w:instrText>
      </w:r>
      <w:r w:rsidR="00EF1614" w:rsidRPr="009D0A4A">
        <w:fldChar w:fldCharType="separate"/>
      </w:r>
      <w:r w:rsidR="006B4A7D" w:rsidRPr="009D0A4A">
        <w:rPr>
          <w:rFonts w:ascii="Calibri" w:hAnsi="Calibri" w:cs="Calibri"/>
        </w:rPr>
        <w:t>(Department of Prime Minister and Cabinet 2020)</w:t>
      </w:r>
      <w:r w:rsidR="00EF1614" w:rsidRPr="009D0A4A">
        <w:fldChar w:fldCharType="end"/>
      </w:r>
      <w:r w:rsidRPr="009D0A4A">
        <w:t xml:space="preserve">. </w:t>
      </w:r>
      <w:r w:rsidR="003801F8" w:rsidRPr="009D0A4A">
        <w:t xml:space="preserve">Implementing a fixed licensing fee </w:t>
      </w:r>
      <w:r w:rsidRPr="009D0A4A">
        <w:t xml:space="preserve">would be expected to have </w:t>
      </w:r>
      <w:r w:rsidRPr="009D0A4A">
        <w:lastRenderedPageBreak/>
        <w:t>disproportionate effects on micro- and small-businesses</w:t>
      </w:r>
      <w:r w:rsidR="003801F8" w:rsidRPr="009D0A4A">
        <w:t xml:space="preserve"> with lower revenue compare with larger businesses. This is important because</w:t>
      </w:r>
      <w:r w:rsidRPr="009D0A4A">
        <w:t xml:space="preserve"> 44</w:t>
      </w:r>
      <w:r w:rsidR="007C4FA8" w:rsidRPr="009D0A4A">
        <w:t xml:space="preserve"> per cent</w:t>
      </w:r>
      <w:r w:rsidRPr="009D0A4A">
        <w:t xml:space="preserve"> of stonemasonry businesses are sole traders, and a further 24</w:t>
      </w:r>
      <w:r w:rsidR="007C4FA8" w:rsidRPr="009D0A4A">
        <w:t xml:space="preserve"> per cent</w:t>
      </w:r>
      <w:r w:rsidRPr="009D0A4A">
        <w:t xml:space="preserve"> have between 1 and 5 staff</w:t>
      </w:r>
      <w:r w:rsidR="00EF1614" w:rsidRPr="009D0A4A">
        <w:rPr>
          <w:rStyle w:val="FootnoteReference"/>
        </w:rPr>
        <w:t xml:space="preserve"> </w:t>
      </w:r>
      <w:r w:rsidR="00EF1614" w:rsidRPr="009D0A4A">
        <w:fldChar w:fldCharType="begin"/>
      </w:r>
      <w:r w:rsidR="004067E3">
        <w:instrText xml:space="preserve"> ADDIN ZOTERO_ITEM CSL_CITATION {"citationID":"bU0MK5iQ","properties":{"formattedCitation":"(Quantum Market Research 2021)","plainCitation":"(Quantum Market Research 2021)","noteIndex":0},"citationItems":[{"id":877,"uris":["http://zotero.org/users/6230888/items/DFNH6KWI"],"itemData":{"id":877,"type":"article-journal","language":"en","page":"92","source":"Zotero","title":"Dust Disease Research Update","author":[{"literal":"Quantum Market Research"}],"issued":{"date-parts":[["2021"]]}}}],"schema":"https://github.com/citation-style-language/schema/raw/master/csl-citation.json"} </w:instrText>
      </w:r>
      <w:r w:rsidR="00EF1614" w:rsidRPr="009D0A4A">
        <w:fldChar w:fldCharType="separate"/>
      </w:r>
      <w:r w:rsidR="006B4A7D" w:rsidRPr="009D0A4A">
        <w:rPr>
          <w:rFonts w:ascii="Calibri" w:hAnsi="Calibri" w:cs="Calibri"/>
        </w:rPr>
        <w:t>(Quantum Market Research 2021)</w:t>
      </w:r>
      <w:r w:rsidR="00EF1614" w:rsidRPr="009D0A4A">
        <w:fldChar w:fldCharType="end"/>
      </w:r>
      <w:r w:rsidRPr="009D0A4A">
        <w:t>.</w:t>
      </w:r>
    </w:p>
    <w:p w14:paraId="64989050" w14:textId="02B2FF78" w:rsidR="008A1D1F" w:rsidRPr="009D0A4A" w:rsidRDefault="003E5980" w:rsidP="008A1D1F">
      <w:pPr>
        <w:pStyle w:val="BodyText"/>
        <w:jc w:val="both"/>
      </w:pPr>
      <w:r w:rsidRPr="009D0A4A">
        <w:t>Option 4 is expected to pose a moderate cost option to governments and industry, costing $</w:t>
      </w:r>
      <w:r w:rsidR="00922B16" w:rsidRPr="009D0A4A">
        <w:t>24.02</w:t>
      </w:r>
      <w:r w:rsidR="0092132F" w:rsidRPr="009D0A4A">
        <w:t xml:space="preserve"> </w:t>
      </w:r>
      <w:r w:rsidRPr="009D0A4A">
        <w:t xml:space="preserve">million over a </w:t>
      </w:r>
      <w:r w:rsidR="004E3629" w:rsidRPr="009D0A4A">
        <w:t>10-year</w:t>
      </w:r>
      <w:r w:rsidRPr="009D0A4A">
        <w:t xml:space="preserve"> period. To breakeven from an economic perspective, it is estimated that </w:t>
      </w:r>
      <w:r w:rsidR="006D377C" w:rsidRPr="009D0A4A">
        <w:t>about 6</w:t>
      </w:r>
      <w:r w:rsidRPr="009D0A4A">
        <w:t xml:space="preserve"> additional cases of silicosis would need to be prevented over a </w:t>
      </w:r>
      <w:r w:rsidR="004E3629" w:rsidRPr="009D0A4A">
        <w:t>10-year</w:t>
      </w:r>
      <w:r w:rsidRPr="009D0A4A">
        <w:t xml:space="preserve"> period. </w:t>
      </w:r>
    </w:p>
    <w:p w14:paraId="4BE52B8C" w14:textId="04A17B73" w:rsidR="008A1D1F" w:rsidRPr="009D0A4A" w:rsidRDefault="008A1D1F" w:rsidP="003801F8">
      <w:pPr>
        <w:pStyle w:val="Heading2"/>
      </w:pPr>
      <w:bookmarkStart w:id="663" w:name="_Toc107395343"/>
      <w:r w:rsidRPr="009D0A4A">
        <w:t>Options 5a and 5b</w:t>
      </w:r>
      <w:r w:rsidR="00D14CC1" w:rsidRPr="009D0A4A">
        <w:t>:</w:t>
      </w:r>
      <w:r w:rsidRPr="009D0A4A">
        <w:t xml:space="preserve"> Additional regulation of high risk crystalline silica processes</w:t>
      </w:r>
      <w:bookmarkEnd w:id="663"/>
    </w:p>
    <w:p w14:paraId="31C47593" w14:textId="77777777" w:rsidR="008A1D1F" w:rsidRPr="009D0A4A" w:rsidRDefault="008A1D1F" w:rsidP="008A1D1F">
      <w:pPr>
        <w:pStyle w:val="BodyText"/>
      </w:pPr>
      <w:r w:rsidRPr="009D0A4A">
        <w:t>Additional regulations included in Option 5 would require PCBUs undertaking high risk crystalline silica processes to:</w:t>
      </w:r>
    </w:p>
    <w:p w14:paraId="58DF4877" w14:textId="77777777" w:rsidR="008A1D1F" w:rsidRPr="009D0A4A" w:rsidRDefault="008A1D1F"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undertake a risk assessment and develop and implement a silica risk control plan, unless a SWMS is already required</w:t>
      </w:r>
    </w:p>
    <w:p w14:paraId="08EBE2B0" w14:textId="77777777" w:rsidR="008A1D1F" w:rsidRPr="009D0A4A" w:rsidRDefault="008A1D1F"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 xml:space="preserve">provide all results of health monitoring to the WHS regulator within 30 days of receiving reports. </w:t>
      </w:r>
    </w:p>
    <w:p w14:paraId="5C642B2A" w14:textId="77777777" w:rsidR="008A1D1F" w:rsidRPr="009D0A4A" w:rsidRDefault="008A1D1F"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provide all results of air monitoring to the WHS regulator within 30 days of receiving reports.</w:t>
      </w:r>
    </w:p>
    <w:p w14:paraId="4C340AAE" w14:textId="55118AAF" w:rsidR="00072651" w:rsidRPr="009D0A4A" w:rsidRDefault="008A1D1F" w:rsidP="00072651">
      <w:pPr>
        <w:pStyle w:val="BodyText"/>
      </w:pPr>
      <w:r w:rsidRPr="009D0A4A">
        <w:t xml:space="preserve">These options are expected to incur large costs due to additional administration </w:t>
      </w:r>
      <w:r w:rsidR="009D4520" w:rsidRPr="009D0A4A">
        <w:t xml:space="preserve">costs </w:t>
      </w:r>
      <w:r w:rsidR="00E411A1" w:rsidRPr="009D0A4A">
        <w:t>for</w:t>
      </w:r>
      <w:r w:rsidR="00072651" w:rsidRPr="009D0A4A">
        <w:t xml:space="preserve"> industry</w:t>
      </w:r>
      <w:r w:rsidR="009D4520" w:rsidRPr="009D0A4A">
        <w:t xml:space="preserve">. </w:t>
      </w:r>
      <w:r w:rsidR="00072651" w:rsidRPr="009D0A4A">
        <w:t>Although the cost to individual businesses to undertake a risk assessment, develop a silica risk control plan, and provide health monitoring and air monitoring reporting to WHS regulators</w:t>
      </w:r>
      <w:r w:rsidR="00EB17F4" w:rsidRPr="009D0A4A">
        <w:t xml:space="preserve"> may be low for individual PCBUs</w:t>
      </w:r>
      <w:r w:rsidR="00072651" w:rsidRPr="009D0A4A">
        <w:t>, the overall cost</w:t>
      </w:r>
      <w:r w:rsidR="00980BCD" w:rsidRPr="009D0A4A">
        <w:t xml:space="preserve"> of this option is </w:t>
      </w:r>
      <w:r w:rsidR="00A96104" w:rsidRPr="009D0A4A">
        <w:t xml:space="preserve">due to </w:t>
      </w:r>
      <w:r w:rsidR="00072651" w:rsidRPr="009D0A4A">
        <w:t>the large number of businesses and industries that would be covered by the regulations.</w:t>
      </w:r>
    </w:p>
    <w:p w14:paraId="6B098896" w14:textId="30027103" w:rsidR="008A1D1F" w:rsidRPr="009D0A4A" w:rsidRDefault="008A1D1F" w:rsidP="008A1D1F">
      <w:pPr>
        <w:pStyle w:val="BodyText"/>
      </w:pPr>
      <w:r w:rsidRPr="009D0A4A">
        <w:t xml:space="preserve">As stated above, </w:t>
      </w:r>
      <w:r w:rsidR="00072651" w:rsidRPr="009D0A4A">
        <w:t xml:space="preserve">currently </w:t>
      </w:r>
      <w:r w:rsidRPr="009D0A4A">
        <w:t xml:space="preserve">PCBUs must currently organise and pay for health monitoring for all workers exposed to crystalline silica where there is a risk to workers’ health. PCBUs must disclose the results of health monitoring to the regulator as soon as practicable after obtaining the report if it contains advice that the worker may have contracted a disease (such as silicosis). </w:t>
      </w:r>
    </w:p>
    <w:p w14:paraId="67C9CB2A" w14:textId="34298DB7" w:rsidR="008A1D1F" w:rsidRPr="009D0A4A" w:rsidRDefault="008A1D1F" w:rsidP="008A1D1F">
      <w:pPr>
        <w:pStyle w:val="BodyText"/>
      </w:pPr>
      <w:r w:rsidRPr="009D0A4A">
        <w:t>Options 5a and 5b include an additional requirement for all results of air and health monitoring to be provided to the regulator within 30 days of a report being received. Again, when multiplied across the number of businesses, industries and the ten-year projected timeframe considered, the cost accumulates. Provision of air and health monitoring data also would be expected to incur a cost to government in processing</w:t>
      </w:r>
      <w:r w:rsidR="00F34357" w:rsidRPr="009D0A4A">
        <w:t xml:space="preserve"> reports and </w:t>
      </w:r>
      <w:r w:rsidRPr="009D0A4A">
        <w:t xml:space="preserve">analysing the data. </w:t>
      </w:r>
      <w:r w:rsidR="00EA4F59" w:rsidRPr="009D0A4A">
        <w:t>While this would be</w:t>
      </w:r>
      <w:r w:rsidRPr="009D0A4A">
        <w:t xml:space="preserve"> a relatively small task per each report</w:t>
      </w:r>
      <w:r w:rsidR="00EA4F59" w:rsidRPr="009D0A4A">
        <w:t>, due to the large number of reports t</w:t>
      </w:r>
      <w:r w:rsidRPr="009D0A4A">
        <w:t>his may lead to a significant workload and additional cost for regulators.</w:t>
      </w:r>
    </w:p>
    <w:p w14:paraId="43840105" w14:textId="3E73BF34" w:rsidR="008A1D1F" w:rsidRPr="009D0A4A" w:rsidRDefault="003E5980" w:rsidP="008A1D1F">
      <w:pPr>
        <w:pStyle w:val="BodyText"/>
      </w:pPr>
      <w:r w:rsidRPr="009D0A4A">
        <w:t xml:space="preserve">Options 5a and 5b would have a high cost </w:t>
      </w:r>
      <w:r w:rsidR="001E64D5" w:rsidRPr="009D0A4A">
        <w:t>for governments and industry ($195.</w:t>
      </w:r>
      <w:r w:rsidR="00E33638" w:rsidRPr="009D0A4A">
        <w:t>3</w:t>
      </w:r>
      <w:r w:rsidR="00A40D04" w:rsidRPr="009D0A4A">
        <w:t xml:space="preserve">5 </w:t>
      </w:r>
      <w:r w:rsidR="001E64D5" w:rsidRPr="009D0A4A">
        <w:t>million and $192.</w:t>
      </w:r>
      <w:r w:rsidR="00A40D04" w:rsidRPr="009D0A4A">
        <w:t>70</w:t>
      </w:r>
      <w:r w:rsidR="00E33638" w:rsidRPr="009D0A4A">
        <w:t xml:space="preserve"> </w:t>
      </w:r>
      <w:r w:rsidR="001E64D5" w:rsidRPr="009D0A4A">
        <w:t xml:space="preserve">million over a </w:t>
      </w:r>
      <w:r w:rsidR="004E3629" w:rsidRPr="009D0A4A">
        <w:t>10-year</w:t>
      </w:r>
      <w:r w:rsidR="001E64D5" w:rsidRPr="009D0A4A">
        <w:t xml:space="preserve"> period, respectively). To breakeven, </w:t>
      </w:r>
      <w:r w:rsidR="00C80CF8" w:rsidRPr="009D0A4A">
        <w:t>around 48</w:t>
      </w:r>
      <w:r w:rsidR="001E64D5" w:rsidRPr="009D0A4A">
        <w:t xml:space="preserve"> cases of silicosis would need to be prevented over this period. To put this figure into context, this represents </w:t>
      </w:r>
      <w:r w:rsidR="004D10AC" w:rsidRPr="009D0A4A">
        <w:t xml:space="preserve">around </w:t>
      </w:r>
      <w:r w:rsidR="0030750F" w:rsidRPr="009D0A4A">
        <w:t>1</w:t>
      </w:r>
      <w:r w:rsidR="001B4226" w:rsidRPr="009D0A4A">
        <w:t>1</w:t>
      </w:r>
      <w:r w:rsidR="001E64D5" w:rsidRPr="009D0A4A">
        <w:t xml:space="preserve"> per cent of the total number of accepted workers’ compensation cases </w:t>
      </w:r>
      <w:r w:rsidR="00951981" w:rsidRPr="009D0A4A">
        <w:t xml:space="preserve">for silicosis </w:t>
      </w:r>
      <w:r w:rsidR="001E64D5" w:rsidRPr="009D0A4A">
        <w:t xml:space="preserve">in Australia </w:t>
      </w:r>
      <w:r w:rsidR="004D10AC" w:rsidRPr="009D0A4A">
        <w:t xml:space="preserve">(excluding Victoria) </w:t>
      </w:r>
      <w:r w:rsidR="00F34357" w:rsidRPr="009D0A4A">
        <w:t>over the 10 year period</w:t>
      </w:r>
      <w:r w:rsidR="00FC4908" w:rsidRPr="009D0A4A">
        <w:t xml:space="preserve"> from</w:t>
      </w:r>
      <w:r w:rsidR="00F34357" w:rsidRPr="009D0A4A">
        <w:t xml:space="preserve"> </w:t>
      </w:r>
      <w:r w:rsidR="001E64D5" w:rsidRPr="009D0A4A">
        <w:t xml:space="preserve">2010-11 to 2019-20. </w:t>
      </w:r>
    </w:p>
    <w:p w14:paraId="5DD9BDEA" w14:textId="0C219554" w:rsidR="00275643" w:rsidRPr="009D0A4A" w:rsidRDefault="00275643" w:rsidP="003801F8">
      <w:pPr>
        <w:pStyle w:val="Heading2"/>
      </w:pPr>
      <w:bookmarkStart w:id="664" w:name="_Toc107395344"/>
      <w:r w:rsidRPr="009D0A4A">
        <w:t>Combinations of options</w:t>
      </w:r>
      <w:bookmarkEnd w:id="664"/>
    </w:p>
    <w:p w14:paraId="12DD37C1" w14:textId="75144B9C" w:rsidR="00275643" w:rsidRPr="009D0A4A" w:rsidRDefault="00275643" w:rsidP="00275643">
      <w:pPr>
        <w:pStyle w:val="BodyText"/>
        <w:jc w:val="both"/>
      </w:pPr>
      <w:r w:rsidRPr="009D0A4A">
        <w:t xml:space="preserve">As discussed in Section </w:t>
      </w:r>
      <w:r w:rsidR="009F18B4" w:rsidRPr="009D0A4A">
        <w:t>6.4.7</w:t>
      </w:r>
      <w:r w:rsidRPr="009D0A4A">
        <w:t xml:space="preserve">, although the costs of different options would be expected to be </w:t>
      </w:r>
      <w:r w:rsidR="00951981" w:rsidRPr="009D0A4A">
        <w:t>cumulative</w:t>
      </w:r>
      <w:r w:rsidRPr="009D0A4A">
        <w:t xml:space="preserve">, there may be additional benefits in implementing combinations of options. For instance, if the awareness and behaviour change initiatives </w:t>
      </w:r>
      <w:r w:rsidR="00951981" w:rsidRPr="009D0A4A">
        <w:t>were</w:t>
      </w:r>
      <w:r w:rsidRPr="009D0A4A">
        <w:t xml:space="preserve"> combined with one </w:t>
      </w:r>
      <w:r w:rsidR="00800242" w:rsidRPr="009D0A4A">
        <w:t>of</w:t>
      </w:r>
      <w:r w:rsidRPr="009D0A4A">
        <w:t xml:space="preserve"> the regulatory options, there would be benefits in awareness raising through clarifying or modifying the requirements of the model WHS laws together with implementing tailored behaviour change initiatives in the relevant industries. </w:t>
      </w:r>
      <w:r w:rsidR="00072651" w:rsidRPr="009D0A4A">
        <w:t>For example, a</w:t>
      </w:r>
      <w:r w:rsidRPr="009D0A4A">
        <w:t xml:space="preserve"> national licensing framework for PCBUS working with engineered stone (Option 4) when combined with further </w:t>
      </w:r>
      <w:r w:rsidR="00072651" w:rsidRPr="009D0A4A">
        <w:t>awareness and behaviour change initiatives (Option 2) would be expected to have a greater effect on compliance than either option alone</w:t>
      </w:r>
      <w:r w:rsidRPr="009D0A4A">
        <w:t xml:space="preserve">.  </w:t>
      </w:r>
    </w:p>
    <w:p w14:paraId="336B9368" w14:textId="3EB73253" w:rsidR="000F50FE" w:rsidRPr="009D0A4A" w:rsidRDefault="000F50FE" w:rsidP="003801F8">
      <w:pPr>
        <w:pStyle w:val="Heading2"/>
      </w:pPr>
      <w:bookmarkStart w:id="665" w:name="_Toc107395345"/>
      <w:r w:rsidRPr="009D0A4A">
        <w:lastRenderedPageBreak/>
        <w:t>Consultation questions</w:t>
      </w:r>
      <w:bookmarkEnd w:id="665"/>
    </w:p>
    <w:p w14:paraId="4C9A653F" w14:textId="491C55CD" w:rsidR="00721636" w:rsidRPr="009D0A4A" w:rsidRDefault="00721636" w:rsidP="008A1D1F">
      <w:r w:rsidRPr="009D0A4A">
        <w:t>Safe Work Australia is seeking feedback on the following consultation questions related to the regulatory and non-regulatory options presented:</w:t>
      </w:r>
    </w:p>
    <w:p w14:paraId="5A2AFFC5" w14:textId="22B8D1A8" w:rsidR="00721636" w:rsidRPr="009D0A4A" w:rsidRDefault="00721636" w:rsidP="00721636">
      <w:r w:rsidRPr="009D0A4A">
        <w:t xml:space="preserve">7.1 Which option or combination of the options presented is most likely to address the identified </w:t>
      </w:r>
      <w:r w:rsidR="002F1017" w:rsidRPr="009D0A4A">
        <w:t>problem</w:t>
      </w:r>
      <w:r w:rsidRPr="009D0A4A">
        <w:t>? </w:t>
      </w:r>
      <w:r w:rsidR="007A241C" w:rsidRPr="007A241C">
        <w:t>Please provide evidence to support your position.</w:t>
      </w:r>
    </w:p>
    <w:p w14:paraId="3EA31942" w14:textId="1B216191" w:rsidR="00721636" w:rsidRPr="009D0A4A" w:rsidRDefault="00721636" w:rsidP="00721636">
      <w:r w:rsidRPr="009D0A4A">
        <w:t>7.2 Are there any significant barriers to implementation of the options presented? What are those barriers? Is there a cost associated with them? How could they be overcome? </w:t>
      </w:r>
    </w:p>
    <w:p w14:paraId="46628A6C" w14:textId="3FEB9AB2" w:rsidR="008A1D1F" w:rsidRPr="009D0A4A" w:rsidRDefault="008A1D1F" w:rsidP="008A1D1F">
      <w:r w:rsidRPr="009D0A4A">
        <w:br w:type="page"/>
      </w:r>
    </w:p>
    <w:p w14:paraId="4D651BA3" w14:textId="34C34F73" w:rsidR="008A1D1F" w:rsidRPr="009D0A4A" w:rsidRDefault="008A1D1F" w:rsidP="00041D73">
      <w:pPr>
        <w:pStyle w:val="Heading1"/>
      </w:pPr>
      <w:bookmarkStart w:id="666" w:name="_Toc107395346"/>
      <w:r w:rsidRPr="009D0A4A">
        <w:lastRenderedPageBreak/>
        <w:t>Consultation plan</w:t>
      </w:r>
      <w:bookmarkEnd w:id="666"/>
    </w:p>
    <w:p w14:paraId="3AE22437" w14:textId="39460E4F" w:rsidR="008A1D1F" w:rsidRPr="009D0A4A" w:rsidRDefault="008A1D1F" w:rsidP="003801F8">
      <w:pPr>
        <w:pStyle w:val="Heading2"/>
      </w:pPr>
      <w:bookmarkStart w:id="667" w:name="_Toc107395347"/>
      <w:r w:rsidRPr="009D0A4A">
        <w:t>Objective</w:t>
      </w:r>
      <w:bookmarkEnd w:id="667"/>
    </w:p>
    <w:p w14:paraId="10943052" w14:textId="4C70FD38" w:rsidR="008A1D1F" w:rsidRPr="009D0A4A" w:rsidRDefault="008A1D1F" w:rsidP="003801F8">
      <w:pPr>
        <w:pStyle w:val="BodyText"/>
        <w:jc w:val="both"/>
      </w:pPr>
      <w:r w:rsidRPr="009D0A4A">
        <w:t xml:space="preserve">Safe Work Australia is engaging in extensive and ongoing consultation with parties </w:t>
      </w:r>
      <w:r w:rsidR="0030750F" w:rsidRPr="009D0A4A">
        <w:t>with an interest in minimising the WHS risks of RCS in Australia</w:t>
      </w:r>
      <w:r w:rsidRPr="009D0A4A">
        <w:t xml:space="preserve"> to seek stakeholder and public feedback on problem statement, proposed options, impact analysis and the preferred option or options.</w:t>
      </w:r>
    </w:p>
    <w:p w14:paraId="200E6134" w14:textId="2C63637F" w:rsidR="008A1D1F" w:rsidRPr="009D0A4A" w:rsidRDefault="008A1D1F" w:rsidP="003801F8">
      <w:pPr>
        <w:pStyle w:val="Heading2"/>
      </w:pPr>
      <w:bookmarkStart w:id="668" w:name="_Toc107395348"/>
      <w:r w:rsidRPr="009D0A4A">
        <w:t>Stakeholders</w:t>
      </w:r>
      <w:bookmarkEnd w:id="668"/>
    </w:p>
    <w:p w14:paraId="62B3D032" w14:textId="77777777" w:rsidR="008A1D1F" w:rsidRPr="009D0A4A" w:rsidRDefault="008A1D1F" w:rsidP="003801F8">
      <w:pPr>
        <w:pStyle w:val="BodyText"/>
        <w:jc w:val="both"/>
      </w:pPr>
      <w:r w:rsidRPr="009D0A4A">
        <w:t>Safe Work Australia invites the public, governments, industry groups, and peak bodies to comment on the proposed options and to assist Safe Work Australia in testing its assumptions and understand the potential risks and impacts of the proposed options.</w:t>
      </w:r>
    </w:p>
    <w:p w14:paraId="2746F2DF" w14:textId="77777777" w:rsidR="008A1D1F" w:rsidRPr="009D0A4A" w:rsidRDefault="008A1D1F" w:rsidP="008A1D1F">
      <w:pPr>
        <w:pStyle w:val="BodyText"/>
      </w:pPr>
      <w:r w:rsidRPr="009D0A4A">
        <w:t>Stakeholders that will be approached for feedback on this CRIS include:</w:t>
      </w:r>
    </w:p>
    <w:p w14:paraId="67E00D48" w14:textId="77777777" w:rsidR="008A1D1F" w:rsidRPr="009D0A4A" w:rsidRDefault="008A1D1F"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Commonwealth and state and territory WHS regulators</w:t>
      </w:r>
    </w:p>
    <w:p w14:paraId="196A6CCF" w14:textId="77777777" w:rsidR="008A1D1F" w:rsidRPr="009D0A4A" w:rsidRDefault="008A1D1F"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Commonwealth and state and territory Departments of Health</w:t>
      </w:r>
    </w:p>
    <w:p w14:paraId="22DCF906" w14:textId="77777777" w:rsidR="008A1D1F" w:rsidRPr="009D0A4A" w:rsidRDefault="008A1D1F"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Australian Institute of Health and Welfare</w:t>
      </w:r>
    </w:p>
    <w:p w14:paraId="124A1B06" w14:textId="77777777" w:rsidR="008A1D1F" w:rsidRPr="009D0A4A" w:rsidRDefault="008A1D1F"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Commonwealth Department of Employment and Workplace Relations</w:t>
      </w:r>
    </w:p>
    <w:p w14:paraId="3FFB5F5D" w14:textId="7D34134B" w:rsidR="008A1D1F" w:rsidRPr="009D0A4A" w:rsidRDefault="008A1D1F" w:rsidP="000C20A5">
      <w:pPr>
        <w:pStyle w:val="BodyText1"/>
        <w:numPr>
          <w:ilvl w:val="0"/>
          <w:numId w:val="20"/>
        </w:numPr>
        <w:jc w:val="both"/>
        <w:rPr>
          <w:rFonts w:asciiTheme="minorHAnsi" w:hAnsiTheme="minorHAnsi" w:cstheme="minorHAnsi"/>
          <w:sz w:val="20"/>
          <w:szCs w:val="20"/>
        </w:rPr>
      </w:pPr>
      <w:r w:rsidRPr="009D0A4A">
        <w:rPr>
          <w:rFonts w:asciiTheme="minorHAnsi" w:hAnsiTheme="minorHAnsi" w:cstheme="minorHAnsi"/>
          <w:sz w:val="20"/>
          <w:szCs w:val="20"/>
        </w:rPr>
        <w:t>Employee representatives</w:t>
      </w:r>
      <w:r w:rsidR="0030750F" w:rsidRPr="009D0A4A">
        <w:rPr>
          <w:rFonts w:asciiTheme="minorHAnsi" w:hAnsiTheme="minorHAnsi" w:cstheme="minorHAnsi"/>
          <w:sz w:val="20"/>
          <w:szCs w:val="20"/>
        </w:rPr>
        <w:t>, including but not limited to:</w:t>
      </w:r>
    </w:p>
    <w:p w14:paraId="298656BE" w14:textId="77777777" w:rsidR="008A1D1F" w:rsidRPr="009D0A4A" w:rsidRDefault="008A1D1F" w:rsidP="00C709B5">
      <w:pPr>
        <w:pStyle w:val="BodyText"/>
        <w:numPr>
          <w:ilvl w:val="1"/>
          <w:numId w:val="33"/>
        </w:numPr>
      </w:pPr>
      <w:r w:rsidRPr="009D0A4A">
        <w:t>Australian Council of Trade Unions</w:t>
      </w:r>
    </w:p>
    <w:p w14:paraId="21BA7657" w14:textId="77777777" w:rsidR="008A1D1F" w:rsidRPr="009D0A4A" w:rsidRDefault="008A1D1F" w:rsidP="00C709B5">
      <w:pPr>
        <w:pStyle w:val="BodyText"/>
        <w:numPr>
          <w:ilvl w:val="1"/>
          <w:numId w:val="33"/>
        </w:numPr>
      </w:pPr>
      <w:r w:rsidRPr="009D0A4A">
        <w:t>Construction Forestry Maritime Mining Energy Union</w:t>
      </w:r>
    </w:p>
    <w:p w14:paraId="095AADBE" w14:textId="77777777" w:rsidR="008A1D1F" w:rsidRPr="009D0A4A" w:rsidRDefault="008A1D1F" w:rsidP="00C709B5">
      <w:pPr>
        <w:pStyle w:val="BodyText"/>
        <w:numPr>
          <w:ilvl w:val="1"/>
          <w:numId w:val="33"/>
        </w:numPr>
      </w:pPr>
      <w:r w:rsidRPr="009D0A4A">
        <w:t>Australian Workers Union</w:t>
      </w:r>
    </w:p>
    <w:p w14:paraId="76C80618" w14:textId="25A50AE6" w:rsidR="008A1D1F" w:rsidRPr="009D0A4A" w:rsidRDefault="008A1D1F" w:rsidP="00C709B5">
      <w:pPr>
        <w:pStyle w:val="BodyText"/>
        <w:numPr>
          <w:ilvl w:val="0"/>
          <w:numId w:val="33"/>
        </w:numPr>
      </w:pPr>
      <w:r w:rsidRPr="009D0A4A">
        <w:t>Employer representatives</w:t>
      </w:r>
      <w:r w:rsidR="0030750F" w:rsidRPr="009D0A4A">
        <w:t>, including but not limited to:</w:t>
      </w:r>
    </w:p>
    <w:p w14:paraId="729ED022" w14:textId="77777777" w:rsidR="008A1D1F" w:rsidRPr="009D0A4A" w:rsidRDefault="008A1D1F" w:rsidP="00C709B5">
      <w:pPr>
        <w:pStyle w:val="BodyText"/>
        <w:numPr>
          <w:ilvl w:val="1"/>
          <w:numId w:val="33"/>
        </w:numPr>
      </w:pPr>
      <w:r w:rsidRPr="009D0A4A">
        <w:t>Australian Chamber of Commerce and Industry</w:t>
      </w:r>
    </w:p>
    <w:p w14:paraId="51A3ADA6" w14:textId="77777777" w:rsidR="008A1D1F" w:rsidRPr="009D0A4A" w:rsidRDefault="008A1D1F" w:rsidP="00C709B5">
      <w:pPr>
        <w:pStyle w:val="BodyText"/>
        <w:numPr>
          <w:ilvl w:val="1"/>
          <w:numId w:val="33"/>
        </w:numPr>
      </w:pPr>
      <w:r w:rsidRPr="009D0A4A">
        <w:t>Australian Industry Group</w:t>
      </w:r>
    </w:p>
    <w:p w14:paraId="0F49988B" w14:textId="479FE5E8" w:rsidR="008A1D1F" w:rsidRPr="009D0A4A" w:rsidRDefault="008A1D1F" w:rsidP="00C709B5">
      <w:pPr>
        <w:pStyle w:val="BodyText"/>
        <w:numPr>
          <w:ilvl w:val="0"/>
          <w:numId w:val="33"/>
        </w:numPr>
      </w:pPr>
      <w:r w:rsidRPr="009D0A4A">
        <w:t>Industry peak bodies</w:t>
      </w:r>
      <w:r w:rsidR="0030750F" w:rsidRPr="009D0A4A">
        <w:t>, including but not limited to:</w:t>
      </w:r>
    </w:p>
    <w:p w14:paraId="30F4C3DB" w14:textId="73EE3873" w:rsidR="0030750F" w:rsidRPr="009D0A4A" w:rsidRDefault="0030750F" w:rsidP="00C709B5">
      <w:pPr>
        <w:pStyle w:val="BodyText"/>
        <w:numPr>
          <w:ilvl w:val="1"/>
          <w:numId w:val="33"/>
        </w:numPr>
      </w:pPr>
      <w:r w:rsidRPr="009D0A4A">
        <w:t>Australian Engineered Stone Advisory Group</w:t>
      </w:r>
    </w:p>
    <w:p w14:paraId="5A63A8D3" w14:textId="77777777" w:rsidR="00455BE6" w:rsidRPr="009D0A4A" w:rsidRDefault="00455BE6" w:rsidP="00C709B5">
      <w:pPr>
        <w:pStyle w:val="BodyText"/>
        <w:numPr>
          <w:ilvl w:val="1"/>
          <w:numId w:val="33"/>
        </w:numPr>
      </w:pPr>
      <w:r w:rsidRPr="009D0A4A">
        <w:t>Australian Tunnelling Society</w:t>
      </w:r>
    </w:p>
    <w:p w14:paraId="08587A09" w14:textId="77777777" w:rsidR="00455BE6" w:rsidRPr="009D0A4A" w:rsidRDefault="00455BE6" w:rsidP="00C709B5">
      <w:pPr>
        <w:pStyle w:val="BodyText"/>
        <w:numPr>
          <w:ilvl w:val="1"/>
          <w:numId w:val="33"/>
        </w:numPr>
      </w:pPr>
      <w:r w:rsidRPr="009D0A4A">
        <w:rPr>
          <w:rFonts w:cstheme="minorHAnsi"/>
        </w:rPr>
        <w:t>Cement Concrete and Aggregates Australia</w:t>
      </w:r>
    </w:p>
    <w:p w14:paraId="156DBACE" w14:textId="5C43D2A4" w:rsidR="008A1D1F" w:rsidRPr="009D0A4A" w:rsidRDefault="008A1D1F" w:rsidP="00C709B5">
      <w:pPr>
        <w:pStyle w:val="BodyText"/>
        <w:numPr>
          <w:ilvl w:val="1"/>
          <w:numId w:val="33"/>
        </w:numPr>
      </w:pPr>
      <w:r w:rsidRPr="009D0A4A">
        <w:t>Institute of Quarrying Australia</w:t>
      </w:r>
    </w:p>
    <w:p w14:paraId="01F5E57A" w14:textId="77777777" w:rsidR="008A1D1F" w:rsidRPr="009D0A4A" w:rsidRDefault="008A1D1F" w:rsidP="00C709B5">
      <w:pPr>
        <w:pStyle w:val="BodyText"/>
        <w:numPr>
          <w:ilvl w:val="1"/>
          <w:numId w:val="33"/>
        </w:numPr>
      </w:pPr>
      <w:r w:rsidRPr="009D0A4A">
        <w:t>Minerals Council of Australia</w:t>
      </w:r>
    </w:p>
    <w:p w14:paraId="51712B86" w14:textId="77777777" w:rsidR="008A1D1F" w:rsidRPr="009D0A4A" w:rsidRDefault="008A1D1F" w:rsidP="00C709B5">
      <w:pPr>
        <w:pStyle w:val="BodyText"/>
        <w:numPr>
          <w:ilvl w:val="0"/>
          <w:numId w:val="33"/>
        </w:numPr>
      </w:pPr>
      <w:r w:rsidRPr="009D0A4A">
        <w:t>Peak health groups and professional bodies</w:t>
      </w:r>
    </w:p>
    <w:p w14:paraId="7D9F81FB" w14:textId="77777777" w:rsidR="008A1D1F" w:rsidRPr="009D0A4A" w:rsidRDefault="008A1D1F" w:rsidP="00C709B5">
      <w:pPr>
        <w:pStyle w:val="BodyText"/>
        <w:numPr>
          <w:ilvl w:val="1"/>
          <w:numId w:val="33"/>
        </w:numPr>
      </w:pPr>
      <w:r w:rsidRPr="009D0A4A">
        <w:t>Australian and New Zealand Society of Occupational Medicine Inc</w:t>
      </w:r>
    </w:p>
    <w:p w14:paraId="6B4A63E8" w14:textId="77777777" w:rsidR="008A1D1F" w:rsidRPr="009D0A4A" w:rsidRDefault="008A1D1F" w:rsidP="00C709B5">
      <w:pPr>
        <w:pStyle w:val="BodyText"/>
        <w:numPr>
          <w:ilvl w:val="1"/>
          <w:numId w:val="33"/>
        </w:numPr>
      </w:pPr>
      <w:r w:rsidRPr="009D0A4A">
        <w:t>Australian Institute of Health &amp; Safety</w:t>
      </w:r>
    </w:p>
    <w:p w14:paraId="1FE7A083" w14:textId="77777777" w:rsidR="008A1D1F" w:rsidRPr="009D0A4A" w:rsidRDefault="008A1D1F" w:rsidP="00C709B5">
      <w:pPr>
        <w:pStyle w:val="BodyText"/>
        <w:numPr>
          <w:ilvl w:val="1"/>
          <w:numId w:val="33"/>
        </w:numPr>
      </w:pPr>
      <w:r w:rsidRPr="009D0A4A">
        <w:lastRenderedPageBreak/>
        <w:t>Australian Institute of Occupational Hygienists</w:t>
      </w:r>
    </w:p>
    <w:p w14:paraId="1405845B" w14:textId="77777777" w:rsidR="008A1D1F" w:rsidRPr="009D0A4A" w:rsidRDefault="008A1D1F" w:rsidP="00C709B5">
      <w:pPr>
        <w:pStyle w:val="BodyText"/>
        <w:numPr>
          <w:ilvl w:val="1"/>
          <w:numId w:val="33"/>
        </w:numPr>
      </w:pPr>
      <w:r w:rsidRPr="009D0A4A">
        <w:t>Cancer Council Australia</w:t>
      </w:r>
    </w:p>
    <w:p w14:paraId="32B34477" w14:textId="4088CA78" w:rsidR="008A1D1F" w:rsidRPr="009D0A4A" w:rsidRDefault="008A1D1F" w:rsidP="00C709B5">
      <w:pPr>
        <w:pStyle w:val="BodyText"/>
        <w:numPr>
          <w:ilvl w:val="1"/>
          <w:numId w:val="33"/>
        </w:numPr>
      </w:pPr>
      <w:r w:rsidRPr="009D0A4A">
        <w:t>Lung Foundation Australia</w:t>
      </w:r>
    </w:p>
    <w:p w14:paraId="225665EB" w14:textId="77777777" w:rsidR="008A1D1F" w:rsidRPr="009D0A4A" w:rsidRDefault="008A1D1F" w:rsidP="00C709B5">
      <w:pPr>
        <w:pStyle w:val="BodyText"/>
        <w:numPr>
          <w:ilvl w:val="1"/>
          <w:numId w:val="33"/>
        </w:numPr>
      </w:pPr>
      <w:r w:rsidRPr="009D0A4A">
        <w:t>Public Health Association Australia</w:t>
      </w:r>
    </w:p>
    <w:p w14:paraId="6790B64B" w14:textId="77777777" w:rsidR="008A1D1F" w:rsidRPr="009D0A4A" w:rsidRDefault="008A1D1F" w:rsidP="00C709B5">
      <w:pPr>
        <w:pStyle w:val="BodyText"/>
        <w:numPr>
          <w:ilvl w:val="1"/>
          <w:numId w:val="33"/>
        </w:numPr>
      </w:pPr>
      <w:r w:rsidRPr="009D0A4A">
        <w:t>Royal Australasian College of Physicians</w:t>
      </w:r>
    </w:p>
    <w:p w14:paraId="35AE57DA" w14:textId="77777777" w:rsidR="008A1D1F" w:rsidRPr="009D0A4A" w:rsidRDefault="008A1D1F" w:rsidP="00C709B5">
      <w:pPr>
        <w:pStyle w:val="BodyText"/>
        <w:numPr>
          <w:ilvl w:val="1"/>
          <w:numId w:val="33"/>
        </w:numPr>
      </w:pPr>
      <w:r w:rsidRPr="009D0A4A">
        <w:t>Thoracic Society of Australia and New Zealand</w:t>
      </w:r>
    </w:p>
    <w:p w14:paraId="7C6D22A7" w14:textId="165420D9" w:rsidR="008A1D1F" w:rsidRPr="009D0A4A" w:rsidRDefault="008A1D1F" w:rsidP="003801F8">
      <w:pPr>
        <w:pStyle w:val="Heading2"/>
      </w:pPr>
      <w:bookmarkStart w:id="669" w:name="_Toc107395349"/>
      <w:r w:rsidRPr="009D0A4A">
        <w:t>Consultation approach</w:t>
      </w:r>
      <w:bookmarkEnd w:id="669"/>
    </w:p>
    <w:p w14:paraId="15F48E90" w14:textId="77777777" w:rsidR="007D040D" w:rsidRPr="009D0A4A" w:rsidRDefault="007D040D" w:rsidP="003801F8">
      <w:pPr>
        <w:pStyle w:val="BodyText"/>
        <w:jc w:val="both"/>
      </w:pPr>
      <w:r w:rsidRPr="009D0A4A">
        <w:t>Safe Work Australia welcomes feedback on this CRIS. This includes using our consultation platform Engage. Once registered with Engage, users can:</w:t>
      </w:r>
    </w:p>
    <w:p w14:paraId="620DDD7D" w14:textId="320934AA" w:rsidR="007D040D" w:rsidRPr="009D0A4A" w:rsidRDefault="007D040D" w:rsidP="000C20A5">
      <w:pPr>
        <w:pStyle w:val="BodyText"/>
        <w:numPr>
          <w:ilvl w:val="0"/>
          <w:numId w:val="33"/>
        </w:numPr>
      </w:pPr>
      <w:r w:rsidRPr="009D0A4A">
        <w:t>ask questions about the RIS process, and</w:t>
      </w:r>
    </w:p>
    <w:p w14:paraId="48F6E092" w14:textId="2636361A" w:rsidR="007D040D" w:rsidRPr="009D0A4A" w:rsidRDefault="007D040D" w:rsidP="000C20A5">
      <w:pPr>
        <w:pStyle w:val="BodyText"/>
        <w:numPr>
          <w:ilvl w:val="0"/>
          <w:numId w:val="33"/>
        </w:numPr>
      </w:pPr>
      <w:r w:rsidRPr="009D0A4A">
        <w:t>make a formal submission on the questions asked in this CRIS.</w:t>
      </w:r>
    </w:p>
    <w:p w14:paraId="42122AEA" w14:textId="3B046559" w:rsidR="007D040D" w:rsidRPr="009D0A4A" w:rsidRDefault="007D040D" w:rsidP="003801F8">
      <w:pPr>
        <w:pStyle w:val="BodyText"/>
        <w:jc w:val="both"/>
      </w:pPr>
      <w:r w:rsidRPr="009D0A4A">
        <w:t xml:space="preserve">Emails will be sent to Safe Work Australia subscribers to promote the </w:t>
      </w:r>
      <w:r w:rsidR="00951981" w:rsidRPr="009D0A4A">
        <w:t>C</w:t>
      </w:r>
      <w:r w:rsidRPr="009D0A4A">
        <w:t>RIS. Social media, including posts on Facebook, LinkedIn and Twitter, will be used to promote the opportunity to provide views and evidence on the options proposed in the CRIS. We may also contact stakeholders directly for comment.</w:t>
      </w:r>
    </w:p>
    <w:p w14:paraId="4E051FBC" w14:textId="77777777" w:rsidR="007D040D" w:rsidRPr="009D0A4A" w:rsidRDefault="007D040D" w:rsidP="003801F8">
      <w:pPr>
        <w:pStyle w:val="BodyText"/>
        <w:jc w:val="both"/>
      </w:pPr>
      <w:r w:rsidRPr="009D0A4A">
        <w:t xml:space="preserve">Safe Work Australia Members will be provided with material to publish on the CRIS, including links to the Engage platform. Safe Work Australia will also work with national organisations, businesses and associations to promote the consultation process on their respective websites and through their contact lists. </w:t>
      </w:r>
    </w:p>
    <w:p w14:paraId="66179255" w14:textId="5DB192DC" w:rsidR="008A1D1F" w:rsidRPr="009D0A4A" w:rsidRDefault="008A1D1F" w:rsidP="003801F8">
      <w:pPr>
        <w:pStyle w:val="Heading2"/>
      </w:pPr>
      <w:bookmarkStart w:id="670" w:name="_Toc107395350"/>
      <w:r w:rsidRPr="009D0A4A">
        <w:t>Next steps following consultation</w:t>
      </w:r>
      <w:bookmarkEnd w:id="670"/>
    </w:p>
    <w:p w14:paraId="3155AA9C" w14:textId="77777777" w:rsidR="008A1D1F" w:rsidRPr="009D0A4A" w:rsidRDefault="008A1D1F" w:rsidP="003801F8">
      <w:pPr>
        <w:pStyle w:val="BodyText"/>
        <w:jc w:val="both"/>
      </w:pPr>
      <w:r w:rsidRPr="009D0A4A">
        <w:t xml:space="preserve">Stakeholder feedback received from this CRIS will be used to revise information in the problem statement, options for analysis and assumptions in the impact analysis, before determining the proposed preferred option or options and developing an implementation and evaluation plan. </w:t>
      </w:r>
    </w:p>
    <w:p w14:paraId="3E7EF372" w14:textId="77777777" w:rsidR="008A1D1F" w:rsidRPr="009D0A4A" w:rsidRDefault="008A1D1F" w:rsidP="003801F8">
      <w:pPr>
        <w:jc w:val="both"/>
      </w:pPr>
      <w:r w:rsidRPr="009D0A4A">
        <w:t xml:space="preserve">Once the 6-week consultation period has closed, stakeholders may be contacted for further information or to clarify information provided in submissions. </w:t>
      </w:r>
    </w:p>
    <w:p w14:paraId="274E2EE9" w14:textId="15ACC8A1" w:rsidR="008A1D1F" w:rsidRPr="009D0A4A" w:rsidRDefault="008A1D1F" w:rsidP="003801F8">
      <w:pPr>
        <w:jc w:val="both"/>
      </w:pPr>
      <w:r w:rsidRPr="009D0A4A">
        <w:t xml:space="preserve">Safe Work Australia will use the stakeholder feedback received as part of this CRIS to prepare a Decision RIS for WHS ministers. The Decision RIS will identify options that result in the greatest net benefit to the Australian community, based on an analysis of the relative costs and benefits. It is expected the Decision RIS will be provided to WHS ministers for consideration in August 2022. </w:t>
      </w:r>
    </w:p>
    <w:p w14:paraId="2950A0ED" w14:textId="02263FD1" w:rsidR="003801F8" w:rsidRPr="009D0A4A" w:rsidRDefault="003801F8" w:rsidP="003801F8">
      <w:pPr>
        <w:pStyle w:val="Heading2"/>
      </w:pPr>
      <w:bookmarkStart w:id="671" w:name="_Toc107395351"/>
      <w:r w:rsidRPr="009D0A4A">
        <w:t>Implementation and evaluation</w:t>
      </w:r>
      <w:bookmarkEnd w:id="671"/>
    </w:p>
    <w:p w14:paraId="6F730F50" w14:textId="2961DD2A" w:rsidR="003801F8" w:rsidRPr="009D0A4A" w:rsidRDefault="003801F8" w:rsidP="003801F8">
      <w:pPr>
        <w:pStyle w:val="BodyText"/>
        <w:jc w:val="both"/>
      </w:pPr>
      <w:r w:rsidRPr="009D0A4A">
        <w:t xml:space="preserve">The Decision RIS will include a specific chapter on the implementation and evaluation of the preferred option or options. However, the following information has been included to provide clarity for stakeholders who may be affected the potential options.  </w:t>
      </w:r>
    </w:p>
    <w:p w14:paraId="2C1F6B9F" w14:textId="73153CFE" w:rsidR="003801F8" w:rsidRPr="009D0A4A" w:rsidRDefault="003801F8" w:rsidP="003801F8">
      <w:pPr>
        <w:pStyle w:val="BodyText"/>
        <w:jc w:val="both"/>
      </w:pPr>
      <w:r w:rsidRPr="009D0A4A">
        <w:t xml:space="preserve">Option 2 involves no additional regulation and could be implemented rapidly if it was the preferred option. The implementation of </w:t>
      </w:r>
      <w:r w:rsidR="002F6918" w:rsidRPr="009D0A4A">
        <w:t>a</w:t>
      </w:r>
      <w:r w:rsidRPr="009D0A4A">
        <w:t xml:space="preserve"> regulatory option (i.e. Options 3-5), should </w:t>
      </w:r>
      <w:r w:rsidR="002F6918" w:rsidRPr="009D0A4A">
        <w:t>it</w:t>
      </w:r>
      <w:r w:rsidRPr="009D0A4A">
        <w:t xml:space="preserve"> be agreed by WHS ministers, would take more time. It is anticipated that drafting instructions could be provided to the Australasian Parliamentary Counsel’s Committee within 6 to 12 months of a </w:t>
      </w:r>
      <w:r w:rsidRPr="009D0A4A">
        <w:lastRenderedPageBreak/>
        <w:t xml:space="preserve">decision. Once an amendment has been made to the model WHS laws, Commonwealth and state and territory jurisdictions must enact the amendments in their relevant legislation. Options 4 and 5 involve additional regulatory burden for industry and it is expected that jurisdictions would decide upon a lead time to allow industry sufficient time to transition to the new regulations. In the case of the Victorian Occupational Health and Safety Amendment (Crystalline Silica) Regulations 2021, the transition period to implement regulations on high risk silica work was 6 months after commencement of the regulations, and there </w:t>
      </w:r>
      <w:r w:rsidR="0040654F" w:rsidRPr="009D0A4A">
        <w:t>will be</w:t>
      </w:r>
      <w:r w:rsidRPr="009D0A4A">
        <w:t xml:space="preserve"> a 12 month transition period for the introduction of an engineered stone licensing scheme. </w:t>
      </w:r>
    </w:p>
    <w:p w14:paraId="0FA00DDB" w14:textId="658BFE95" w:rsidR="003801F8" w:rsidRPr="009D0A4A" w:rsidRDefault="003801F8" w:rsidP="003801F8">
      <w:pPr>
        <w:pStyle w:val="BodyText"/>
        <w:jc w:val="both"/>
      </w:pPr>
      <w:r w:rsidRPr="009D0A4A">
        <w:t xml:space="preserve">Evaluation will be conducted to assess the impact of the preferred option or options on exposures to RCS at workplaces and the number of cases of silicosis and silica related diseases. If a regulatory option is preferred, evaluation would begin from the commencement of the amendments </w:t>
      </w:r>
      <w:r w:rsidR="00F8146C" w:rsidRPr="009D0A4A">
        <w:t>to</w:t>
      </w:r>
      <w:r w:rsidRPr="009D0A4A">
        <w:t xml:space="preserve"> jurisdictional legislation. Given the long latency of silicosis and silica related diseases it is anticipated that this evaluation would need to occur for at least 5-10 years to demonstrate change.</w:t>
      </w:r>
    </w:p>
    <w:p w14:paraId="046AD85F" w14:textId="7D6A79F5" w:rsidR="00C43655" w:rsidRPr="009D0A4A" w:rsidRDefault="00C43655" w:rsidP="008A1D1F">
      <w:pPr>
        <w:tabs>
          <w:tab w:val="left" w:pos="1500"/>
        </w:tabs>
      </w:pPr>
    </w:p>
    <w:p w14:paraId="1A8E8F43" w14:textId="11FB64EB" w:rsidR="008A1D1F" w:rsidRPr="009D0A4A" w:rsidRDefault="008A1D1F" w:rsidP="008A1D1F">
      <w:pPr>
        <w:tabs>
          <w:tab w:val="left" w:pos="1500"/>
        </w:tabs>
        <w:sectPr w:rsidR="008A1D1F" w:rsidRPr="009D0A4A" w:rsidSect="00753174">
          <w:headerReference w:type="even" r:id="rId31"/>
          <w:headerReference w:type="default" r:id="rId32"/>
          <w:footerReference w:type="even" r:id="rId33"/>
          <w:footerReference w:type="default" r:id="rId34"/>
          <w:headerReference w:type="first" r:id="rId35"/>
          <w:footerReference w:type="first" r:id="rId36"/>
          <w:pgSz w:w="11906" w:h="16838"/>
          <w:pgMar w:top="1559" w:right="851" w:bottom="1701" w:left="851" w:header="567" w:footer="57" w:gutter="0"/>
          <w:cols w:space="708"/>
          <w:docGrid w:linePitch="360"/>
        </w:sectPr>
      </w:pPr>
      <w:r w:rsidRPr="009D0A4A">
        <w:tab/>
      </w:r>
    </w:p>
    <w:p w14:paraId="0D59C6F9" w14:textId="0BB6103E" w:rsidR="00A71E11" w:rsidRPr="009D0A4A" w:rsidRDefault="00A71E11" w:rsidP="00041D73">
      <w:pPr>
        <w:pStyle w:val="Heading1"/>
      </w:pPr>
      <w:bookmarkStart w:id="672" w:name="_Toc107395352"/>
      <w:bookmarkStart w:id="673" w:name="_Toc106120501"/>
      <w:bookmarkStart w:id="674" w:name="_Toc101019414"/>
      <w:r w:rsidRPr="009D0A4A">
        <w:lastRenderedPageBreak/>
        <w:t>References</w:t>
      </w:r>
      <w:bookmarkEnd w:id="672"/>
    </w:p>
    <w:p w14:paraId="006996A1" w14:textId="77777777" w:rsidR="004067E3" w:rsidRDefault="006B4A7D" w:rsidP="004067E3">
      <w:pPr>
        <w:pStyle w:val="Bibliography"/>
      </w:pPr>
      <w:r w:rsidRPr="009D0A4A">
        <w:fldChar w:fldCharType="begin"/>
      </w:r>
      <w:r w:rsidRPr="009D0A4A">
        <w:instrText xml:space="preserve"> ADDIN ZOTERO_BIBL {"uncited":[],"omitted":[],"custom":[]} CSL_BIBLIOGRAPHY </w:instrText>
      </w:r>
      <w:r w:rsidRPr="009D0A4A">
        <w:fldChar w:fldCharType="separate"/>
      </w:r>
      <w:r w:rsidR="004067E3">
        <w:t xml:space="preserve">AIOH 2021, </w:t>
      </w:r>
      <w:r w:rsidR="004067E3">
        <w:rPr>
          <w:i/>
          <w:iCs/>
        </w:rPr>
        <w:t>AIOH Submission to the 2021 NSW Dust Diseases Scheme</w:t>
      </w:r>
      <w:r w:rsidR="004067E3">
        <w:t>, viewed 30 June 2022, &lt;https://www.aioh.org.au/media/2014/06/AIOH_SUB_NSWDustDiseasesReview_2021.pdf&gt;.</w:t>
      </w:r>
    </w:p>
    <w:p w14:paraId="6DC43BC8" w14:textId="77777777" w:rsidR="004067E3" w:rsidRDefault="004067E3" w:rsidP="004067E3">
      <w:pPr>
        <w:pStyle w:val="Bibliography"/>
      </w:pPr>
      <w:r>
        <w:t xml:space="preserve">Alamango, K, Whitelaw, J, &amp; Apthorpe, L 2015,‘Have you got your head in the sand? Respirable crystalline exposures of restorative stonemasons’, in, </w:t>
      </w:r>
      <w:r>
        <w:rPr>
          <w:i/>
          <w:iCs/>
        </w:rPr>
        <w:t>Proceedings of the Australian Institute of Occupational Hygienists Annual Conference and Exhibition 2015</w:t>
      </w:r>
      <w:r>
        <w:t>, pp.10–16, &lt;https://ro.uow.edu.au/sspapers/2121&gt;.</w:t>
      </w:r>
    </w:p>
    <w:p w14:paraId="1C3668B0" w14:textId="77777777" w:rsidR="004067E3" w:rsidRDefault="004067E3" w:rsidP="004067E3">
      <w:pPr>
        <w:pStyle w:val="Bibliography"/>
      </w:pPr>
      <w:r>
        <w:t xml:space="preserve">Alif, S et al. 2020, </w:t>
      </w:r>
      <w:r>
        <w:rPr>
          <w:i/>
          <w:iCs/>
        </w:rPr>
        <w:t>Occupational lung diseases in Australia 2006 – 2019</w:t>
      </w:r>
      <w:r>
        <w:t>, viewed 30 June 2022, &lt;https://www.safeworkaustralia.gov.au/doc/occupational-lung-diseases-australia-2006-2019&gt;.</w:t>
      </w:r>
    </w:p>
    <w:p w14:paraId="6E5AE18E" w14:textId="77777777" w:rsidR="004067E3" w:rsidRDefault="004067E3" w:rsidP="004067E3">
      <w:pPr>
        <w:pStyle w:val="Bibliography"/>
      </w:pPr>
      <w:r>
        <w:t xml:space="preserve">Australian Bureau of Statistics 2021a, </w:t>
      </w:r>
      <w:r>
        <w:rPr>
          <w:i/>
          <w:iCs/>
        </w:rPr>
        <w:t>Labour Force, Australia, Detailed, August 2021</w:t>
      </w:r>
      <w:r>
        <w:t>, viewed 30 June 2022, &lt;https://www.abs.gov.au/statistics/labour/employment-and-unemployment/labour-force-australia-detailed/aug-2021&gt;.</w:t>
      </w:r>
    </w:p>
    <w:p w14:paraId="2F8BF894" w14:textId="77777777" w:rsidR="004067E3" w:rsidRDefault="004067E3" w:rsidP="004067E3">
      <w:pPr>
        <w:pStyle w:val="Bibliography"/>
      </w:pPr>
      <w:r>
        <w:t xml:space="preserve">Australian Bureau of Statistics 2021b, </w:t>
      </w:r>
      <w:r>
        <w:rPr>
          <w:i/>
          <w:iCs/>
        </w:rPr>
        <w:t>Counts of Australian Businesses, including Entries and Exits, July 2017 - June 2021</w:t>
      </w:r>
      <w:r>
        <w:t>, viewed 30 June 2022, &lt;https://www.abs.gov.au/statistics/economy/business-indicators/counts-australian-businesses-including-entries-and-exits/latest-release&gt;.</w:t>
      </w:r>
    </w:p>
    <w:p w14:paraId="27CC0023" w14:textId="77777777" w:rsidR="004067E3" w:rsidRDefault="004067E3" w:rsidP="004067E3">
      <w:pPr>
        <w:pStyle w:val="Bibliography"/>
      </w:pPr>
      <w:r>
        <w:t xml:space="preserve">Australian Bureau of Statistics 2021c, </w:t>
      </w:r>
      <w:r>
        <w:rPr>
          <w:i/>
          <w:iCs/>
        </w:rPr>
        <w:t>Average Weekly Earnings, Australia, November 2021</w:t>
      </w:r>
      <w:r>
        <w:t>, viewed 30 June 2022, &lt;https://www.abs.gov.au/statistics/labour/earnings-and-working-conditions/average-weekly-earnings-australia/latest-release&gt;.</w:t>
      </w:r>
    </w:p>
    <w:p w14:paraId="582E054C" w14:textId="77777777" w:rsidR="004067E3" w:rsidRDefault="004067E3" w:rsidP="004067E3">
      <w:pPr>
        <w:pStyle w:val="Bibliography"/>
      </w:pPr>
      <w:r>
        <w:t xml:space="preserve">Australian Council of Trade Unions 2021, </w:t>
      </w:r>
      <w:r>
        <w:rPr>
          <w:i/>
          <w:iCs/>
        </w:rPr>
        <w:t>We must not leave workers behind on dust disease prevention</w:t>
      </w:r>
      <w:r>
        <w:t>, viewed 30 June 2022, &lt;https://www.actu.org.au/actu-media/media-releases/2021/we-must-not-leave-workers-behind-on-dust-disease-prevention&gt;.</w:t>
      </w:r>
    </w:p>
    <w:p w14:paraId="788E127E" w14:textId="77777777" w:rsidR="004067E3" w:rsidRDefault="004067E3" w:rsidP="004067E3">
      <w:pPr>
        <w:pStyle w:val="Bibliography"/>
      </w:pPr>
      <w:r>
        <w:t xml:space="preserve">Australian Engineered Stone Advisory Group 2019, </w:t>
      </w:r>
      <w:r>
        <w:rPr>
          <w:i/>
          <w:iCs/>
        </w:rPr>
        <w:t>Members of the Australian Engineered Stone Advisory Group (AESAG) Application for authorisation to the Australian Competition and Consumer Commission (ACCC)</w:t>
      </w:r>
      <w:r>
        <w:t>, viewed 30 June 2022, &lt;https://www.accc.gov.au/system/files/public-registers/documents/Australian%20Engineered%20Stone%20Advisory%20Group%20%28AESAG%29%20-%20Application%20Received%20-%2029.11.19%20-%20PR%20VERSION.pdf&gt;.</w:t>
      </w:r>
    </w:p>
    <w:p w14:paraId="7D685C76" w14:textId="77777777" w:rsidR="004067E3" w:rsidRDefault="004067E3" w:rsidP="004067E3">
      <w:pPr>
        <w:pStyle w:val="Bibliography"/>
      </w:pPr>
      <w:r>
        <w:t xml:space="preserve">Australian Government 2022, </w:t>
      </w:r>
      <w:r>
        <w:rPr>
          <w:i/>
          <w:iCs/>
        </w:rPr>
        <w:t>All of governments’ response to the National Dust Disease Taskforce Final Report</w:t>
      </w:r>
      <w:r>
        <w:t>, viewed 30 June 2022, &lt;https://www1.health.gov.au/internet/main/publishing.nsf/Content/45748C2442F5BA74CA2587E4000F8600/$File/All-Govt-Response-Final-Report-Dust-Disease-Taskforce.pdf&gt;.</w:t>
      </w:r>
    </w:p>
    <w:p w14:paraId="27B02244" w14:textId="77777777" w:rsidR="004067E3" w:rsidRDefault="004067E3" w:rsidP="004067E3">
      <w:pPr>
        <w:pStyle w:val="Bibliography"/>
      </w:pPr>
      <w:r>
        <w:t xml:space="preserve">Australian Institute of Health and Welfare 2022, </w:t>
      </w:r>
      <w:r>
        <w:rPr>
          <w:i/>
          <w:iCs/>
        </w:rPr>
        <w:t>Deaths in Australia</w:t>
      </w:r>
      <w:r>
        <w:t>, viewed 30 June 2022, &lt;https://www.aihw.gov.au/getmedia/743dd325-7e96-4674-bb87-9f77420a7ef5/Deaths-in-Australia.pdf&gt;.</w:t>
      </w:r>
    </w:p>
    <w:p w14:paraId="2B1F46DF" w14:textId="77777777" w:rsidR="004067E3" w:rsidRDefault="004067E3" w:rsidP="004067E3">
      <w:pPr>
        <w:pStyle w:val="Bibliography"/>
      </w:pPr>
      <w:r>
        <w:t xml:space="preserve">Australian Workers Union 2021, </w:t>
      </w:r>
      <w:r>
        <w:rPr>
          <w:i/>
          <w:iCs/>
        </w:rPr>
        <w:t>Silica Dust Kills</w:t>
      </w:r>
      <w:r>
        <w:t xml:space="preserve">, </w:t>
      </w:r>
      <w:r>
        <w:rPr>
          <w:i/>
          <w:iCs/>
        </w:rPr>
        <w:t>The Australian Workers’ Union</w:t>
      </w:r>
      <w:r>
        <w:t>, viewed 30 June 2022, &lt;https://www.awu.net.au/national/campaigns/13261/silicosis-kills/&gt;.</w:t>
      </w:r>
    </w:p>
    <w:p w14:paraId="69EEAD61" w14:textId="77777777" w:rsidR="004067E3" w:rsidRDefault="004067E3" w:rsidP="004067E3">
      <w:pPr>
        <w:pStyle w:val="Bibliography"/>
      </w:pPr>
      <w:r>
        <w:t xml:space="preserve">Brooks, M &amp; Rae, H 2021,‘Change the way we communicate dry cutting risks’, in, </w:t>
      </w:r>
      <w:r>
        <w:rPr>
          <w:i/>
          <w:iCs/>
        </w:rPr>
        <w:t>Proceedings of the Australian Institute of Occupational Hygienists Annual Conference and Exhibition 2021.</w:t>
      </w:r>
    </w:p>
    <w:p w14:paraId="047E5050" w14:textId="77777777" w:rsidR="004067E3" w:rsidRDefault="004067E3" w:rsidP="004067E3">
      <w:pPr>
        <w:pStyle w:val="Bibliography"/>
      </w:pPr>
      <w:r>
        <w:t xml:space="preserve">Cancer Council 2021, </w:t>
      </w:r>
      <w:r>
        <w:rPr>
          <w:i/>
          <w:iCs/>
        </w:rPr>
        <w:t>Occupational Cancer Risk Series Silica Dust</w:t>
      </w:r>
      <w:r>
        <w:t>, viewed 30 June 2022, &lt;https://www.cancer.org.au/assets/pdf/occupational-cancer-risk-series-silica-dust&gt;.</w:t>
      </w:r>
    </w:p>
    <w:p w14:paraId="7CDBBA04" w14:textId="77777777" w:rsidR="004067E3" w:rsidRDefault="004067E3" w:rsidP="004067E3">
      <w:pPr>
        <w:pStyle w:val="Bibliography"/>
      </w:pPr>
      <w:r>
        <w:t xml:space="preserve">Cole, K 2017, </w:t>
      </w:r>
      <w:r>
        <w:rPr>
          <w:i/>
          <w:iCs/>
        </w:rPr>
        <w:t>Investigating best practice to prevent illness and disease in tunnel construction workers</w:t>
      </w:r>
      <w:r>
        <w:t>, Winston Churchill Memorial Trust of Australia, viewed 30 June 2022, &lt;https://apo.org.au/node/100921&gt;.</w:t>
      </w:r>
    </w:p>
    <w:p w14:paraId="147C2B0F" w14:textId="77777777" w:rsidR="004067E3" w:rsidRDefault="004067E3" w:rsidP="004067E3">
      <w:pPr>
        <w:pStyle w:val="Bibliography"/>
      </w:pPr>
      <w:r>
        <w:lastRenderedPageBreak/>
        <w:t xml:space="preserve">Cole, K &amp; Fisher, M 2019,‘Controlling exposure to respirable crystalline silica in Sydney demolition workers: A Client-led intervention’, in, </w:t>
      </w:r>
      <w:r>
        <w:rPr>
          <w:i/>
          <w:iCs/>
        </w:rPr>
        <w:t>Proceedings of the Australian Institute of Occupational Hygienists Annual Conference and Exhibition 2019</w:t>
      </w:r>
      <w:r>
        <w:t>.</w:t>
      </w:r>
    </w:p>
    <w:p w14:paraId="7A8C9ECF" w14:textId="77777777" w:rsidR="004067E3" w:rsidRDefault="004067E3" w:rsidP="004067E3">
      <w:pPr>
        <w:pStyle w:val="Bibliography"/>
      </w:pPr>
      <w:r>
        <w:t xml:space="preserve">Construction Material Processors Association 2021, </w:t>
      </w:r>
      <w:r>
        <w:rPr>
          <w:i/>
          <w:iCs/>
        </w:rPr>
        <w:t>Construction Material Processors Association response letter to the Occupational Health and Safety Amendment (Crystalline Silica) Regulations 2021 Regulatory Impact Statement</w:t>
      </w:r>
      <w:r>
        <w:t>, viewed 30 June 2022, &lt;https://engage.vic.gov.au/download/document/20844&gt;.</w:t>
      </w:r>
    </w:p>
    <w:p w14:paraId="7FB56C86" w14:textId="77777777" w:rsidR="004067E3" w:rsidRDefault="004067E3" w:rsidP="004067E3">
      <w:pPr>
        <w:pStyle w:val="Bibliography"/>
      </w:pPr>
      <w:r>
        <w:t>Deloitte 2021, ‘Occupational Health and Safety Amendment (Crystalline Silica) Regulations 2021’, , p. 75.</w:t>
      </w:r>
    </w:p>
    <w:p w14:paraId="6E113E4C" w14:textId="77777777" w:rsidR="004067E3" w:rsidRDefault="004067E3" w:rsidP="004067E3">
      <w:pPr>
        <w:pStyle w:val="Bibliography"/>
      </w:pPr>
      <w:r>
        <w:t>Department of Health 2021, ‘National Dust Disease Taskforce Final Report to Minister for Health and Aged Care’, , p. 80.</w:t>
      </w:r>
    </w:p>
    <w:p w14:paraId="268FDFEC" w14:textId="77777777" w:rsidR="004067E3" w:rsidRDefault="004067E3" w:rsidP="004067E3">
      <w:pPr>
        <w:pStyle w:val="Bibliography"/>
      </w:pPr>
      <w:r>
        <w:t xml:space="preserve">Department of Health 2022, </w:t>
      </w:r>
      <w:r>
        <w:rPr>
          <w:i/>
          <w:iCs/>
        </w:rPr>
        <w:t>National Guidance for doctors assessing workers exposed to respirable crystalline silica dust</w:t>
      </w:r>
      <w:r>
        <w:t>, viewed 30 June 2022, &lt;https://www1.health.gov.au/internet/main/publishing.nsf/Content/3F0A34A0342D7925CA2587E3001B4C41/$File/National-Guidance.pdf&gt;.</w:t>
      </w:r>
    </w:p>
    <w:p w14:paraId="788E3361" w14:textId="77777777" w:rsidR="004067E3" w:rsidRDefault="004067E3" w:rsidP="004067E3">
      <w:pPr>
        <w:pStyle w:val="Bibliography"/>
      </w:pPr>
      <w:r>
        <w:t xml:space="preserve">Department of Prime Minister and Cabinet 2020, </w:t>
      </w:r>
      <w:r>
        <w:rPr>
          <w:i/>
          <w:iCs/>
        </w:rPr>
        <w:t>Competition and Regulation Guidance Note</w:t>
      </w:r>
      <w:r>
        <w:t>, viewed 30 June 2022, &lt;https://obpr.pmc.gov.au/sites/default/files/2021-06/competition-and-regulation.pdf&gt;.</w:t>
      </w:r>
    </w:p>
    <w:p w14:paraId="0255F77E" w14:textId="77777777" w:rsidR="004067E3" w:rsidRDefault="004067E3" w:rsidP="004067E3">
      <w:pPr>
        <w:pStyle w:val="Bibliography"/>
      </w:pPr>
      <w:r>
        <w:t xml:space="preserve">Department of Prime Minister and Cabinet 2021a, </w:t>
      </w:r>
      <w:r>
        <w:rPr>
          <w:i/>
          <w:iCs/>
        </w:rPr>
        <w:t>Regulatory Impact Analysis Guide for Ministers’ Meetings and National Standard Setting Bodies | OBPR</w:t>
      </w:r>
      <w:r>
        <w:t>, viewed 24 June 2022, &lt;https://obpr.pmc.gov.au/resources/guidance-impact-analysis/regulatory-impact-analysis-guide-ministers-meetings-and-national&gt;.</w:t>
      </w:r>
    </w:p>
    <w:p w14:paraId="37045BF0" w14:textId="77777777" w:rsidR="004067E3" w:rsidRDefault="004067E3" w:rsidP="004067E3">
      <w:pPr>
        <w:pStyle w:val="Bibliography"/>
      </w:pPr>
      <w:r>
        <w:t xml:space="preserve">Department of Prime Minister and Cabinet 2021b, </w:t>
      </w:r>
      <w:r>
        <w:rPr>
          <w:i/>
          <w:iCs/>
        </w:rPr>
        <w:t>Guidance note: value of statistical life</w:t>
      </w:r>
      <w:r>
        <w:t>, viewed 30 June 2022, &lt;https://obpr.pmc.gov.au/resources/guidance-assessing-impacts/value-statistical-life&gt;.</w:t>
      </w:r>
    </w:p>
    <w:p w14:paraId="3D47E4C0" w14:textId="77777777" w:rsidR="004067E3" w:rsidRDefault="004067E3" w:rsidP="004067E3">
      <w:pPr>
        <w:pStyle w:val="Bibliography"/>
      </w:pPr>
      <w:r>
        <w:t xml:space="preserve">Frankel, A, Blake, L, &amp; Yates, D 2015, ‘LATE-BREAKING ABSTRACT: Complicated silicosis in an Australian worker from cutting engineered stone countertops: An embarrassing first for Australia’, </w:t>
      </w:r>
      <w:r>
        <w:rPr>
          <w:i/>
          <w:iCs/>
        </w:rPr>
        <w:t>European Respiratory Journal</w:t>
      </w:r>
      <w:r>
        <w:t>, vol. 46, no. suppl 59, viewed 24 June 2022, &lt;https://erj.ersjournals.com/content/46/suppl_59/PA1144&gt;.</w:t>
      </w:r>
    </w:p>
    <w:p w14:paraId="0A1F6D13" w14:textId="77777777" w:rsidR="004067E3" w:rsidRDefault="004067E3" w:rsidP="004067E3">
      <w:pPr>
        <w:pStyle w:val="Bibliography"/>
      </w:pPr>
      <w:r>
        <w:t>Gaskin, S et al. 2018, ‘Respirable Crystalline Silica Exposures in Engineered Stone Benchtop Fabrication’, , p. 24.</w:t>
      </w:r>
    </w:p>
    <w:p w14:paraId="72A824C7" w14:textId="77777777" w:rsidR="004067E3" w:rsidRDefault="004067E3" w:rsidP="004067E3">
      <w:pPr>
        <w:pStyle w:val="Bibliography"/>
      </w:pPr>
      <w:r>
        <w:t xml:space="preserve">Glass, D et al. 2022, ‘Changes to Silica Exposure Control Measures in the Artificial Stone Benchtop Industry in Victoria Australia’, </w:t>
      </w:r>
      <w:r>
        <w:rPr>
          <w:i/>
          <w:iCs/>
        </w:rPr>
        <w:t>Abstracts of the 33rd International Congress on Occupational Health 2022 (ICOH 2022) 6–10 February 2022</w:t>
      </w:r>
      <w:r>
        <w:t>, vol. 13, p. S25.</w:t>
      </w:r>
    </w:p>
    <w:p w14:paraId="3797CCF2" w14:textId="77777777" w:rsidR="004067E3" w:rsidRDefault="004067E3" w:rsidP="004067E3">
      <w:pPr>
        <w:pStyle w:val="Bibliography"/>
      </w:pPr>
      <w:r>
        <w:t>Golder Associates Pty Ltd 2021, ‘Case Finding Study - Respirable crystalline silica exposure in the NSW manufactured stone industry’, , p. 59.</w:t>
      </w:r>
    </w:p>
    <w:p w14:paraId="559E340F" w14:textId="77777777" w:rsidR="004067E3" w:rsidRDefault="004067E3" w:rsidP="004067E3">
      <w:pPr>
        <w:pStyle w:val="Bibliography"/>
      </w:pPr>
      <w:r>
        <w:t xml:space="preserve">Government of Western Australia 2021, </w:t>
      </w:r>
      <w:r>
        <w:rPr>
          <w:i/>
          <w:iCs/>
        </w:rPr>
        <w:t>Media Statements - Health surveillance requirements for silica strengthened</w:t>
      </w:r>
      <w:r>
        <w:t xml:space="preserve">, </w:t>
      </w:r>
      <w:r>
        <w:rPr>
          <w:i/>
          <w:iCs/>
        </w:rPr>
        <w:t>Health surveillance requirements for silica strengthened</w:t>
      </w:r>
      <w:r>
        <w:t>, viewed 30 June 2022, &lt;https://www.mediastatements.wa.gov.au/Pages/McGowan/2021/01/Health-surveillance-requirements-for-silica-strengthened.aspx&gt;.</w:t>
      </w:r>
    </w:p>
    <w:p w14:paraId="313FFC9D" w14:textId="77777777" w:rsidR="004067E3" w:rsidRDefault="004067E3" w:rsidP="004067E3">
      <w:pPr>
        <w:pStyle w:val="Bibliography"/>
      </w:pPr>
      <w:r>
        <w:t xml:space="preserve">Hedges, K 2016, </w:t>
      </w:r>
      <w:r>
        <w:rPr>
          <w:i/>
          <w:iCs/>
        </w:rPr>
        <w:t>Assessment and control of respirable crystalline silica in quarries and dimension stone mines</w:t>
      </w:r>
      <w:r>
        <w:t>, Western Sydney University, viewed 24 June 2022, &lt;https://researchdirect.westernsydney.edu.au/islandora/object/uws%3A36593/&gt;.</w:t>
      </w:r>
    </w:p>
    <w:p w14:paraId="7ECAF2B7" w14:textId="77777777" w:rsidR="004067E3" w:rsidRDefault="004067E3" w:rsidP="004067E3">
      <w:pPr>
        <w:pStyle w:val="Bibliography"/>
      </w:pPr>
      <w:r>
        <w:t xml:space="preserve">Hoy, RF &amp; Chambers, DC 2020, ‘Silica-related diseases in the modern world’, </w:t>
      </w:r>
      <w:r>
        <w:rPr>
          <w:i/>
          <w:iCs/>
        </w:rPr>
        <w:t>Allergy</w:t>
      </w:r>
      <w:r>
        <w:t>, vol. 75, no. 11, pp. 2805–2817.</w:t>
      </w:r>
    </w:p>
    <w:p w14:paraId="4ACE54F6" w14:textId="77777777" w:rsidR="004067E3" w:rsidRDefault="004067E3" w:rsidP="004067E3">
      <w:pPr>
        <w:pStyle w:val="Bibliography"/>
      </w:pPr>
      <w:r>
        <w:t xml:space="preserve">Jennings, M 2021, </w:t>
      </w:r>
      <w:r>
        <w:rPr>
          <w:i/>
          <w:iCs/>
        </w:rPr>
        <w:t>Submission Number 8 Inquiry into 2021 Review of the Dust Diseases Scheme</w:t>
      </w:r>
      <w:r>
        <w:t>, viewed 30 June 2022, &lt;https://www.parliament.nsw.gov.au/lcdocs/submissions/76639/0008%20Mr%20Martin%20Jennings.pdf&gt;.</w:t>
      </w:r>
    </w:p>
    <w:p w14:paraId="689E2C38" w14:textId="77777777" w:rsidR="004067E3" w:rsidRDefault="004067E3" w:rsidP="004067E3">
      <w:pPr>
        <w:pStyle w:val="Bibliography"/>
      </w:pPr>
      <w:r>
        <w:t xml:space="preserve">Kreitals, N, Weller, M, &amp; Nand, A 2022,‘Industry change in the manufactured stone benchtop industry as a result of proactive compliance activities in NSW’, in, </w:t>
      </w:r>
      <w:r>
        <w:rPr>
          <w:i/>
          <w:iCs/>
        </w:rPr>
        <w:t>Proceedings of the Australian Institute of Occupational Hygienists Annual Conference and Exhibition 2021</w:t>
      </w:r>
      <w:r>
        <w:t>.</w:t>
      </w:r>
    </w:p>
    <w:p w14:paraId="17134BCB" w14:textId="77777777" w:rsidR="004067E3" w:rsidRDefault="004067E3" w:rsidP="004067E3">
      <w:pPr>
        <w:pStyle w:val="Bibliography"/>
      </w:pPr>
      <w:r>
        <w:lastRenderedPageBreak/>
        <w:t xml:space="preserve">Lung Foundation Australia n.d., </w:t>
      </w:r>
      <w:r>
        <w:rPr>
          <w:i/>
          <w:iCs/>
        </w:rPr>
        <w:t>Campaigns - Lung Foundation Australia</w:t>
      </w:r>
      <w:r>
        <w:t>, viewed 30 June 2022, &lt;https://lungfoundation.com.au/news-and-advocacy/advocacy/campaigns/&gt;.</w:t>
      </w:r>
    </w:p>
    <w:p w14:paraId="5A4F705A" w14:textId="77777777" w:rsidR="004067E3" w:rsidRDefault="004067E3" w:rsidP="004067E3">
      <w:pPr>
        <w:pStyle w:val="Bibliography"/>
      </w:pPr>
      <w:r>
        <w:t xml:space="preserve">Nicol, LM et al. 2015, ‘Six cases of silicosis: implications for health surveillance of stonemasons’, </w:t>
      </w:r>
      <w:r>
        <w:rPr>
          <w:i/>
          <w:iCs/>
        </w:rPr>
        <w:t>Occupational Medicine</w:t>
      </w:r>
      <w:r>
        <w:t>, vol. 65, no. 3, pp. 220–225.</w:t>
      </w:r>
    </w:p>
    <w:p w14:paraId="34962315" w14:textId="77777777" w:rsidR="004067E3" w:rsidRDefault="004067E3" w:rsidP="004067E3">
      <w:pPr>
        <w:pStyle w:val="Bibliography"/>
      </w:pPr>
      <w:r>
        <w:t xml:space="preserve">NSW Government 2022, </w:t>
      </w:r>
      <w:r>
        <w:rPr>
          <w:i/>
          <w:iCs/>
        </w:rPr>
        <w:t>Silica dashboard</w:t>
      </w:r>
      <w:r>
        <w:t xml:space="preserve">, </w:t>
      </w:r>
      <w:r>
        <w:rPr>
          <w:i/>
          <w:iCs/>
        </w:rPr>
        <w:t>NSW Government</w:t>
      </w:r>
      <w:r>
        <w:t>, viewed 30 June 2022, &lt;https://www.nsw.gov.au/customer-service/publications-and-reports/silica-dashboard&gt;.</w:t>
      </w:r>
    </w:p>
    <w:p w14:paraId="7ECCB62A" w14:textId="77777777" w:rsidR="004067E3" w:rsidRDefault="004067E3" w:rsidP="004067E3">
      <w:pPr>
        <w:pStyle w:val="Bibliography"/>
      </w:pPr>
      <w:r>
        <w:t xml:space="preserve">NSW Legislative Council Standing Committee on Law and Justice 2020, </w:t>
      </w:r>
      <w:r>
        <w:rPr>
          <w:i/>
          <w:iCs/>
        </w:rPr>
        <w:t>2019 Review of the Dust Diseases Scheme</w:t>
      </w:r>
      <w:r>
        <w:t>, viewed 30 June 2022, &lt;https://www.parliament.nsw.gov.au/lcdocs/inquiries/2538/Report%2073%20%E2%80%93%20%202019%20Review%20of%20the%20Dust%20Diseases%20Scheme%20%E2%80%93%2024%20March%202020.pdf&gt;.</w:t>
      </w:r>
    </w:p>
    <w:p w14:paraId="0E756BC9" w14:textId="77777777" w:rsidR="004067E3" w:rsidRDefault="004067E3" w:rsidP="004067E3">
      <w:pPr>
        <w:pStyle w:val="Bibliography"/>
      </w:pPr>
      <w:r>
        <w:t xml:space="preserve">NSW Legislative Council Standing Committee on Law and Justice 2022, </w:t>
      </w:r>
      <w:r>
        <w:rPr>
          <w:i/>
          <w:iCs/>
        </w:rPr>
        <w:t>2021 Review of the Dust Diseases Scheme</w:t>
      </w:r>
      <w:r>
        <w:t>, viewed 30 June 2022, &lt;https://www.parliament.nsw.gov.au/lcdocs/inquiries/2833/Report%20No.%2080%20-%202021%20Review%20of%20the%20Dust%20Diseases%20Scheme.pdf&gt;.</w:t>
      </w:r>
    </w:p>
    <w:p w14:paraId="49B4C1AE" w14:textId="77777777" w:rsidR="004067E3" w:rsidRDefault="004067E3" w:rsidP="004067E3">
      <w:pPr>
        <w:pStyle w:val="Bibliography"/>
      </w:pPr>
      <w:r>
        <w:t>Quantum Market Research 2021, ‘Dust Disease Research Update’, , p. 92.</w:t>
      </w:r>
    </w:p>
    <w:p w14:paraId="36770AE0" w14:textId="77777777" w:rsidR="004067E3" w:rsidRDefault="004067E3" w:rsidP="004067E3">
      <w:pPr>
        <w:pStyle w:val="Bibliography"/>
      </w:pPr>
      <w:r>
        <w:t xml:space="preserve">Queensland Government 2018, </w:t>
      </w:r>
      <w:r>
        <w:rPr>
          <w:i/>
          <w:iCs/>
        </w:rPr>
        <w:t>Safety alert issued for engineered stone benchtop workers</w:t>
      </w:r>
      <w:r>
        <w:t xml:space="preserve">, </w:t>
      </w:r>
      <w:r>
        <w:rPr>
          <w:i/>
          <w:iCs/>
        </w:rPr>
        <w:t>Ministerial Media Statements</w:t>
      </w:r>
      <w:r>
        <w:t>, viewed 30 June 2022, &lt;https://statements.qld.gov.au/statements/85566&gt;.</w:t>
      </w:r>
    </w:p>
    <w:p w14:paraId="0FE904FA" w14:textId="77777777" w:rsidR="004067E3" w:rsidRDefault="004067E3" w:rsidP="004067E3">
      <w:pPr>
        <w:pStyle w:val="Bibliography"/>
      </w:pPr>
      <w:r>
        <w:t xml:space="preserve">Queensland Government 2020, </w:t>
      </w:r>
      <w:r>
        <w:rPr>
          <w:i/>
          <w:iCs/>
        </w:rPr>
        <w:t>WorkCover Screening Outcomes</w:t>
      </w:r>
      <w:r>
        <w:t>, viewed 30 June 2022, &lt;https://www.worksafe.qld.gov.au/claims-and-insurance/work-related-injuries/types-of-injury-or-illness/work-related-respiratory-diseases/silicosis&gt;.</w:t>
      </w:r>
    </w:p>
    <w:p w14:paraId="797096E0" w14:textId="77777777" w:rsidR="004067E3" w:rsidRDefault="004067E3" w:rsidP="004067E3">
      <w:pPr>
        <w:pStyle w:val="Bibliography"/>
      </w:pPr>
      <w:r>
        <w:t xml:space="preserve">Queensland Health 2022, </w:t>
      </w:r>
      <w:r>
        <w:rPr>
          <w:i/>
          <w:iCs/>
        </w:rPr>
        <w:t>About the Notifiable Dust Lung Disease Register</w:t>
      </w:r>
      <w:r>
        <w:t>, viewed 30 June 2022, &lt;https://www.health.qld.gov.au/public-health/industry-environment/dust-lung-disease-register/about-the-register&gt;.</w:t>
      </w:r>
    </w:p>
    <w:p w14:paraId="6F590815" w14:textId="77777777" w:rsidR="004067E3" w:rsidRDefault="004067E3" w:rsidP="004067E3">
      <w:pPr>
        <w:pStyle w:val="Bibliography"/>
      </w:pPr>
      <w:r>
        <w:t xml:space="preserve">Queensland Parliament Coal Workers’ Pneumoconiosis Select Committee 2017, </w:t>
      </w:r>
      <w:r>
        <w:rPr>
          <w:i/>
          <w:iCs/>
        </w:rPr>
        <w:t>Inquiry into occupational  respirable dust issues</w:t>
      </w:r>
      <w:r>
        <w:t>, viewed 30 June 2022, &lt;https://cabinet.qld.gov.au/documents/2018/Feb/RespCWP4/Attachments/Report.PDF&gt;.</w:t>
      </w:r>
    </w:p>
    <w:p w14:paraId="4597FF72" w14:textId="77777777" w:rsidR="004067E3" w:rsidRDefault="004067E3" w:rsidP="004067E3">
      <w:pPr>
        <w:pStyle w:val="Bibliography"/>
      </w:pPr>
      <w:r>
        <w:t xml:space="preserve">Safe Work Australia 2011, </w:t>
      </w:r>
      <w:r>
        <w:rPr>
          <w:i/>
          <w:iCs/>
        </w:rPr>
        <w:t>Interpretive guideline – Model Work Health and Safety Act - the meaning of reasonably practicable</w:t>
      </w:r>
      <w:r>
        <w:t>, viewed 30 June 2022, &lt;https://www.safeworkaustralia.gov.au/doc/interpretive-guideline-model-work-health-and-safety-act-meaning-reasonably-practicable&gt;.</w:t>
      </w:r>
    </w:p>
    <w:p w14:paraId="732F8EF4" w14:textId="77777777" w:rsidR="004067E3" w:rsidRDefault="004067E3" w:rsidP="004067E3">
      <w:pPr>
        <w:pStyle w:val="Bibliography"/>
      </w:pPr>
      <w:r>
        <w:t xml:space="preserve">Safe Work Australia 2013, </w:t>
      </w:r>
      <w:r>
        <w:rPr>
          <w:i/>
          <w:iCs/>
        </w:rPr>
        <w:t>Workplace Exposure Standards for Airborne Contaminants</w:t>
      </w:r>
      <w:r>
        <w:t>, viewed 30 June 2022, &lt;https://www.safeworkaustralia.gov.au/system/files/documents/1705/workplace-exposure-standards-airborne-contaminants-v2.pdf&gt;.</w:t>
      </w:r>
    </w:p>
    <w:p w14:paraId="028C1EFB" w14:textId="77777777" w:rsidR="004067E3" w:rsidRDefault="004067E3" w:rsidP="004067E3">
      <w:pPr>
        <w:pStyle w:val="Bibliography"/>
      </w:pPr>
      <w:r>
        <w:t xml:space="preserve">Safe Work Australia 2018a, </w:t>
      </w:r>
      <w:r>
        <w:rPr>
          <w:i/>
          <w:iCs/>
        </w:rPr>
        <w:t>Model Code of Practice: Construction work</w:t>
      </w:r>
      <w:r>
        <w:t>, viewed 30 June 2022, &lt;https://www.safeworkaustralia.gov.au/doc/model-codes-practice/model-code-practice-construction-work&gt;.</w:t>
      </w:r>
    </w:p>
    <w:p w14:paraId="548D2BDE" w14:textId="77777777" w:rsidR="004067E3" w:rsidRDefault="004067E3" w:rsidP="004067E3">
      <w:pPr>
        <w:pStyle w:val="Bibliography"/>
      </w:pPr>
      <w:r>
        <w:t xml:space="preserve">Safe Work Australia 2018b, </w:t>
      </w:r>
      <w:r>
        <w:rPr>
          <w:i/>
          <w:iCs/>
        </w:rPr>
        <w:t>Model Code of Practice: Demolition work</w:t>
      </w:r>
      <w:r>
        <w:t>, viewed 30 June 2022, &lt;https://www.safeworkaustralia.gov.au/doc/model-codes-practice/model-code-practice-demolition-work&gt;.</w:t>
      </w:r>
    </w:p>
    <w:p w14:paraId="46D8D5B1" w14:textId="77777777" w:rsidR="004067E3" w:rsidRDefault="004067E3" w:rsidP="004067E3">
      <w:pPr>
        <w:pStyle w:val="Bibliography"/>
      </w:pPr>
      <w:r>
        <w:t xml:space="preserve">Safe Work Australia 2018c, </w:t>
      </w:r>
      <w:r>
        <w:rPr>
          <w:i/>
          <w:iCs/>
        </w:rPr>
        <w:t>Model Code of Practice: How to manage work health and safety risks</w:t>
      </w:r>
      <w:r>
        <w:t>, viewed 30 June 2022, &lt;https://www.safeworkaustralia.gov.au/doc/model-codes-practice/model-code-practice-how-manage-work-health-and-safety-risks&gt;.</w:t>
      </w:r>
    </w:p>
    <w:p w14:paraId="078AC351" w14:textId="77777777" w:rsidR="004067E3" w:rsidRDefault="004067E3" w:rsidP="004067E3">
      <w:pPr>
        <w:pStyle w:val="Bibliography"/>
      </w:pPr>
      <w:r>
        <w:t xml:space="preserve">Safe Work Australia 2020a, </w:t>
      </w:r>
      <w:r>
        <w:rPr>
          <w:i/>
          <w:iCs/>
        </w:rPr>
        <w:t>Model Code of Practice: Managing risks of hazardous chemicals in the workplace</w:t>
      </w:r>
      <w:r>
        <w:t>, viewed 30 June 2022, &lt;https://www.safeworkaustralia.gov.au/doc/model-code-practice-managing-risks-hazardous-chemicals-workplace&gt;.</w:t>
      </w:r>
    </w:p>
    <w:p w14:paraId="7173AFFF" w14:textId="77777777" w:rsidR="004067E3" w:rsidRDefault="004067E3" w:rsidP="004067E3">
      <w:pPr>
        <w:pStyle w:val="Bibliography"/>
      </w:pPr>
      <w:r>
        <w:lastRenderedPageBreak/>
        <w:t xml:space="preserve">Safe Work Australia 2020b, </w:t>
      </w:r>
      <w:r>
        <w:rPr>
          <w:i/>
          <w:iCs/>
        </w:rPr>
        <w:t>Measuring respirable crystalline silica</w:t>
      </w:r>
      <w:r>
        <w:t>, viewed 30 June 2022, &lt;https://www.safeworkaustralia.gov.au/doc/report-measuring-respirable-crystalline-silica&gt;.</w:t>
      </w:r>
    </w:p>
    <w:p w14:paraId="7E33C4F7" w14:textId="77777777" w:rsidR="004067E3" w:rsidRDefault="004067E3" w:rsidP="004067E3">
      <w:pPr>
        <w:pStyle w:val="Bibliography"/>
      </w:pPr>
      <w:r>
        <w:t xml:space="preserve">Safe Work Australia 2020c, </w:t>
      </w:r>
      <w:r>
        <w:rPr>
          <w:i/>
          <w:iCs/>
        </w:rPr>
        <w:t>Health monitoring for crystalline silica</w:t>
      </w:r>
      <w:r>
        <w:t>, viewed 30 June 2022, &lt;https://www.safeworkaustralia.gov.au/doc/health-monitoring-crystalline-silica&gt;.</w:t>
      </w:r>
    </w:p>
    <w:p w14:paraId="23183756" w14:textId="77777777" w:rsidR="004067E3" w:rsidRDefault="004067E3" w:rsidP="004067E3">
      <w:pPr>
        <w:pStyle w:val="Bibliography"/>
      </w:pPr>
      <w:r>
        <w:t xml:space="preserve">Safe Work Australia 2020d, </w:t>
      </w:r>
      <w:r>
        <w:rPr>
          <w:i/>
          <w:iCs/>
        </w:rPr>
        <w:t>Health monitoring for registered medical practitioners guide</w:t>
      </w:r>
      <w:r>
        <w:t>, viewed 30 June 2022, &lt;https://www.safeworkaustralia.gov.au/resources-and-publications/guidance-materials/health-monitoring-registered-medical-practitioners-guide&gt;.</w:t>
      </w:r>
    </w:p>
    <w:p w14:paraId="730F9E9A" w14:textId="77777777" w:rsidR="004067E3" w:rsidRDefault="004067E3" w:rsidP="004067E3">
      <w:pPr>
        <w:pStyle w:val="Bibliography"/>
      </w:pPr>
      <w:r>
        <w:t xml:space="preserve">Safe Work Australia 2021a, </w:t>
      </w:r>
      <w:r>
        <w:rPr>
          <w:i/>
          <w:iCs/>
        </w:rPr>
        <w:t>Model Code of Practice: Managing the risks of respirable crystalline silica from engineered stone in the workplace</w:t>
      </w:r>
      <w:r>
        <w:t>, viewed 30 June 2022, &lt;https://www.safeworkaustralia.gov.au/doc/model-code-practice-managing-risks-respirable-crystalline-silica-engineered-stone-workplace&gt;.</w:t>
      </w:r>
    </w:p>
    <w:p w14:paraId="39447B46" w14:textId="77777777" w:rsidR="004067E3" w:rsidRDefault="004067E3" w:rsidP="004067E3">
      <w:pPr>
        <w:pStyle w:val="Bibliography"/>
      </w:pPr>
      <w:r>
        <w:t xml:space="preserve">Safe Work Australia 2021b, </w:t>
      </w:r>
      <w:r>
        <w:rPr>
          <w:i/>
          <w:iCs/>
        </w:rPr>
        <w:t>Decision Regulation Impact Statement: Review of the model Work Health and Safety laws</w:t>
      </w:r>
      <w:r>
        <w:t>, viewed 30 June 2022, &lt;https://www.safeworkaustralia.gov.au/resources-and-publications/corporate-publications/decision-regulation-impact-statement-review-model-work-health-and-safety-laws&gt;.</w:t>
      </w:r>
    </w:p>
    <w:p w14:paraId="1339F3B1" w14:textId="77777777" w:rsidR="004067E3" w:rsidRDefault="004067E3" w:rsidP="004067E3">
      <w:pPr>
        <w:pStyle w:val="Bibliography"/>
      </w:pPr>
      <w:r>
        <w:t xml:space="preserve">Safe Work Australia 2021c, </w:t>
      </w:r>
      <w:r>
        <w:rPr>
          <w:i/>
          <w:iCs/>
        </w:rPr>
        <w:t>Clean Air. Clear Lungs.</w:t>
      </w:r>
      <w:r>
        <w:t>, viewed 30 June 2022, &lt;https://www.safeworkaustralia.gov.au/clearlungs&gt;.</w:t>
      </w:r>
    </w:p>
    <w:p w14:paraId="314676D0" w14:textId="77777777" w:rsidR="004067E3" w:rsidRDefault="004067E3" w:rsidP="004067E3">
      <w:pPr>
        <w:pStyle w:val="Bibliography"/>
      </w:pPr>
      <w:r>
        <w:t xml:space="preserve">Safe Work Australia 2022a, </w:t>
      </w:r>
      <w:r>
        <w:rPr>
          <w:i/>
          <w:iCs/>
        </w:rPr>
        <w:t>Model Code of Practice: Work health and safety consultation, cooperation and coordination</w:t>
      </w:r>
      <w:r>
        <w:t>, viewed 30 June 2022, &lt;https://www.safeworkaustralia.gov.au/doc/model-code-practice-work-health-and-safety-consultation-cooperation-and-coordination&gt;.</w:t>
      </w:r>
    </w:p>
    <w:p w14:paraId="7748D529" w14:textId="77777777" w:rsidR="004067E3" w:rsidRDefault="004067E3" w:rsidP="004067E3">
      <w:pPr>
        <w:pStyle w:val="Bibliography"/>
      </w:pPr>
      <w:r>
        <w:t xml:space="preserve">Safe Work Australia 2022b, </w:t>
      </w:r>
      <w:r>
        <w:rPr>
          <w:i/>
          <w:iCs/>
        </w:rPr>
        <w:t>Safe Work Australia Occupational Lung Diseases work plan</w:t>
      </w:r>
      <w:r>
        <w:t>, viewed 30 June 2022, &lt;https://www.safeworkaustralia.gov.au/doc/safe-work-australia-occupational-lung-diseases-work-plan&gt;.</w:t>
      </w:r>
    </w:p>
    <w:p w14:paraId="402690A9" w14:textId="77777777" w:rsidR="004067E3" w:rsidRDefault="004067E3" w:rsidP="004067E3">
      <w:pPr>
        <w:pStyle w:val="Bibliography"/>
      </w:pPr>
      <w:r>
        <w:t xml:space="preserve">Safe Work Australia 2022c, </w:t>
      </w:r>
      <w:r>
        <w:rPr>
          <w:i/>
          <w:iCs/>
        </w:rPr>
        <w:t>Working with silica and silica containing products</w:t>
      </w:r>
      <w:r>
        <w:t>, viewed 30 June 2022, &lt;https://www.safeworkaustralia.gov.au/doc/working-silica-and-silica-containing-products&gt;.</w:t>
      </w:r>
    </w:p>
    <w:p w14:paraId="22888C85" w14:textId="77777777" w:rsidR="004067E3" w:rsidRDefault="004067E3" w:rsidP="004067E3">
      <w:pPr>
        <w:pStyle w:val="Bibliography"/>
      </w:pPr>
      <w:r>
        <w:t xml:space="preserve">Safe Work Australia 2022d, </w:t>
      </w:r>
      <w:r>
        <w:rPr>
          <w:i/>
          <w:iCs/>
        </w:rPr>
        <w:t>Public Service (Subsection 24(1)—Safe Work Australia Non-SES Employees) Determination 2022</w:t>
      </w:r>
      <w:r>
        <w:t>, viewed 30 June 2022, &lt;https://www.safeworkaustralia.gov.au/doc/public-service-subsection-241-safe-work-australia-non-ses-employees-determination-2022&gt;.</w:t>
      </w:r>
    </w:p>
    <w:p w14:paraId="6B839E15" w14:textId="77777777" w:rsidR="004067E3" w:rsidRDefault="004067E3" w:rsidP="004067E3">
      <w:pPr>
        <w:pStyle w:val="Bibliography"/>
      </w:pPr>
      <w:r>
        <w:t xml:space="preserve">SafeWork NSW 2021, </w:t>
      </w:r>
      <w:r>
        <w:rPr>
          <w:i/>
          <w:iCs/>
        </w:rPr>
        <w:t>NSW Dust Disease Register Annual Report 2020-2021</w:t>
      </w:r>
      <w:r>
        <w:t>, viewed 30 June 2022, &lt;https://www.nsw.gov.au/sites/default/files/2021-08/nsw-dust-disease-register-annual-report-2020-21.pdf&gt;.</w:t>
      </w:r>
    </w:p>
    <w:p w14:paraId="33548EAE" w14:textId="77777777" w:rsidR="004067E3" w:rsidRDefault="004067E3" w:rsidP="004067E3">
      <w:pPr>
        <w:pStyle w:val="Bibliography"/>
      </w:pPr>
      <w:r>
        <w:t xml:space="preserve">SafeWork NSW 2022, </w:t>
      </w:r>
      <w:r>
        <w:rPr>
          <w:i/>
          <w:iCs/>
        </w:rPr>
        <w:t>Managing the risks of respirable crystalline silica from engineered stone in the workplace</w:t>
      </w:r>
      <w:r>
        <w:t xml:space="preserve">, </w:t>
      </w:r>
      <w:r>
        <w:rPr>
          <w:i/>
          <w:iCs/>
        </w:rPr>
        <w:t>SafeWork NSW</w:t>
      </w:r>
      <w:r>
        <w:t>, viewed 30 June 2022, &lt;https://www.safework.nsw.gov.au/resource-library/list-of-all-codes-of-practice/codes-of-practice/engineered-stone-code-of-practice&gt;.</w:t>
      </w:r>
    </w:p>
    <w:p w14:paraId="4DF27736" w14:textId="77777777" w:rsidR="004067E3" w:rsidRDefault="004067E3" w:rsidP="004067E3">
      <w:pPr>
        <w:pStyle w:val="Bibliography"/>
      </w:pPr>
      <w:r>
        <w:t xml:space="preserve">SafeWork SA 2019, </w:t>
      </w:r>
      <w:r>
        <w:rPr>
          <w:i/>
          <w:iCs/>
        </w:rPr>
        <w:t>Respirable Crystalline Silica Compliance Program - 2019 Audit Report</w:t>
      </w:r>
      <w:r>
        <w:t>, viewed 30 June 2022, &lt;https://www.safework.sa.gov.au/__data/assets/pdf_file/0010/187624/rcs_compliance_audit_report_2019.pdf&gt;.</w:t>
      </w:r>
    </w:p>
    <w:p w14:paraId="69D42FD3" w14:textId="77777777" w:rsidR="004067E3" w:rsidRDefault="004067E3" w:rsidP="004067E3">
      <w:pPr>
        <w:pStyle w:val="Bibliography"/>
      </w:pPr>
      <w:r>
        <w:t xml:space="preserve">SafeWork SA 2021, </w:t>
      </w:r>
      <w:r>
        <w:rPr>
          <w:i/>
          <w:iCs/>
        </w:rPr>
        <w:t>Respirable Crystalline Silica Campaign Report 2020-21</w:t>
      </w:r>
      <w:r>
        <w:t>, viewed 30 June 2022, &lt;https://www.safework.sa.gov.au/__data/assets/pdf_file/0006/469833/Respirable-Crystalline-Silica-Campaign-Report-2020-21.pdf&gt;.</w:t>
      </w:r>
    </w:p>
    <w:p w14:paraId="0C3BB05C" w14:textId="77777777" w:rsidR="004067E3" w:rsidRDefault="004067E3" w:rsidP="004067E3">
      <w:pPr>
        <w:pStyle w:val="Bibliography"/>
      </w:pPr>
      <w:r>
        <w:t xml:space="preserve">Seevnarain, K, Burke, N, &amp; Newbigin, K 2021, ‘Case series analysis of eight underground tunnellers with chronic silicosis in Queensland’, </w:t>
      </w:r>
      <w:r>
        <w:rPr>
          <w:i/>
          <w:iCs/>
        </w:rPr>
        <w:t>Respirology Case Reports</w:t>
      </w:r>
      <w:r>
        <w:t>, vol. 9, no. 6, p. e00756.</w:t>
      </w:r>
    </w:p>
    <w:p w14:paraId="68E972D1" w14:textId="77777777" w:rsidR="004067E3" w:rsidRDefault="004067E3" w:rsidP="004067E3">
      <w:pPr>
        <w:pStyle w:val="Bibliography"/>
      </w:pPr>
      <w:r>
        <w:t xml:space="preserve">Si, S et al. 2016, ‘The Australian Work Exposures Study: Prevalence of Occupational Exposure to Respirable Crystalline Silica’, </w:t>
      </w:r>
      <w:r>
        <w:rPr>
          <w:i/>
          <w:iCs/>
        </w:rPr>
        <w:t>The Annals of Occupational Hygiene</w:t>
      </w:r>
      <w:r>
        <w:t>, vol. 60, no. 5, pp. 631–637.</w:t>
      </w:r>
    </w:p>
    <w:p w14:paraId="5EE69B02" w14:textId="77777777" w:rsidR="004067E3" w:rsidRDefault="004067E3" w:rsidP="004067E3">
      <w:pPr>
        <w:pStyle w:val="Bibliography"/>
      </w:pPr>
      <w:r>
        <w:lastRenderedPageBreak/>
        <w:t xml:space="preserve">ThinkPlace 2018, </w:t>
      </w:r>
      <w:r>
        <w:rPr>
          <w:i/>
          <w:iCs/>
        </w:rPr>
        <w:t>Insights report: Exploring dust exposure in the stone industry</w:t>
      </w:r>
      <w:r>
        <w:t>, viewed 30 June 2022, &lt;https://www.safeworkaustralia.gov.au/system/files/documents/1903/insights-report-exploring-dust-exposure-stone-industry.pdf&gt;.</w:t>
      </w:r>
    </w:p>
    <w:p w14:paraId="4FD588D2" w14:textId="77777777" w:rsidR="004067E3" w:rsidRDefault="004067E3" w:rsidP="004067E3">
      <w:pPr>
        <w:pStyle w:val="Bibliography"/>
      </w:pPr>
      <w:r>
        <w:t xml:space="preserve">Wellbeing SA 2020, </w:t>
      </w:r>
      <w:r>
        <w:rPr>
          <w:i/>
          <w:iCs/>
        </w:rPr>
        <w:t>Silicosis Health Screening Program Baseline findings – September 2020</w:t>
      </w:r>
      <w:r>
        <w:t>, viewed 30 June 2022, &lt;https://www.safework.sa.gov.au/workplaces/chemicals-substances-and-explosives/documents/Silicosis-Health-Screening-Program-Baseline-Findings.pdf&gt;.</w:t>
      </w:r>
    </w:p>
    <w:p w14:paraId="4DEECC1C" w14:textId="77777777" w:rsidR="004067E3" w:rsidRDefault="004067E3" w:rsidP="004067E3">
      <w:pPr>
        <w:pStyle w:val="Bibliography"/>
      </w:pPr>
      <w:r>
        <w:t xml:space="preserve">WorkSafe ACT 2020, </w:t>
      </w:r>
      <w:r>
        <w:rPr>
          <w:i/>
          <w:iCs/>
        </w:rPr>
        <w:t>Silica dust</w:t>
      </w:r>
      <w:r>
        <w:t>, viewed 30 June 2022, &lt;https://www.worksafe.act.gov.au/health-and-safety-portal/safety-topics/dangerous-goods-and-hazardous-substances/silica-dust&gt;.</w:t>
      </w:r>
    </w:p>
    <w:p w14:paraId="5D19369F" w14:textId="77777777" w:rsidR="004067E3" w:rsidRDefault="004067E3" w:rsidP="004067E3">
      <w:pPr>
        <w:pStyle w:val="Bibliography"/>
      </w:pPr>
      <w:r>
        <w:t xml:space="preserve">WorkSafe ACT 2021, </w:t>
      </w:r>
      <w:r>
        <w:rPr>
          <w:i/>
          <w:iCs/>
        </w:rPr>
        <w:t>Guidance note crystalline silica dust</w:t>
      </w:r>
      <w:r>
        <w:t>, viewed 30 June 2022, &lt;https://www.worksafe.act.gov.au/__data/assets/pdf_file/0011/1793342/WorkSafe-ACT-Crystalline-Silica-Dust-Guidance-note.pdf&gt;.</w:t>
      </w:r>
    </w:p>
    <w:p w14:paraId="2B51538B" w14:textId="77777777" w:rsidR="004067E3" w:rsidRDefault="004067E3" w:rsidP="004067E3">
      <w:pPr>
        <w:pStyle w:val="Bibliography"/>
      </w:pPr>
      <w:r>
        <w:t xml:space="preserve">WorkSafe ACT 2022, </w:t>
      </w:r>
      <w:r>
        <w:rPr>
          <w:i/>
          <w:iCs/>
        </w:rPr>
        <w:t>Managing silica dust at construction sites</w:t>
      </w:r>
      <w:r>
        <w:t>, viewed 30 June 2022, &lt;https://www.worksafe.act.gov.au/__data/assets/pdf_file/0005/1931765/Guidance-note-Managing-silica-dust-at-construction-sites.pdf&gt;.</w:t>
      </w:r>
    </w:p>
    <w:p w14:paraId="69FED6E8" w14:textId="77777777" w:rsidR="004067E3" w:rsidRDefault="004067E3" w:rsidP="004067E3">
      <w:pPr>
        <w:pStyle w:val="Bibliography"/>
      </w:pPr>
      <w:r>
        <w:t xml:space="preserve">WorkSafe Tasmania 2019, </w:t>
      </w:r>
      <w:r>
        <w:rPr>
          <w:i/>
          <w:iCs/>
        </w:rPr>
        <w:t>Silica Dust Awareness Campaign 2019</w:t>
      </w:r>
      <w:r>
        <w:t>, 10, viewed 30 June 2022, &lt;https://worksafe.tas.gov.au/__data/assets/pdf_file/0007/548971/Silica-Dust-Awareness-Campaign-Kit.pdf&gt;.</w:t>
      </w:r>
    </w:p>
    <w:p w14:paraId="70877332" w14:textId="77777777" w:rsidR="004067E3" w:rsidRDefault="004067E3" w:rsidP="004067E3">
      <w:pPr>
        <w:pStyle w:val="Bibliography"/>
      </w:pPr>
      <w:r>
        <w:t xml:space="preserve">WorkSafe Tasmania 2022, </w:t>
      </w:r>
      <w:r>
        <w:rPr>
          <w:i/>
          <w:iCs/>
        </w:rPr>
        <w:t>Managing the risks of respirable crystalline silica from engineered stone in the workplace</w:t>
      </w:r>
      <w:r>
        <w:t>, viewed 30 June 2022, &lt;https://worksafe.tas.gov.au/topics/laws-and-compliance/codes-of-practice/cop-folder/managing-the-risks-of-respirable-crystalline-silica-from-engineered-stone-in-the-workplace&gt;.</w:t>
      </w:r>
    </w:p>
    <w:p w14:paraId="175B3B1B" w14:textId="77777777" w:rsidR="004067E3" w:rsidRDefault="004067E3" w:rsidP="004067E3">
      <w:pPr>
        <w:pStyle w:val="Bibliography"/>
      </w:pPr>
      <w:r>
        <w:t>WorkSafe Victoria 2020, ‘Compliance Code: Managing Exposure to Crystalline Silica - Engineered Stone’, viewed 30 June 2022, &lt;https://content.api.worksafe.vic.gov.au/sites/default/files/2020-02/ISBN-Compliance-code-managing-exposure-crystalline-silica-engineered-stone-2020-02.pdf&gt;.</w:t>
      </w:r>
    </w:p>
    <w:p w14:paraId="21F72AB1" w14:textId="77777777" w:rsidR="004067E3" w:rsidRDefault="004067E3" w:rsidP="004067E3">
      <w:pPr>
        <w:pStyle w:val="Bibliography"/>
      </w:pPr>
      <w:r>
        <w:t xml:space="preserve">WorkSafe Victoria 2021, </w:t>
      </w:r>
      <w:r>
        <w:rPr>
          <w:i/>
          <w:iCs/>
        </w:rPr>
        <w:t>Changes to protect Victorians working with crystalline silica</w:t>
      </w:r>
      <w:r>
        <w:t>, viewed 24 June 2022, &lt;https://www.worksafe.vic.gov.au/changes-protect-victorians-working-crystalline-silica&gt;.</w:t>
      </w:r>
    </w:p>
    <w:p w14:paraId="222D7E67" w14:textId="77777777" w:rsidR="004067E3" w:rsidRDefault="004067E3" w:rsidP="004067E3">
      <w:pPr>
        <w:pStyle w:val="Bibliography"/>
      </w:pPr>
      <w:r>
        <w:t xml:space="preserve">WorkSafe Western Australia 2018, </w:t>
      </w:r>
      <w:r>
        <w:rPr>
          <w:i/>
          <w:iCs/>
        </w:rPr>
        <w:t>Safety alert 11/2018 - Stone benchtop workers at risk of silicosis</w:t>
      </w:r>
      <w:r>
        <w:t>, viewed 28 June 2022, &lt;https://www.commerce.wa.gov.au/publications/safety-alert-112018-stone-benchtop-workers-risk-silicosis&gt;.</w:t>
      </w:r>
    </w:p>
    <w:p w14:paraId="4656EE70" w14:textId="77777777" w:rsidR="004067E3" w:rsidRDefault="004067E3" w:rsidP="004067E3">
      <w:pPr>
        <w:pStyle w:val="Bibliography"/>
      </w:pPr>
      <w:r>
        <w:t xml:space="preserve">WorkSafe Western Australia 2021, </w:t>
      </w:r>
      <w:r>
        <w:rPr>
          <w:i/>
          <w:iCs/>
        </w:rPr>
        <w:t>WorkSafe Western Australia silica compliance project - report</w:t>
      </w:r>
      <w:r>
        <w:t>, viewed 30 June 2022, &lt;https://www.commerce.wa.gov.au/sites/default/files/atoms/files/silica_compliance_report.pdf&gt;.</w:t>
      </w:r>
    </w:p>
    <w:p w14:paraId="5F19C6A4" w14:textId="56381595" w:rsidR="00C75317" w:rsidRPr="009D0A4A" w:rsidRDefault="006B4A7D" w:rsidP="00041D73">
      <w:pPr>
        <w:pStyle w:val="Heading1"/>
        <w:numPr>
          <w:ilvl w:val="0"/>
          <w:numId w:val="0"/>
        </w:numPr>
      </w:pPr>
      <w:r w:rsidRPr="009D0A4A">
        <w:fldChar w:fldCharType="end"/>
      </w:r>
    </w:p>
    <w:p w14:paraId="77361106" w14:textId="77777777" w:rsidR="00C75317" w:rsidRPr="009D0A4A" w:rsidRDefault="00C75317">
      <w:pPr>
        <w:rPr>
          <w:rFonts w:asciiTheme="majorHAnsi" w:hAnsiTheme="majorHAnsi"/>
          <w:b/>
          <w:color w:val="014463" w:themeColor="text2"/>
          <w:sz w:val="60"/>
          <w:szCs w:val="60"/>
        </w:rPr>
      </w:pPr>
      <w:r w:rsidRPr="009D0A4A">
        <w:br w:type="page"/>
      </w:r>
    </w:p>
    <w:p w14:paraId="30868A13" w14:textId="7AE67C28" w:rsidR="00262C50" w:rsidRPr="009D0A4A" w:rsidRDefault="00262C50" w:rsidP="00041D73">
      <w:pPr>
        <w:pStyle w:val="Heading1"/>
        <w:numPr>
          <w:ilvl w:val="0"/>
          <w:numId w:val="0"/>
        </w:numPr>
      </w:pPr>
      <w:bookmarkStart w:id="675" w:name="_Toc107395353"/>
      <w:r w:rsidRPr="009D0A4A">
        <w:lastRenderedPageBreak/>
        <w:t>Appendix A</w:t>
      </w:r>
      <w:r w:rsidR="00F84B44" w:rsidRPr="009D0A4A">
        <w:t>:</w:t>
      </w:r>
      <w:r w:rsidRPr="009D0A4A">
        <w:t xml:space="preserve"> Legislative and regulatory framework for crystalline silica under the model WHS laws</w:t>
      </w:r>
      <w:bookmarkEnd w:id="673"/>
      <w:bookmarkEnd w:id="675"/>
    </w:p>
    <w:p w14:paraId="25825619" w14:textId="77777777" w:rsidR="00262C50" w:rsidRPr="009D0A4A" w:rsidRDefault="00262C50" w:rsidP="00262C50">
      <w:pPr>
        <w:pStyle w:val="Heading4"/>
        <w:numPr>
          <w:ilvl w:val="0"/>
          <w:numId w:val="0"/>
        </w:numPr>
        <w:ind w:left="1134" w:hanging="1134"/>
        <w:jc w:val="both"/>
      </w:pPr>
      <w:r w:rsidRPr="009D0A4A">
        <w:t>What are the duties of PCBUs?</w:t>
      </w:r>
    </w:p>
    <w:p w14:paraId="142DB55B" w14:textId="3BEFFAC6" w:rsidR="00262C50" w:rsidRPr="009D0A4A" w:rsidRDefault="00262C50" w:rsidP="00262C50">
      <w:pPr>
        <w:jc w:val="both"/>
      </w:pPr>
      <w:r w:rsidRPr="009D0A4A">
        <w:t xml:space="preserve">Under the model WHS laws, a PCBU has a primary duty of care to ensure the health and safety of workers while they are at work in the business or undertaking and </w:t>
      </w:r>
      <w:r w:rsidR="00951981" w:rsidRPr="009D0A4A">
        <w:t>that the health and safety of</w:t>
      </w:r>
      <w:r w:rsidRPr="009D0A4A">
        <w:t xml:space="preserve"> others </w:t>
      </w:r>
      <w:r w:rsidR="00951981" w:rsidRPr="009D0A4A">
        <w:t>is not put at risk from</w:t>
      </w:r>
      <w:r w:rsidRPr="009D0A4A">
        <w:t xml:space="preserve"> carrying out of the work. </w:t>
      </w:r>
    </w:p>
    <w:p w14:paraId="38932758" w14:textId="6503C79D" w:rsidR="00262C50" w:rsidRPr="009D0A4A" w:rsidRDefault="00262C50" w:rsidP="00262C50">
      <w:pPr>
        <w:jc w:val="both"/>
      </w:pPr>
      <w:r w:rsidRPr="009D0A4A">
        <w:t>A PCBU is often an employer. However, the concept of PCBUs also captures modern work relationships outside of the traditional contract of employment. For example, it includes</w:t>
      </w:r>
      <w:r w:rsidR="00951981" w:rsidRPr="009D0A4A">
        <w:t xml:space="preserve"> principal and subcontractor relationships,</w:t>
      </w:r>
      <w:r w:rsidRPr="009D0A4A">
        <w:t xml:space="preserve"> host employers in a labour hire arrangement, as well as multiple employers in sub-contracting arrangements.</w:t>
      </w:r>
    </w:p>
    <w:p w14:paraId="00593928" w14:textId="2589E271" w:rsidR="00262C50" w:rsidRPr="009D0A4A" w:rsidRDefault="00262C50" w:rsidP="00262C50">
      <w:pPr>
        <w:jc w:val="both"/>
      </w:pPr>
      <w:r w:rsidRPr="009D0A4A">
        <w:t>It is the PCBU’s responsibility to eliminate risks arising from exposure to RCS or, where not reasonably practicable</w:t>
      </w:r>
      <w:r w:rsidRPr="009D0A4A">
        <w:rPr>
          <w:rStyle w:val="FootnoteReference"/>
        </w:rPr>
        <w:footnoteReference w:id="10"/>
      </w:r>
      <w:r w:rsidRPr="009D0A4A">
        <w:t>, minimise the risks so far as is reasonably practicable to workers and other persons at the workplace</w:t>
      </w:r>
      <w:r w:rsidRPr="009D0A4A">
        <w:rPr>
          <w:vertAlign w:val="superscript"/>
        </w:rPr>
        <w:footnoteReference w:id="11"/>
      </w:r>
      <w:r w:rsidRPr="009D0A4A">
        <w:t>. This includes the maintenance and monitoring of the workplace environment, as well as the provision of information, training, instruction, or supervision to protect people from risks to their health and safety.</w:t>
      </w:r>
      <w:r w:rsidR="00722C6A" w:rsidRPr="009D0A4A">
        <w:rPr>
          <w:vertAlign w:val="superscript"/>
        </w:rPr>
        <w:footnoteReference w:id="12"/>
      </w:r>
      <w:r w:rsidRPr="009D0A4A">
        <w:t xml:space="preserve"> PCBUs must also, so far as is reasonably </w:t>
      </w:r>
      <w:r w:rsidR="00766B90" w:rsidRPr="009D0A4A">
        <w:t>practicable</w:t>
      </w:r>
      <w:r w:rsidRPr="009D0A4A">
        <w:t>, consult with workers who carry out work for the business or undertaking</w:t>
      </w:r>
      <w:r w:rsidR="00951981" w:rsidRPr="009D0A4A">
        <w:t xml:space="preserve"> </w:t>
      </w:r>
      <w:r w:rsidRPr="009D0A4A">
        <w:t xml:space="preserve">who are </w:t>
      </w:r>
      <w:r w:rsidR="00951981" w:rsidRPr="009D0A4A">
        <w:t xml:space="preserve">or are likely to be </w:t>
      </w:r>
      <w:r w:rsidRPr="009D0A4A">
        <w:t>directly affected by a work health and safety matter.</w:t>
      </w:r>
      <w:r w:rsidRPr="009D0A4A">
        <w:rPr>
          <w:vertAlign w:val="superscript"/>
        </w:rPr>
        <w:footnoteReference w:id="13"/>
      </w:r>
      <w:r w:rsidRPr="009D0A4A">
        <w:t xml:space="preserve"> </w:t>
      </w:r>
      <w:r w:rsidR="00951981" w:rsidRPr="009D0A4A">
        <w:t>PCBUs must also consult with the workers’ health and safety representatives on work health and safety matters.</w:t>
      </w:r>
      <w:r w:rsidR="00951981" w:rsidRPr="009D0A4A">
        <w:rPr>
          <w:rStyle w:val="FootnoteReference"/>
        </w:rPr>
        <w:footnoteReference w:id="14"/>
      </w:r>
      <w:r w:rsidR="00951981" w:rsidRPr="009D0A4A">
        <w:t xml:space="preserve"> </w:t>
      </w:r>
      <w:r w:rsidR="00766B90" w:rsidRPr="009D0A4A">
        <w:t>For PCBUs working with RCS, examples of when c</w:t>
      </w:r>
      <w:r w:rsidRPr="009D0A4A">
        <w:t xml:space="preserve">onsultation must occur include </w:t>
      </w:r>
      <w:r w:rsidR="00766B90" w:rsidRPr="009D0A4A">
        <w:t xml:space="preserve">when </w:t>
      </w:r>
      <w:r w:rsidRPr="009D0A4A">
        <w:t xml:space="preserve">preparing risk assessments and </w:t>
      </w:r>
      <w:r w:rsidR="00951981" w:rsidRPr="009D0A4A">
        <w:t xml:space="preserve">SWMS, </w:t>
      </w:r>
      <w:r w:rsidRPr="009D0A4A">
        <w:t>developing a silica dust control plan, deciding on control measures and selecting the medical practitioner to undertake health monitoring.</w:t>
      </w:r>
      <w:r w:rsidRPr="009D0A4A">
        <w:rPr>
          <w:vertAlign w:val="superscript"/>
        </w:rPr>
        <w:footnoteReference w:id="15"/>
      </w:r>
      <w:r w:rsidRPr="009D0A4A">
        <w:t xml:space="preserve"> </w:t>
      </w:r>
    </w:p>
    <w:p w14:paraId="35C0C67E" w14:textId="542AA2C2" w:rsidR="00951981" w:rsidRPr="009D0A4A" w:rsidRDefault="00951981" w:rsidP="00262C50">
      <w:pPr>
        <w:jc w:val="both"/>
      </w:pPr>
      <w:r w:rsidRPr="009D0A4A">
        <w:t>Where there is more than one person responsible for a duty in relation to the same WHS matter, each person with the duty must, so far as is reasonably practicable, consult, cooperate and coordinate activities with all other persons who also owe the have a duty in relation to the same matter.</w:t>
      </w:r>
      <w:r w:rsidRPr="009D0A4A">
        <w:rPr>
          <w:vertAlign w:val="superscript"/>
        </w:rPr>
        <w:footnoteReference w:id="16"/>
      </w:r>
      <w:r w:rsidRPr="009D0A4A">
        <w:t xml:space="preserve">   </w:t>
      </w:r>
    </w:p>
    <w:p w14:paraId="6540D40F" w14:textId="77777777" w:rsidR="00262C50" w:rsidRPr="009D0A4A" w:rsidRDefault="00262C50" w:rsidP="00262C50">
      <w:pPr>
        <w:pStyle w:val="Heading4"/>
        <w:numPr>
          <w:ilvl w:val="0"/>
          <w:numId w:val="0"/>
        </w:numPr>
        <w:ind w:left="1134" w:hanging="1134"/>
        <w:jc w:val="both"/>
      </w:pPr>
      <w:r w:rsidRPr="009D0A4A">
        <w:t>Workplace exposure standard for RCS</w:t>
      </w:r>
    </w:p>
    <w:p w14:paraId="031435DE" w14:textId="73003ADE" w:rsidR="00262C50" w:rsidRPr="009D0A4A" w:rsidRDefault="00262C50" w:rsidP="00262C50">
      <w:pPr>
        <w:jc w:val="both"/>
        <w:rPr>
          <w:rFonts w:eastAsia="Calibri"/>
        </w:rPr>
      </w:pPr>
      <w:r w:rsidRPr="009D0A4A">
        <w:rPr>
          <w:rFonts w:eastAsia="Calibri"/>
        </w:rPr>
        <w:t>A PCBU must ensure that no person at the workplace is exposed to a substance or mixture in an airborne concentration that exceeds the exposure standard for the substance or mixture.</w:t>
      </w:r>
      <w:r w:rsidRPr="009D0A4A">
        <w:rPr>
          <w:rFonts w:eastAsia="Calibri"/>
          <w:vertAlign w:val="superscript"/>
        </w:rPr>
        <w:footnoteReference w:id="17"/>
      </w:r>
      <w:r w:rsidRPr="009D0A4A">
        <w:rPr>
          <w:rFonts w:eastAsia="Calibri"/>
        </w:rPr>
        <w:t xml:space="preserve"> The duty to ensure the </w:t>
      </w:r>
      <w:r w:rsidR="00766B90" w:rsidRPr="009D0A4A">
        <w:rPr>
          <w:rFonts w:eastAsia="Calibri"/>
        </w:rPr>
        <w:t>WES</w:t>
      </w:r>
      <w:r w:rsidRPr="009D0A4A">
        <w:rPr>
          <w:rFonts w:eastAsia="Calibri"/>
        </w:rPr>
        <w:t xml:space="preserve"> is not exceeded is absolute and not qualified by so far as is reasonably practicable. A </w:t>
      </w:r>
      <w:r w:rsidR="00E73EFC" w:rsidRPr="009D0A4A">
        <w:rPr>
          <w:rFonts w:eastAsia="Calibri"/>
        </w:rPr>
        <w:t>WES</w:t>
      </w:r>
      <w:r w:rsidRPr="009D0A4A">
        <w:rPr>
          <w:rFonts w:eastAsia="Calibri"/>
        </w:rPr>
        <w:t xml:space="preserve"> must not be adjusted upwards, even for shifts of less than eight hours</w:t>
      </w:r>
      <w:r w:rsidR="00722C6A" w:rsidRPr="009D0A4A">
        <w:rPr>
          <w:rFonts w:eastAsia="Calibri"/>
        </w:rPr>
        <w:t xml:space="preserve"> </w:t>
      </w:r>
      <w:r w:rsidR="00722C6A" w:rsidRPr="009D0A4A">
        <w:rPr>
          <w:rFonts w:eastAsia="Calibri"/>
        </w:rPr>
        <w:fldChar w:fldCharType="begin"/>
      </w:r>
      <w:r w:rsidR="004067E3">
        <w:rPr>
          <w:rFonts w:eastAsia="Calibri"/>
        </w:rPr>
        <w:instrText xml:space="preserve"> ADDIN ZOTERO_ITEM CSL_CITATION {"citationID":"3eTeH8Ks","properties":{"formattedCitation":"(Safe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00722C6A" w:rsidRPr="009D0A4A">
        <w:rPr>
          <w:rFonts w:eastAsia="Calibri"/>
        </w:rPr>
        <w:fldChar w:fldCharType="separate"/>
      </w:r>
      <w:r w:rsidR="006B4A7D" w:rsidRPr="009D0A4A">
        <w:rPr>
          <w:rFonts w:ascii="Calibri" w:hAnsi="Calibri" w:cs="Calibri"/>
        </w:rPr>
        <w:t>(Safe Work Australia 2021a)</w:t>
      </w:r>
      <w:r w:rsidR="00722C6A" w:rsidRPr="009D0A4A">
        <w:rPr>
          <w:rFonts w:eastAsia="Calibri"/>
        </w:rPr>
        <w:fldChar w:fldCharType="end"/>
      </w:r>
      <w:r w:rsidRPr="009D0A4A">
        <w:rPr>
          <w:rFonts w:eastAsia="Calibri"/>
        </w:rPr>
        <w:t>.</w:t>
      </w:r>
    </w:p>
    <w:p w14:paraId="39634723" w14:textId="1A77B27C" w:rsidR="00262C50" w:rsidRPr="009D0A4A" w:rsidRDefault="00262C50" w:rsidP="00E73EFC">
      <w:pPr>
        <w:spacing w:line="240" w:lineRule="auto"/>
        <w:jc w:val="both"/>
        <w:rPr>
          <w:rFonts w:eastAsia="Calibri" w:cstheme="minorHAnsi"/>
          <w:szCs w:val="24"/>
        </w:rPr>
      </w:pPr>
      <w:r w:rsidRPr="009D0A4A">
        <w:rPr>
          <w:rFonts w:eastAsia="Calibri" w:cstheme="minorHAnsi"/>
          <w:szCs w:val="24"/>
        </w:rPr>
        <w:lastRenderedPageBreak/>
        <w:t xml:space="preserve">This means that a PCBU must ensure that no person at the workplace is exposed to RCS at a concentration above the </w:t>
      </w:r>
      <w:r w:rsidR="00E73EFC" w:rsidRPr="009D0A4A">
        <w:rPr>
          <w:rFonts w:eastAsia="Calibri" w:cstheme="minorHAnsi"/>
          <w:szCs w:val="24"/>
        </w:rPr>
        <w:t xml:space="preserve">WES, which </w:t>
      </w:r>
      <w:r w:rsidR="00E73EFC" w:rsidRPr="009D0A4A">
        <w:rPr>
          <w:rFonts w:eastAsia="Calibri"/>
        </w:rPr>
        <w:t>is an eight-hour TWA of 0.05 mg/m</w:t>
      </w:r>
      <w:r w:rsidR="00E73EFC" w:rsidRPr="009D0A4A">
        <w:rPr>
          <w:rFonts w:eastAsia="Calibri"/>
          <w:vertAlign w:val="superscript"/>
        </w:rPr>
        <w:t>3</w:t>
      </w:r>
      <w:r w:rsidR="00E73EFC" w:rsidRPr="009D0A4A">
        <w:rPr>
          <w:rFonts w:eastAsia="Calibri"/>
        </w:rPr>
        <w:t xml:space="preserve">. </w:t>
      </w:r>
      <w:r w:rsidRPr="009D0A4A">
        <w:rPr>
          <w:rFonts w:eastAsia="Calibri" w:cstheme="minorHAnsi"/>
          <w:szCs w:val="24"/>
        </w:rPr>
        <w:t xml:space="preserve">An exposure standard represents the airborne concentration of a particular substance or mixture that must not be exceeded. However, it does not represent a line between a ‘safe’ and ‘unsafe’ concentration of an airborne substance or mixture. The exposure standard does not eliminate risk of disease and some people might experience adverse health effects below the exposure standard. </w:t>
      </w:r>
    </w:p>
    <w:p w14:paraId="7238778E" w14:textId="77777777" w:rsidR="00262C50" w:rsidRPr="009D0A4A" w:rsidRDefault="00262C50" w:rsidP="00262C50">
      <w:pPr>
        <w:pStyle w:val="Heading4"/>
        <w:numPr>
          <w:ilvl w:val="0"/>
          <w:numId w:val="0"/>
        </w:numPr>
        <w:ind w:left="1134" w:hanging="1134"/>
        <w:jc w:val="both"/>
      </w:pPr>
      <w:r w:rsidRPr="009D0A4A">
        <w:t>Air monitoring</w:t>
      </w:r>
    </w:p>
    <w:p w14:paraId="7B4F6770" w14:textId="71A7CE34" w:rsidR="00262C50" w:rsidRPr="009D0A4A" w:rsidRDefault="00262C50" w:rsidP="00262C50">
      <w:pPr>
        <w:jc w:val="both"/>
      </w:pPr>
      <w:r w:rsidRPr="009D0A4A">
        <w:t xml:space="preserve">A PCBU must undertake air monitoring in the breathing zone of workers </w:t>
      </w:r>
      <w:r w:rsidR="005F604B" w:rsidRPr="009D0A4A">
        <w:fldChar w:fldCharType="begin"/>
      </w:r>
      <w:r w:rsidR="004067E3">
        <w:instrText xml:space="preserve"> ADDIN ZOTERO_ITEM CSL_CITATION {"citationID":"bvw1dB5y","properties":{"formattedCitation":"(Safe Work Australia 2013)","plainCitation":"(Safe Work Australia 2013)","noteIndex":0},"citationItems":[{"id":906,"uris":["http://zotero.org/users/6230888/items/8YYZRRMQ"],"itemData":{"id":906,"type":"report","page":"43","title":"Workplace Exposure Standards for Airborne Contaminants","URL":"https://www.safeworkaustralia.gov.au/system/files/documents/1705/workplace-exposure-standards-airborne-contaminants-v2.pdf","author":[{"literal":"Safe Work Australia"}],"accessed":{"date-parts":[["2022",6,30]]},"issued":{"date-parts":[["2013"]]}}}],"schema":"https://github.com/citation-style-language/schema/raw/master/csl-citation.json"} </w:instrText>
      </w:r>
      <w:r w:rsidR="005F604B" w:rsidRPr="009D0A4A">
        <w:fldChar w:fldCharType="separate"/>
      </w:r>
      <w:r w:rsidR="006B4A7D" w:rsidRPr="009D0A4A">
        <w:rPr>
          <w:rFonts w:ascii="Calibri" w:hAnsi="Calibri" w:cs="Calibri"/>
        </w:rPr>
        <w:t>(Safe Work Australia 2013)</w:t>
      </w:r>
      <w:r w:rsidR="005F604B" w:rsidRPr="009D0A4A">
        <w:fldChar w:fldCharType="end"/>
      </w:r>
      <w:r w:rsidR="005F604B" w:rsidRPr="009D0A4A">
        <w:t xml:space="preserve"> </w:t>
      </w:r>
      <w:r w:rsidRPr="009D0A4A">
        <w:t>if there is uncertainty that the workplace exposure standard is being exceeded or if it is necessary to determine whether there is a risk to a worker’s health.</w:t>
      </w:r>
      <w:r w:rsidRPr="009D0A4A">
        <w:rPr>
          <w:vertAlign w:val="superscript"/>
        </w:rPr>
        <w:footnoteReference w:id="18"/>
      </w:r>
      <w:r w:rsidRPr="009D0A4A">
        <w:t xml:space="preserve"> Air monitoring records must be kept for a period of 30 years and must be readily accessible to persons in the workplace who may be exposed to RCS.</w:t>
      </w:r>
      <w:r w:rsidRPr="009D0A4A">
        <w:rPr>
          <w:vertAlign w:val="superscript"/>
        </w:rPr>
        <w:footnoteReference w:id="19"/>
      </w:r>
      <w:r w:rsidRPr="009D0A4A">
        <w:t xml:space="preserve"> The air monitoring report should be made available to a work health and safety inspector on request and to a registered medical practitioner carrying out or supervising health monitoring</w:t>
      </w:r>
      <w:r w:rsidR="005F604B" w:rsidRPr="009D0A4A">
        <w:t xml:space="preserve"> </w:t>
      </w:r>
      <w:r w:rsidR="005F604B" w:rsidRPr="009D0A4A">
        <w:fldChar w:fldCharType="begin"/>
      </w:r>
      <w:r w:rsidR="004067E3">
        <w:instrText xml:space="preserve"> ADDIN ZOTERO_ITEM CSL_CITATION {"citationID":"oGJEJ7pV","properties":{"formattedCitation":"(Safe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005F604B" w:rsidRPr="009D0A4A">
        <w:fldChar w:fldCharType="separate"/>
      </w:r>
      <w:r w:rsidR="006B4A7D" w:rsidRPr="009D0A4A">
        <w:rPr>
          <w:rFonts w:ascii="Calibri" w:hAnsi="Calibri" w:cs="Calibri"/>
        </w:rPr>
        <w:t>(Safe Work Australia 2021a)</w:t>
      </w:r>
      <w:r w:rsidR="005F604B" w:rsidRPr="009D0A4A">
        <w:fldChar w:fldCharType="end"/>
      </w:r>
      <w:r w:rsidR="005F604B" w:rsidRPr="009D0A4A">
        <w:t>.</w:t>
      </w:r>
    </w:p>
    <w:p w14:paraId="30402069" w14:textId="77777777" w:rsidR="00262C50" w:rsidRPr="009D0A4A" w:rsidRDefault="00262C50" w:rsidP="00262C50">
      <w:pPr>
        <w:pStyle w:val="Heading4"/>
        <w:numPr>
          <w:ilvl w:val="0"/>
          <w:numId w:val="0"/>
        </w:numPr>
        <w:ind w:left="1134" w:hanging="1134"/>
        <w:jc w:val="both"/>
      </w:pPr>
      <w:r w:rsidRPr="009D0A4A">
        <w:t>Health monitoring</w:t>
      </w:r>
    </w:p>
    <w:p w14:paraId="21EFE643" w14:textId="44853EB5" w:rsidR="00951981" w:rsidRPr="009D0A4A" w:rsidRDefault="00951981" w:rsidP="00951981">
      <w:pPr>
        <w:jc w:val="both"/>
      </w:pPr>
      <w:r w:rsidRPr="009D0A4A">
        <w:t>PCBUs must also provide and pay for health monitoring for workers if they carry out ongoing work generating RCS, or there is a significant risk to the worker’s health because of exposure.</w:t>
      </w:r>
      <w:r w:rsidRPr="009D0A4A">
        <w:rPr>
          <w:vertAlign w:val="superscript"/>
        </w:rPr>
        <w:footnoteReference w:id="20"/>
      </w:r>
      <w:r w:rsidRPr="009D0A4A">
        <w:t xml:space="preserve"> Health monitoring must be undertaken by or under the supervision of a medical practitioner with experience in health monitoring and a record must be kept for a period of 30 years and be given to the worker  as soon as practicable after receipt and to the regulator in certain circumstances.</w:t>
      </w:r>
      <w:r w:rsidRPr="009D0A4A">
        <w:rPr>
          <w:vertAlign w:val="superscript"/>
        </w:rPr>
        <w:footnoteReference w:id="21"/>
      </w:r>
    </w:p>
    <w:p w14:paraId="4A27F330" w14:textId="77777777" w:rsidR="00262C50" w:rsidRPr="009D0A4A" w:rsidRDefault="00262C50" w:rsidP="00262C50">
      <w:pPr>
        <w:jc w:val="both"/>
      </w:pPr>
      <w:r w:rsidRPr="009D0A4A">
        <w:t xml:space="preserve">Under Schedule 14 to the model WHS Regulations, the minimum requirements for health monitoring for crystalline silica through exposure to RCS are: </w:t>
      </w:r>
    </w:p>
    <w:p w14:paraId="79A95439" w14:textId="77777777" w:rsidR="00262C50" w:rsidRPr="009D0A4A" w:rsidRDefault="00262C50" w:rsidP="000C20A5">
      <w:pPr>
        <w:pStyle w:val="BodyText"/>
        <w:numPr>
          <w:ilvl w:val="0"/>
          <w:numId w:val="33"/>
        </w:numPr>
      </w:pPr>
      <w:r w:rsidRPr="009D0A4A">
        <w:t>collection of demographic, medical and occupational history</w:t>
      </w:r>
    </w:p>
    <w:p w14:paraId="7010FC1A" w14:textId="77777777" w:rsidR="00262C50" w:rsidRPr="009D0A4A" w:rsidRDefault="00262C50" w:rsidP="000C20A5">
      <w:pPr>
        <w:pStyle w:val="BodyText"/>
        <w:numPr>
          <w:ilvl w:val="0"/>
          <w:numId w:val="33"/>
        </w:numPr>
      </w:pPr>
      <w:r w:rsidRPr="009D0A4A">
        <w:t>records of personal exposure</w:t>
      </w:r>
    </w:p>
    <w:p w14:paraId="56A452C7" w14:textId="77777777" w:rsidR="00262C50" w:rsidRPr="009D0A4A" w:rsidRDefault="00262C50" w:rsidP="000C20A5">
      <w:pPr>
        <w:pStyle w:val="BodyText"/>
        <w:numPr>
          <w:ilvl w:val="0"/>
          <w:numId w:val="33"/>
        </w:numPr>
      </w:pPr>
      <w:r w:rsidRPr="009D0A4A">
        <w:t>standardised respiratory questionnaire</w:t>
      </w:r>
    </w:p>
    <w:p w14:paraId="79087455" w14:textId="77777777" w:rsidR="00262C50" w:rsidRPr="009D0A4A" w:rsidRDefault="00262C50" w:rsidP="000C20A5">
      <w:pPr>
        <w:pStyle w:val="BodyText"/>
        <w:numPr>
          <w:ilvl w:val="0"/>
          <w:numId w:val="33"/>
        </w:numPr>
      </w:pPr>
      <w:r w:rsidRPr="009D0A4A">
        <w:t xml:space="preserve">standardised respiratory function tests, and </w:t>
      </w:r>
    </w:p>
    <w:p w14:paraId="5463CB20" w14:textId="68AE4451" w:rsidR="00262C50" w:rsidRPr="009D0A4A" w:rsidRDefault="00262C50" w:rsidP="000C20A5">
      <w:pPr>
        <w:pStyle w:val="BodyText"/>
        <w:numPr>
          <w:ilvl w:val="0"/>
          <w:numId w:val="33"/>
        </w:numPr>
      </w:pPr>
      <w:r w:rsidRPr="009D0A4A">
        <w:t>chest X-Ray full posterior-anterior view.</w:t>
      </w:r>
    </w:p>
    <w:p w14:paraId="13747A59" w14:textId="5D7A3578" w:rsidR="00262C50" w:rsidRPr="009D0A4A" w:rsidRDefault="00262C50" w:rsidP="00262C50">
      <w:pPr>
        <w:jc w:val="both"/>
      </w:pPr>
      <w:r w:rsidRPr="009D0A4A">
        <w:t>The model WHS Regulations allow for alternative types of health monitoring if they are equal or better to these methods and the use of that other type of monitoring is recommended by a registered medical practitioner with experience in health monitoring.</w:t>
      </w:r>
      <w:r w:rsidRPr="009D0A4A">
        <w:rPr>
          <w:rStyle w:val="FootnoteReference"/>
        </w:rPr>
        <w:footnoteReference w:id="22"/>
      </w:r>
      <w:r w:rsidRPr="009D0A4A">
        <w:t xml:space="preserve"> In Western Australia </w:t>
      </w:r>
      <w:r w:rsidR="00E73EFC" w:rsidRPr="009D0A4A">
        <w:t xml:space="preserve">low dose </w:t>
      </w:r>
      <w:r w:rsidRPr="009D0A4A">
        <w:t xml:space="preserve">HRCT is explicitly required instead of chest X-Ray for health monitoring. </w:t>
      </w:r>
    </w:p>
    <w:p w14:paraId="76865523" w14:textId="627B0069" w:rsidR="00262C50" w:rsidRPr="009D0A4A" w:rsidRDefault="00262C50" w:rsidP="00262C50">
      <w:pPr>
        <w:jc w:val="both"/>
      </w:pPr>
      <w:r w:rsidRPr="009D0A4A">
        <w:t>The PCBU is also responsible for providing information to staff about health monitoring, and for providing copies of the health monitoring report to the worker, other PCBUs who have a duty to the worker, and in some cases the WHS regulator</w:t>
      </w:r>
      <w:r w:rsidR="005F604B" w:rsidRPr="009D0A4A">
        <w:t xml:space="preserve"> </w:t>
      </w:r>
      <w:r w:rsidR="005F604B" w:rsidRPr="009D0A4A">
        <w:fldChar w:fldCharType="begin"/>
      </w:r>
      <w:r w:rsidR="004067E3">
        <w:instrText xml:space="preserve"> ADDIN ZOTERO_ITEM CSL_CITATION {"citationID":"2DgHLzFf","properties":{"formattedCitation":"(Safe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005F604B" w:rsidRPr="009D0A4A">
        <w:fldChar w:fldCharType="separate"/>
      </w:r>
      <w:r w:rsidR="006B4A7D" w:rsidRPr="009D0A4A">
        <w:rPr>
          <w:rFonts w:ascii="Calibri" w:hAnsi="Calibri" w:cs="Calibri"/>
        </w:rPr>
        <w:t>(Safe Work Australia 2021a)</w:t>
      </w:r>
      <w:r w:rsidR="005F604B" w:rsidRPr="009D0A4A">
        <w:fldChar w:fldCharType="end"/>
      </w:r>
      <w:r w:rsidRPr="009D0A4A">
        <w:t>. If a report indicates that a worker is experiencing adverse health effects or signs of illness because of exposure to RCS, control measure</w:t>
      </w:r>
      <w:r w:rsidR="00951981" w:rsidRPr="009D0A4A">
        <w:t>s</w:t>
      </w:r>
      <w:r w:rsidRPr="009D0A4A">
        <w:t xml:space="preserve"> in the workplace must be reviewed and revised as necessary</w:t>
      </w:r>
      <w:r w:rsidR="005F604B" w:rsidRPr="009D0A4A">
        <w:t xml:space="preserve"> </w:t>
      </w:r>
      <w:r w:rsidR="005F604B" w:rsidRPr="009D0A4A">
        <w:fldChar w:fldCharType="begin"/>
      </w:r>
      <w:r w:rsidR="004067E3">
        <w:instrText xml:space="preserve"> ADDIN ZOTERO_ITEM CSL_CITATION {"citationID":"h5BNMrZM","properties":{"formattedCitation":"(Safe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005F604B" w:rsidRPr="009D0A4A">
        <w:fldChar w:fldCharType="separate"/>
      </w:r>
      <w:r w:rsidR="006B4A7D" w:rsidRPr="009D0A4A">
        <w:rPr>
          <w:rFonts w:ascii="Calibri" w:hAnsi="Calibri" w:cs="Calibri"/>
        </w:rPr>
        <w:t>(Safe Work Australia 2021a)</w:t>
      </w:r>
      <w:r w:rsidR="005F604B" w:rsidRPr="009D0A4A">
        <w:fldChar w:fldCharType="end"/>
      </w:r>
      <w:r w:rsidRPr="009D0A4A">
        <w:t>.</w:t>
      </w:r>
    </w:p>
    <w:p w14:paraId="1A7D1162" w14:textId="0A2E3A0C" w:rsidR="00262C50" w:rsidRPr="009D0A4A" w:rsidRDefault="00262C50" w:rsidP="00262C50">
      <w:pPr>
        <w:pStyle w:val="Heading4"/>
        <w:numPr>
          <w:ilvl w:val="0"/>
          <w:numId w:val="0"/>
        </w:numPr>
        <w:ind w:left="1134" w:hanging="1134"/>
        <w:jc w:val="both"/>
      </w:pPr>
      <w:r w:rsidRPr="009D0A4A">
        <w:t>High risk construction work and preparation of SWMS</w:t>
      </w:r>
    </w:p>
    <w:p w14:paraId="4B10A535" w14:textId="4A8EEA34" w:rsidR="00262C50" w:rsidRPr="009D0A4A" w:rsidRDefault="00262C50" w:rsidP="00262C50">
      <w:pPr>
        <w:jc w:val="both"/>
      </w:pPr>
      <w:r w:rsidRPr="009D0A4A">
        <w:t xml:space="preserve">Construction work is defined in the model WHS Regulations as any work carried out in connection with the construction, alteration, conversion, fitting-out, commissioning, renovation, repair, maintenance, refurbishment, demolition, decommissioning or dismantling of a structure. Regulation 291 of the model WHS Regulations sets out a list of high risk construction work for which a SWMS is required. This includes work carried out in an area that may have a contaminated or flammable atmosphere. Construction work that involves processing silica containing materials is high risk construction work </w:t>
      </w:r>
      <w:r w:rsidR="00E73EFC" w:rsidRPr="009D0A4A">
        <w:lastRenderedPageBreak/>
        <w:t xml:space="preserve">when </w:t>
      </w:r>
      <w:r w:rsidRPr="009D0A4A">
        <w:t xml:space="preserve">it generates RCS that may contaminate the workplace’s atmosphere and </w:t>
      </w:r>
      <w:r w:rsidR="00E73EFC" w:rsidRPr="009D0A4A">
        <w:t xml:space="preserve">would </w:t>
      </w:r>
      <w:r w:rsidRPr="009D0A4A">
        <w:t>require a SWMS</w:t>
      </w:r>
      <w:r w:rsidR="005F604B" w:rsidRPr="009D0A4A">
        <w:t xml:space="preserve"> </w:t>
      </w:r>
      <w:r w:rsidR="005F604B" w:rsidRPr="009D0A4A">
        <w:fldChar w:fldCharType="begin"/>
      </w:r>
      <w:r w:rsidR="004067E3">
        <w:instrText xml:space="preserve"> ADDIN ZOTERO_ITEM CSL_CITATION {"citationID":"QhAMx97o","properties":{"formattedCitation":"(Safe Work Australia 2021a)","plainCitation":"(Safe Work Australia 2021a)","noteIndex":0},"citationItems":[{"id":815,"uris":["http://zotero.org/users/6230888/items/VLQNCP7D"],"itemData":{"id":815,"type":"report","page":"59","title":"Model Code of Practice: Managing the risks of respirable crystalline silica from engineered stone in the workplace","URL":"https://www.safeworkaustralia.gov.au/doc/model-code-practice-managing-risks-respirable-crystalline-silica-engineered-stone-workplace","author":[{"literal":"Safe Work Australia"}],"accessed":{"date-parts":[["2022",6,30]]},"issued":{"date-parts":[["2021"]]}}}],"schema":"https://github.com/citation-style-language/schema/raw/master/csl-citation.json"} </w:instrText>
      </w:r>
      <w:r w:rsidR="005F604B" w:rsidRPr="009D0A4A">
        <w:fldChar w:fldCharType="separate"/>
      </w:r>
      <w:r w:rsidR="006B4A7D" w:rsidRPr="009D0A4A">
        <w:rPr>
          <w:rFonts w:ascii="Calibri" w:hAnsi="Calibri" w:cs="Calibri"/>
        </w:rPr>
        <w:t>(Safe Work Australia 2021a)</w:t>
      </w:r>
      <w:r w:rsidR="005F604B" w:rsidRPr="009D0A4A">
        <w:fldChar w:fldCharType="end"/>
      </w:r>
      <w:r w:rsidRPr="009D0A4A">
        <w:t>.</w:t>
      </w:r>
    </w:p>
    <w:p w14:paraId="589EBC77" w14:textId="77777777" w:rsidR="00262C50" w:rsidRPr="009D0A4A" w:rsidRDefault="00262C50" w:rsidP="00262C50">
      <w:pPr>
        <w:jc w:val="both"/>
      </w:pPr>
      <w:r w:rsidRPr="009D0A4A">
        <w:t>The SWMS must be accessible and understandable to any individual who needs to use it.</w:t>
      </w:r>
      <w:r w:rsidRPr="009D0A4A">
        <w:rPr>
          <w:vertAlign w:val="superscript"/>
        </w:rPr>
        <w:footnoteReference w:id="23"/>
      </w:r>
      <w:r w:rsidRPr="009D0A4A">
        <w:rPr>
          <w:vertAlign w:val="superscript"/>
        </w:rPr>
        <w:t xml:space="preserve"> </w:t>
      </w:r>
      <w:r w:rsidRPr="009D0A4A">
        <w:t>If any high risk construction work is carried out, outside the manner stipulated in the SWMS, the PCBU must ensure that the work is stopped immediately or as soon as it is safe to do so, and only resumed in accordance with the SWMS.</w:t>
      </w:r>
      <w:r w:rsidRPr="009D0A4A">
        <w:rPr>
          <w:vertAlign w:val="superscript"/>
        </w:rPr>
        <w:footnoteReference w:id="24"/>
      </w:r>
    </w:p>
    <w:p w14:paraId="5CB115BE" w14:textId="77777777" w:rsidR="00262C50" w:rsidRPr="009D0A4A" w:rsidRDefault="00262C50" w:rsidP="00262C50">
      <w:pPr>
        <w:pStyle w:val="Heading4"/>
        <w:numPr>
          <w:ilvl w:val="0"/>
          <w:numId w:val="0"/>
        </w:numPr>
        <w:ind w:left="1134" w:hanging="1134"/>
        <w:jc w:val="both"/>
      </w:pPr>
      <w:r w:rsidRPr="009D0A4A">
        <w:t>Other duties for PCBUs working with engineered stone</w:t>
      </w:r>
    </w:p>
    <w:p w14:paraId="109C052D" w14:textId="13F3C9C9" w:rsidR="00262C50" w:rsidRPr="009D0A4A" w:rsidRDefault="00262C50" w:rsidP="00262C50">
      <w:pPr>
        <w:jc w:val="both"/>
      </w:pPr>
      <w:r w:rsidRPr="009D0A4A">
        <w:t xml:space="preserve">The </w:t>
      </w:r>
      <w:r w:rsidR="00E73EFC" w:rsidRPr="009D0A4A">
        <w:t>model Code of Practice: Managing the risks of respirable crystalline silica from engineered stone in the workplace</w:t>
      </w:r>
      <w:r w:rsidRPr="009D0A4A">
        <w:t xml:space="preserve"> (the model Code), published in October 2021, outlines specific duties for PCBUs working with engineered stone. </w:t>
      </w:r>
    </w:p>
    <w:p w14:paraId="4C7F3915" w14:textId="50A2D924" w:rsidR="00262C50" w:rsidRPr="009D0A4A" w:rsidRDefault="00262C50" w:rsidP="00E73EFC">
      <w:pPr>
        <w:jc w:val="both"/>
      </w:pPr>
      <w:r w:rsidRPr="009D0A4A">
        <w:t xml:space="preserve">To have legal effect in a jurisdiction, a model Code must be approved as a code of practice in that jurisdiction. As of </w:t>
      </w:r>
      <w:r w:rsidR="005A0504" w:rsidRPr="009D0A4A">
        <w:t>June</w:t>
      </w:r>
      <w:r w:rsidRPr="009D0A4A">
        <w:t xml:space="preserve"> 2022, the model Code has been enacted in New South Wales and Tasmania. </w:t>
      </w:r>
      <w:r w:rsidR="00E73EFC" w:rsidRPr="009D0A4A">
        <w:t>In 2019, Queensland implemented a Code of Practice: Managing respirable crystalline silica dust exposure in the stone benchtop industry covering natural and engineered stone</w:t>
      </w:r>
      <w:r w:rsidR="005F604B" w:rsidRPr="009D0A4A">
        <w:t xml:space="preserve"> </w:t>
      </w:r>
      <w:r w:rsidR="005F604B" w:rsidRPr="009D0A4A">
        <w:rPr>
          <w:rFonts w:ascii="Calibri" w:hAnsi="Calibri" w:cs="Calibri"/>
        </w:rPr>
        <w:t>(Workplace Health and Safety Queensland 2019)</w:t>
      </w:r>
      <w:r w:rsidR="00E73EFC" w:rsidRPr="009D0A4A">
        <w:t>. WorkSafe Victoria has also implemented a Compliance Code: Managing Exposure to Crystalline Silica - Engineered Stone</w:t>
      </w:r>
      <w:r w:rsidR="00474FA2" w:rsidRPr="009D0A4A">
        <w:t xml:space="preserve"> </w:t>
      </w:r>
      <w:r w:rsidR="00474FA2" w:rsidRPr="009D0A4A">
        <w:fldChar w:fldCharType="begin"/>
      </w:r>
      <w:r w:rsidR="004067E3">
        <w:instrText xml:space="preserve"> ADDIN ZOTERO_ITEM CSL_CITATION {"citationID":"jVohT0Ti","properties":{"formattedCitation":"(WorkSafe Victoria 2020)","plainCitation":"(WorkSafe Victoria 2020)","noteIndex":0},"citationItems":[{"id":910,"uris":["http://zotero.org/users/6230888/items/TKUYXSS4"],"itemData":{"id":910,"type":"document","title":"Compliance Code: Managing Exposure to Crystalline Silica - Engineered Stone","URL":"https://content.api.worksafe.vic.gov.au/sites/default/files/2020-02/ISBN-Compliance-code-managing-exposure-crystalline-silica-engineered-stone-2020-02.pdf","author":[{"literal":"WorkSafe Victoria"}],"accessed":{"date-parts":[["2022",6,30]]},"issued":{"date-parts":[["2020"]]}}}],"schema":"https://github.com/citation-style-language/schema/raw/master/csl-citation.json"} </w:instrText>
      </w:r>
      <w:r w:rsidR="00474FA2" w:rsidRPr="009D0A4A">
        <w:fldChar w:fldCharType="separate"/>
      </w:r>
      <w:r w:rsidR="006B4A7D" w:rsidRPr="009D0A4A">
        <w:rPr>
          <w:rFonts w:ascii="Calibri" w:hAnsi="Calibri" w:cs="Calibri"/>
        </w:rPr>
        <w:t>(WorkSafe Victoria 2020)</w:t>
      </w:r>
      <w:r w:rsidR="00474FA2" w:rsidRPr="009D0A4A">
        <w:fldChar w:fldCharType="end"/>
      </w:r>
      <w:r w:rsidR="00E73EFC" w:rsidRPr="009D0A4A">
        <w:t>.</w:t>
      </w:r>
    </w:p>
    <w:p w14:paraId="47BDBB23" w14:textId="77777777" w:rsidR="00262C50" w:rsidRPr="009D0A4A" w:rsidRDefault="00262C50" w:rsidP="00262C50">
      <w:pPr>
        <w:jc w:val="both"/>
      </w:pPr>
      <w:r w:rsidRPr="009D0A4A">
        <w:t>The model Code:</w:t>
      </w:r>
    </w:p>
    <w:p w14:paraId="54C105C1" w14:textId="77777777" w:rsidR="00262C50" w:rsidRPr="009D0A4A" w:rsidRDefault="00262C50" w:rsidP="000C20A5">
      <w:pPr>
        <w:pStyle w:val="BodyText"/>
        <w:numPr>
          <w:ilvl w:val="0"/>
          <w:numId w:val="33"/>
        </w:numPr>
      </w:pPr>
      <w:r w:rsidRPr="009D0A4A">
        <w:t>provides a definition of engineered stone</w:t>
      </w:r>
    </w:p>
    <w:p w14:paraId="0C06A75D" w14:textId="77777777" w:rsidR="00262C50" w:rsidRPr="009D0A4A" w:rsidRDefault="00262C50" w:rsidP="000C20A5">
      <w:pPr>
        <w:pStyle w:val="BodyText"/>
        <w:numPr>
          <w:ilvl w:val="0"/>
          <w:numId w:val="33"/>
        </w:numPr>
      </w:pPr>
      <w:r w:rsidRPr="009D0A4A">
        <w:t>clarifies that the on-site installation of engineered stone is considered high risk construction work if the processes used to install, modify or repair the engineered stone such as, cutting, grinding, trimming, drilling, sanding, or polishing generate RCS and contaminates the work area</w:t>
      </w:r>
    </w:p>
    <w:p w14:paraId="5FB81AC0" w14:textId="77777777" w:rsidR="004F3309" w:rsidRPr="009D0A4A" w:rsidRDefault="00262C50" w:rsidP="000C20A5">
      <w:pPr>
        <w:pStyle w:val="BodyText"/>
        <w:numPr>
          <w:ilvl w:val="0"/>
          <w:numId w:val="33"/>
        </w:numPr>
      </w:pPr>
      <w:r w:rsidRPr="009D0A4A">
        <w:t xml:space="preserve">requires PCBU(s) to prepare a SWMS before any on-site installation of engineered stone that involves any processing, modification or repair of engineered stone that may generate RCS, </w:t>
      </w:r>
    </w:p>
    <w:p w14:paraId="764F63FD" w14:textId="2B0E9930" w:rsidR="00262C50" w:rsidRPr="009D0A4A" w:rsidRDefault="004F3309" w:rsidP="000C20A5">
      <w:pPr>
        <w:pStyle w:val="BodyText"/>
        <w:numPr>
          <w:ilvl w:val="0"/>
          <w:numId w:val="33"/>
        </w:numPr>
      </w:pPr>
      <w:r w:rsidRPr="009D0A4A">
        <w:t xml:space="preserve">clarifies the duties for PCBUs working with engineered stone to undertake air and health monitoring, </w:t>
      </w:r>
      <w:r w:rsidR="00262C50" w:rsidRPr="009D0A4A">
        <w:t xml:space="preserve">and </w:t>
      </w:r>
    </w:p>
    <w:p w14:paraId="5EBBCC81" w14:textId="77777777" w:rsidR="00262C50" w:rsidRPr="009D0A4A" w:rsidRDefault="00262C50" w:rsidP="000C20A5">
      <w:pPr>
        <w:pStyle w:val="BodyText"/>
        <w:numPr>
          <w:ilvl w:val="0"/>
          <w:numId w:val="33"/>
        </w:numPr>
      </w:pPr>
      <w:r w:rsidRPr="009D0A4A">
        <w:t xml:space="preserve">specifies that PCBUs must not direct or allow workers to undertake uncontrolled dry cutting or processing of engineered stone. </w:t>
      </w:r>
    </w:p>
    <w:p w14:paraId="7C89F5B5" w14:textId="77777777" w:rsidR="00262C50" w:rsidRPr="009D0A4A" w:rsidRDefault="00262C50" w:rsidP="00EF4444">
      <w:pPr>
        <w:pStyle w:val="Heading3"/>
        <w:numPr>
          <w:ilvl w:val="0"/>
          <w:numId w:val="0"/>
        </w:numPr>
      </w:pPr>
      <w:r w:rsidRPr="009D0A4A">
        <w:t>Duties of designers, manufacturers, importers, suppliers and those who install or commission plant or structures</w:t>
      </w:r>
    </w:p>
    <w:p w14:paraId="53A42168" w14:textId="77777777" w:rsidR="00262C50" w:rsidRPr="009D0A4A" w:rsidRDefault="00262C50" w:rsidP="00262C50">
      <w:pPr>
        <w:spacing w:before="120"/>
        <w:jc w:val="both"/>
      </w:pPr>
      <w:r w:rsidRPr="009D0A4A">
        <w:t xml:space="preserve">A designer, manufacturer, importer or supplier of silica containing products must ensure, so far as is reasonably practicable, that the silica containing products they design, manufacture, import, supply or install is without risk to health and safety. This includes undertaking necessary testing and providing adequate information about the silica containing products. </w:t>
      </w:r>
    </w:p>
    <w:p w14:paraId="5AA267F9" w14:textId="77777777" w:rsidR="00262C50" w:rsidRPr="009D0A4A" w:rsidRDefault="00262C50" w:rsidP="00262C50">
      <w:pPr>
        <w:jc w:val="both"/>
      </w:pPr>
      <w:r w:rsidRPr="009D0A4A">
        <w:t xml:space="preserve">Suppliers of equipment (such as hand-held water-fed power tools or RPE) should take all reasonable steps to ensure appropriate information about the safe use of the equipment is available. </w:t>
      </w:r>
    </w:p>
    <w:p w14:paraId="237BA974" w14:textId="77777777" w:rsidR="00262C50" w:rsidRPr="009D0A4A" w:rsidRDefault="00262C50" w:rsidP="00262C50">
      <w:pPr>
        <w:jc w:val="both"/>
        <w:rPr>
          <w:lang w:eastAsia="en-AU"/>
        </w:rPr>
      </w:pPr>
      <w:r w:rsidRPr="009D0A4A">
        <w:rPr>
          <w:lang w:eastAsia="en-AU"/>
        </w:rPr>
        <w:t>A PCBU who installs, constructs or commissions structures must also ensure, so far as is reasonably practicable, all workplace activity relating to the plant or structure including its decommissioning or dismantling is without risks to health or safety. A structure is defined as anything that is constructed, whether fixed or moveable, temporary or permanent, including buildings and underground works (such as shafts or tunnels).</w:t>
      </w:r>
    </w:p>
    <w:p w14:paraId="5A20937E" w14:textId="77777777" w:rsidR="00262C50" w:rsidRPr="009D0A4A" w:rsidRDefault="00262C50" w:rsidP="00262C50">
      <w:pPr>
        <w:pStyle w:val="Heading3"/>
        <w:numPr>
          <w:ilvl w:val="0"/>
          <w:numId w:val="0"/>
        </w:numPr>
        <w:ind w:left="1021" w:hanging="1021"/>
        <w:jc w:val="both"/>
      </w:pPr>
      <w:r w:rsidRPr="009D0A4A">
        <w:t>Duties of principal contractors</w:t>
      </w:r>
    </w:p>
    <w:p w14:paraId="2EC72623" w14:textId="09ACDCF1" w:rsidR="00262C50" w:rsidRPr="009D0A4A" w:rsidRDefault="00262C50" w:rsidP="00262C50">
      <w:pPr>
        <w:jc w:val="both"/>
        <w:rPr>
          <w:rFonts w:cstheme="minorHAnsi"/>
        </w:rPr>
      </w:pPr>
      <w:r w:rsidRPr="009D0A4A">
        <w:t xml:space="preserve">Projects involving construction work that cost $250,000 or more are classified as ‘construction </w:t>
      </w:r>
      <w:r w:rsidRPr="009D0A4A">
        <w:rPr>
          <w:rFonts w:cstheme="minorHAnsi"/>
        </w:rPr>
        <w:t xml:space="preserve">projects’ under the model WHS laws. Each construction project has a ‘principal contractor’. A principal contractor is also a PCBU. </w:t>
      </w:r>
    </w:p>
    <w:p w14:paraId="290ECCA1" w14:textId="77777777" w:rsidR="00262C50" w:rsidRPr="009D0A4A" w:rsidRDefault="00262C50" w:rsidP="00262C50">
      <w:pPr>
        <w:spacing w:before="120"/>
        <w:jc w:val="both"/>
        <w:rPr>
          <w:rFonts w:cstheme="minorHAnsi"/>
        </w:rPr>
      </w:pPr>
      <w:r w:rsidRPr="009D0A4A">
        <w:rPr>
          <w:rFonts w:cstheme="minorHAnsi"/>
        </w:rPr>
        <w:lastRenderedPageBreak/>
        <w:t>In addition to the primary duties imposed on a principal contractor as a PCBU, the principal contractor has duties relating to WHS management plans, ensuring general compliance, and managing specific risks.</w:t>
      </w:r>
    </w:p>
    <w:p w14:paraId="37CD1401" w14:textId="77777777" w:rsidR="00262C50" w:rsidRPr="009D0A4A" w:rsidRDefault="00262C50" w:rsidP="00262C50">
      <w:pPr>
        <w:pStyle w:val="Heading3"/>
        <w:numPr>
          <w:ilvl w:val="0"/>
          <w:numId w:val="0"/>
        </w:numPr>
        <w:ind w:left="1021" w:hanging="1021"/>
        <w:jc w:val="both"/>
      </w:pPr>
      <w:r w:rsidRPr="009D0A4A">
        <w:t>Duties of workers</w:t>
      </w:r>
    </w:p>
    <w:p w14:paraId="51854A32" w14:textId="77777777" w:rsidR="00262C50" w:rsidRPr="009D0A4A" w:rsidRDefault="00262C50" w:rsidP="00262C50">
      <w:pPr>
        <w:jc w:val="both"/>
        <w:rPr>
          <w:rFonts w:cstheme="minorHAnsi"/>
        </w:rPr>
      </w:pPr>
      <w:r w:rsidRPr="009D0A4A">
        <w:rPr>
          <w:rFonts w:cstheme="minorHAnsi"/>
        </w:rPr>
        <w:t>Workers have a duty to take reasonable care for their own health and safety, and to take reasonable care to not adversely affect the health and safety of other persons.</w:t>
      </w:r>
      <w:r w:rsidRPr="009D0A4A">
        <w:rPr>
          <w:rStyle w:val="FootnoteReference"/>
          <w:rFonts w:cstheme="minorHAnsi"/>
        </w:rPr>
        <w:footnoteReference w:id="25"/>
      </w:r>
      <w:r w:rsidRPr="009D0A4A">
        <w:rPr>
          <w:rFonts w:cstheme="minorHAnsi"/>
        </w:rPr>
        <w:t xml:space="preserve"> </w:t>
      </w:r>
    </w:p>
    <w:p w14:paraId="017C4638" w14:textId="77777777" w:rsidR="00262C50" w:rsidRPr="009D0A4A" w:rsidRDefault="00262C50" w:rsidP="00262C50">
      <w:pPr>
        <w:jc w:val="both"/>
        <w:rPr>
          <w:rFonts w:cstheme="minorHAnsi"/>
        </w:rPr>
      </w:pPr>
      <w:r w:rsidRPr="009D0A4A">
        <w:rPr>
          <w:rFonts w:cstheme="minorHAnsi"/>
        </w:rPr>
        <w:t>Workers must also:</w:t>
      </w:r>
    </w:p>
    <w:p w14:paraId="179E94F5" w14:textId="77777777" w:rsidR="00262C50" w:rsidRPr="009D0A4A" w:rsidRDefault="00262C50" w:rsidP="000C20A5">
      <w:pPr>
        <w:pStyle w:val="BodyText"/>
        <w:numPr>
          <w:ilvl w:val="0"/>
          <w:numId w:val="33"/>
        </w:numPr>
      </w:pPr>
      <w:r w:rsidRPr="009D0A4A">
        <w:t>comply as far as they are reasonably able with any reasonable WHS instructions given by the PCBU, such as participating in health monitoring and wearing relevant personal protective equipment (PPE), and</w:t>
      </w:r>
    </w:p>
    <w:p w14:paraId="39C540D7" w14:textId="77777777" w:rsidR="00262C50" w:rsidRPr="009D0A4A" w:rsidRDefault="00262C50" w:rsidP="000C20A5">
      <w:pPr>
        <w:pStyle w:val="BodyText"/>
        <w:numPr>
          <w:ilvl w:val="0"/>
          <w:numId w:val="33"/>
        </w:numPr>
        <w:rPr>
          <w:rFonts w:cstheme="minorHAnsi"/>
        </w:rPr>
      </w:pPr>
      <w:r w:rsidRPr="009D0A4A">
        <w:t>co-operate with any reasonable policy or procedure relating to WHS at the workplace that has been notified to them</w:t>
      </w:r>
      <w:r w:rsidRPr="009D0A4A">
        <w:rPr>
          <w:rFonts w:cstheme="minorHAnsi"/>
        </w:rPr>
        <w:t>.</w:t>
      </w:r>
      <w:r w:rsidRPr="009D0A4A">
        <w:rPr>
          <w:rStyle w:val="FootnoteReference"/>
          <w:rFonts w:cstheme="minorHAnsi"/>
        </w:rPr>
        <w:footnoteReference w:id="26"/>
      </w:r>
    </w:p>
    <w:p w14:paraId="5F55422C" w14:textId="77777777" w:rsidR="00262C50" w:rsidRPr="009D0A4A" w:rsidRDefault="00262C50" w:rsidP="00262C50">
      <w:pPr>
        <w:jc w:val="both"/>
        <w:rPr>
          <w:rFonts w:cstheme="minorHAnsi"/>
        </w:rPr>
      </w:pPr>
      <w:r w:rsidRPr="009D0A4A">
        <w:rPr>
          <w:rFonts w:cstheme="minorHAnsi"/>
        </w:rPr>
        <w:t xml:space="preserve">The PCBU must make workers aware of the hazards associated with the use of silica containing materials, including the process for reporting safety incidents. </w:t>
      </w:r>
    </w:p>
    <w:p w14:paraId="64D86DD8" w14:textId="5AD1E794" w:rsidR="00262C50" w:rsidRPr="009D0A4A" w:rsidRDefault="00262C50" w:rsidP="00262C50">
      <w:pPr>
        <w:jc w:val="both"/>
        <w:rPr>
          <w:rFonts w:cstheme="minorHAnsi"/>
          <w:szCs w:val="24"/>
        </w:rPr>
      </w:pPr>
      <w:r w:rsidRPr="009D0A4A">
        <w:rPr>
          <w:rFonts w:cstheme="minorHAnsi"/>
        </w:rPr>
        <w:t xml:space="preserve">If a worker refuses to participate in health monitoring or refuses to use PPE as they have been trained and instructed, a PCBU </w:t>
      </w:r>
      <w:r w:rsidR="00951981" w:rsidRPr="009D0A4A">
        <w:rPr>
          <w:rFonts w:cstheme="minorHAnsi"/>
        </w:rPr>
        <w:t xml:space="preserve">would need to take other action </w:t>
      </w:r>
      <w:r w:rsidRPr="009D0A4A">
        <w:rPr>
          <w:rFonts w:cstheme="minorHAnsi"/>
        </w:rPr>
        <w:t>to meet its duties under the WHS laws. This could include removing the worker from the source of exposure to RCS.</w:t>
      </w:r>
    </w:p>
    <w:p w14:paraId="5DFAEBD5" w14:textId="77777777" w:rsidR="00262C50" w:rsidRPr="009D0A4A" w:rsidRDefault="00262C50" w:rsidP="00262C50">
      <w:pPr>
        <w:pStyle w:val="Heading3"/>
        <w:numPr>
          <w:ilvl w:val="0"/>
          <w:numId w:val="0"/>
        </w:numPr>
        <w:ind w:left="1021" w:hanging="1021"/>
        <w:jc w:val="both"/>
      </w:pPr>
      <w:r w:rsidRPr="009D0A4A">
        <w:t xml:space="preserve">Duties of officers </w:t>
      </w:r>
    </w:p>
    <w:p w14:paraId="7E362796" w14:textId="654A2D2E" w:rsidR="00262C50" w:rsidRPr="009D0A4A" w:rsidRDefault="00262C50" w:rsidP="00262C50">
      <w:pPr>
        <w:jc w:val="both"/>
      </w:pPr>
      <w:r w:rsidRPr="009D0A4A">
        <w:t>An officer (for example a company director) must exercise due diligence to ensure the PCBU complies with the WHS Act and WHS Regulations.</w:t>
      </w:r>
      <w:r w:rsidRPr="009D0A4A">
        <w:rPr>
          <w:rStyle w:val="FootnoteReference"/>
        </w:rPr>
        <w:footnoteReference w:id="27"/>
      </w:r>
      <w:r w:rsidRPr="009D0A4A">
        <w:t xml:space="preserve"> This includes taking reasonable steps to ensure the PCBU has and uses appropriate resources and processes to eliminate or minimise risks of working with silica and silica containing products. This includes:</w:t>
      </w:r>
    </w:p>
    <w:p w14:paraId="7E99A431" w14:textId="77777777" w:rsidR="00262C50" w:rsidRPr="009D0A4A" w:rsidRDefault="00262C50" w:rsidP="000C20A5">
      <w:pPr>
        <w:pStyle w:val="BodyText"/>
        <w:numPr>
          <w:ilvl w:val="0"/>
          <w:numId w:val="33"/>
        </w:numPr>
      </w:pPr>
      <w:r w:rsidRPr="009D0A4A">
        <w:t>identifying the hazard of RCS</w:t>
      </w:r>
    </w:p>
    <w:p w14:paraId="673CF1FF" w14:textId="77777777" w:rsidR="00262C50" w:rsidRPr="009D0A4A" w:rsidRDefault="00262C50" w:rsidP="000C20A5">
      <w:pPr>
        <w:pStyle w:val="BodyText"/>
        <w:numPr>
          <w:ilvl w:val="0"/>
          <w:numId w:val="33"/>
        </w:numPr>
      </w:pPr>
      <w:r w:rsidRPr="009D0A4A">
        <w:t>controlling the risk of exposure to RCS</w:t>
      </w:r>
    </w:p>
    <w:p w14:paraId="281CA9C4" w14:textId="77777777" w:rsidR="00262C50" w:rsidRPr="009D0A4A" w:rsidRDefault="00262C50" w:rsidP="000C20A5">
      <w:pPr>
        <w:pStyle w:val="BodyText"/>
        <w:numPr>
          <w:ilvl w:val="0"/>
          <w:numId w:val="33"/>
        </w:numPr>
      </w:pPr>
      <w:r w:rsidRPr="009D0A4A">
        <w:t>conducting air monitoring, and</w:t>
      </w:r>
    </w:p>
    <w:p w14:paraId="6EA98DC8" w14:textId="77777777" w:rsidR="00262C50" w:rsidRPr="009D0A4A" w:rsidRDefault="00262C50" w:rsidP="000C20A5">
      <w:pPr>
        <w:pStyle w:val="BodyText"/>
        <w:numPr>
          <w:ilvl w:val="0"/>
          <w:numId w:val="33"/>
        </w:numPr>
      </w:pPr>
      <w:r w:rsidRPr="009D0A4A">
        <w:t xml:space="preserve">providing health monitoring for workers. </w:t>
      </w:r>
    </w:p>
    <w:p w14:paraId="79B119BA" w14:textId="77777777" w:rsidR="00262C50" w:rsidRPr="009D0A4A" w:rsidRDefault="00262C50" w:rsidP="00262C50">
      <w:pPr>
        <w:pStyle w:val="Heading3"/>
        <w:numPr>
          <w:ilvl w:val="0"/>
          <w:numId w:val="0"/>
        </w:numPr>
        <w:ind w:left="1021" w:hanging="1021"/>
        <w:jc w:val="both"/>
      </w:pPr>
      <w:r w:rsidRPr="009D0A4A">
        <w:t>Duties of other persons at the workplace</w:t>
      </w:r>
    </w:p>
    <w:p w14:paraId="1A350050" w14:textId="77777777" w:rsidR="00262C50" w:rsidRPr="009D0A4A" w:rsidRDefault="00262C50" w:rsidP="00262C50">
      <w:pPr>
        <w:spacing w:after="240"/>
        <w:jc w:val="both"/>
        <w:rPr>
          <w:rFonts w:eastAsia="Calibri" w:cs="Arial"/>
          <w:bCs/>
          <w:sz w:val="32"/>
          <w:szCs w:val="32"/>
        </w:rPr>
      </w:pPr>
      <w:r w:rsidRPr="009D0A4A">
        <w:rPr>
          <w:rFonts w:eastAsia="Calibri" w:cs="Arial"/>
        </w:rPr>
        <w:t>Other persons at the workplace, like visitors, must take reasonable care for their own health and safety and must take care not to adversely affect other people’s health and safety.</w:t>
      </w:r>
      <w:r w:rsidRPr="009D0A4A">
        <w:rPr>
          <w:rStyle w:val="FootnoteReference"/>
          <w:rFonts w:eastAsia="Calibri" w:cs="Arial"/>
        </w:rPr>
        <w:footnoteReference w:id="28"/>
      </w:r>
      <w:r w:rsidRPr="009D0A4A">
        <w:rPr>
          <w:rFonts w:eastAsia="Calibri" w:cs="Arial"/>
        </w:rPr>
        <w:t xml:space="preserve"> They must comply, so far as they are reasonably able, with reasonable instructions given by the PCBU to allow that person to comply with the WHS Act. </w:t>
      </w:r>
    </w:p>
    <w:p w14:paraId="0277B815" w14:textId="77777777" w:rsidR="00F84B44" w:rsidRPr="009D0A4A" w:rsidRDefault="00F84B44">
      <w:pPr>
        <w:rPr>
          <w:rFonts w:asciiTheme="majorHAnsi" w:hAnsiTheme="majorHAnsi"/>
          <w:b/>
          <w:color w:val="014463" w:themeColor="text2"/>
          <w:sz w:val="60"/>
          <w:szCs w:val="60"/>
        </w:rPr>
      </w:pPr>
      <w:r w:rsidRPr="009D0A4A">
        <w:br w:type="page"/>
      </w:r>
    </w:p>
    <w:p w14:paraId="37203717" w14:textId="0FB088AB" w:rsidR="00262C50" w:rsidRPr="009D0A4A" w:rsidRDefault="00262C50" w:rsidP="00041D73">
      <w:pPr>
        <w:pStyle w:val="Heading1"/>
        <w:numPr>
          <w:ilvl w:val="0"/>
          <w:numId w:val="0"/>
        </w:numPr>
      </w:pPr>
      <w:bookmarkStart w:id="676" w:name="_Toc107395354"/>
      <w:r w:rsidRPr="009D0A4A">
        <w:lastRenderedPageBreak/>
        <w:t>Appendix B</w:t>
      </w:r>
      <w:r w:rsidR="00F84B44" w:rsidRPr="009D0A4A">
        <w:t>:</w:t>
      </w:r>
      <w:r w:rsidRPr="009D0A4A">
        <w:t xml:space="preserve"> Complementary initiatives</w:t>
      </w:r>
      <w:bookmarkEnd w:id="676"/>
    </w:p>
    <w:p w14:paraId="26390300" w14:textId="530F1BD5" w:rsidR="00BE02B3" w:rsidRPr="009D0A4A" w:rsidRDefault="00BE02B3" w:rsidP="00BE02B3">
      <w:pPr>
        <w:pStyle w:val="Heading3"/>
        <w:numPr>
          <w:ilvl w:val="0"/>
          <w:numId w:val="0"/>
        </w:numPr>
        <w:ind w:left="1021" w:hanging="1021"/>
      </w:pPr>
      <w:r w:rsidRPr="009D0A4A">
        <w:t>Whole of Australian Governments</w:t>
      </w:r>
      <w:r w:rsidR="004E3629" w:rsidRPr="009D0A4A">
        <w:t>’</w:t>
      </w:r>
      <w:r w:rsidRPr="009D0A4A">
        <w:t xml:space="preserve"> response to the National Dust Disease Taskforce Final Report</w:t>
      </w:r>
    </w:p>
    <w:p w14:paraId="6A9EFB93" w14:textId="5CD61B44" w:rsidR="00880E8E" w:rsidRPr="009D0A4A" w:rsidRDefault="00880E8E" w:rsidP="00880E8E">
      <w:pPr>
        <w:pStyle w:val="BodyText"/>
      </w:pPr>
      <w:r w:rsidRPr="009D0A4A">
        <w:t xml:space="preserve">In April 2022, the Commonwealth, in consultation with state and territory governments, released the All of Governments’ Response to the Final Report of the National Dust Disease Taskforce </w:t>
      </w:r>
      <w:r w:rsidRPr="009D0A4A">
        <w:fldChar w:fldCharType="begin"/>
      </w:r>
      <w:r w:rsidR="004067E3">
        <w:instrText xml:space="preserve"> ADDIN ZOTERO_ITEM CSL_CITATION {"citationID":"RV8URXbO","properties":{"formattedCitation":"(Australian Government 2022)","plainCitation":"(Australian Government 2022)","noteIndex":0},"citationItems":[{"id":881,"uris":["http://zotero.org/users/6230888/items/MBL8JFFI"],"itemData":{"id":881,"type":"report","page":"64","title":"All of governments’ response to the National Dust Disease Taskforce Final Report","URL":"https://www1.health.gov.au/internet/main/publishing.nsf/Content/45748C2442F5BA74CA2587E4000F8600/$File/All-Govt-Response-Final-Report-Dust-Disease-Taskforce.pdf","author":[{"literal":"Australian Government"}],"accessed":{"date-parts":[["2022",6,30]]},"issued":{"date-parts":[["2022"]]}}}],"schema":"https://github.com/citation-style-language/schema/raw/master/csl-citation.json"} </w:instrText>
      </w:r>
      <w:r w:rsidRPr="009D0A4A">
        <w:fldChar w:fldCharType="separate"/>
      </w:r>
      <w:r w:rsidRPr="009D0A4A">
        <w:rPr>
          <w:rFonts w:ascii="Calibri" w:hAnsi="Calibri" w:cs="Calibri"/>
        </w:rPr>
        <w:t>(Australian Government 2022)</w:t>
      </w:r>
      <w:r w:rsidRPr="009D0A4A">
        <w:fldChar w:fldCharType="end"/>
      </w:r>
      <w:r w:rsidRPr="009D0A4A">
        <w:t>. Australian governments supported 14 of the National Dust Disease Taskforce’s sub-recommendations, and noted 2 others related to a full or partial ban on importation of engineered stone by July 2024 and funding multi-disciplinary teams of medical professionals to support treatment of patients with silicosis.</w:t>
      </w:r>
    </w:p>
    <w:p w14:paraId="702631A8" w14:textId="77777777" w:rsidR="00880E8E" w:rsidRPr="009D0A4A" w:rsidRDefault="00880E8E" w:rsidP="00880E8E">
      <w:pPr>
        <w:pStyle w:val="BodyText"/>
      </w:pPr>
      <w:r w:rsidRPr="009D0A4A">
        <w:t>Key initiatives not otherwise mentioned in this CRIS include:</w:t>
      </w:r>
    </w:p>
    <w:p w14:paraId="044BF285" w14:textId="52F20E82" w:rsidR="00880E8E" w:rsidRPr="009D0A4A" w:rsidRDefault="00880E8E" w:rsidP="000C20A5">
      <w:pPr>
        <w:pStyle w:val="BodyText"/>
        <w:numPr>
          <w:ilvl w:val="0"/>
          <w:numId w:val="33"/>
        </w:numPr>
      </w:pPr>
      <w:r w:rsidRPr="009D0A4A">
        <w:t>a request for Heads of Workplace Safety Authorities to consider developing best practice compliance and enforcement principles in relation to the risks associated with RCS</w:t>
      </w:r>
    </w:p>
    <w:p w14:paraId="70A38EC9" w14:textId="397830B9" w:rsidR="00880E8E" w:rsidRPr="009D0A4A" w:rsidRDefault="00880E8E" w:rsidP="000C20A5">
      <w:pPr>
        <w:pStyle w:val="BodyText"/>
        <w:numPr>
          <w:ilvl w:val="0"/>
          <w:numId w:val="33"/>
        </w:numPr>
      </w:pPr>
      <w:r w:rsidRPr="009D0A4A">
        <w:t>collaboration between Commonwealth, state and territory governments to develop a framework to measure the progress and impact of initiatives on worker safety and health outcomes, and to support evaluation of a full or partial ban on importation of engineered stone by July 2024</w:t>
      </w:r>
    </w:p>
    <w:p w14:paraId="4DA9B73F" w14:textId="42802499" w:rsidR="00880E8E" w:rsidRPr="009D0A4A" w:rsidRDefault="00880E8E" w:rsidP="000C20A5">
      <w:pPr>
        <w:pStyle w:val="BodyText"/>
        <w:numPr>
          <w:ilvl w:val="0"/>
          <w:numId w:val="33"/>
        </w:numPr>
      </w:pPr>
      <w:r w:rsidRPr="009D0A4A">
        <w:t xml:space="preserve">development of National Guidance for doctors assessing workers exposed to respirable crystalline silica dust with specific reference to engineered stone related silicosis, which was published in February 2022 </w:t>
      </w:r>
      <w:r w:rsidRPr="009D0A4A">
        <w:fldChar w:fldCharType="begin"/>
      </w:r>
      <w:r w:rsidR="004067E3">
        <w:instrText xml:space="preserve"> ADDIN ZOTERO_ITEM CSL_CITATION {"citationID":"51hxvRle","properties":{"formattedCitation":"(Department of Health 2022)","plainCitation":"(Department of Health 2022)","noteIndex":0},"citationItems":[{"id":895,"uris":["http://zotero.org/users/6230888/items/EPA2GZUG"],"itemData":{"id":895,"type":"report","page":"73","title":"National Guidance for doctors assessing workers exposed to respirable crystalline silica dust","URL":"https://www1.health.gov.au/internet/main/publishing.nsf/Content/3F0A34A0342D7925CA2587E3001B4C41/$File/National-Guidance.pdf","author":[{"literal":"Department of Health"}],"accessed":{"date-parts":[["2022",6,30]]},"issued":{"date-parts":[["2022"]]}}}],"schema":"https://github.com/citation-style-language/schema/raw/master/csl-citation.json"} </w:instrText>
      </w:r>
      <w:r w:rsidRPr="009D0A4A">
        <w:fldChar w:fldCharType="separate"/>
      </w:r>
      <w:r w:rsidRPr="009D0A4A">
        <w:t>(Department of Health 2022)</w:t>
      </w:r>
      <w:r w:rsidRPr="009D0A4A">
        <w:fldChar w:fldCharType="end"/>
      </w:r>
    </w:p>
    <w:p w14:paraId="02E7BA0A" w14:textId="0B667531" w:rsidR="00880E8E" w:rsidRPr="009D0A4A" w:rsidRDefault="00880E8E" w:rsidP="000C20A5">
      <w:pPr>
        <w:pStyle w:val="BodyText"/>
        <w:numPr>
          <w:ilvl w:val="0"/>
          <w:numId w:val="33"/>
        </w:numPr>
      </w:pPr>
      <w:r w:rsidRPr="009D0A4A">
        <w:t>funding for the continued operation of the National Occupational Respiratory Disease (building on the election commitment of $1.6 million provided through the 2019-20 Budget), which will capture mandatory notifications of silicosis diagnoses by respiratory and occupational physicians</w:t>
      </w:r>
    </w:p>
    <w:p w14:paraId="0ED8D66C" w14:textId="77777777" w:rsidR="00880E8E" w:rsidRPr="009D0A4A" w:rsidRDefault="00880E8E" w:rsidP="000C20A5">
      <w:pPr>
        <w:pStyle w:val="BodyText"/>
        <w:numPr>
          <w:ilvl w:val="0"/>
          <w:numId w:val="33"/>
        </w:numPr>
      </w:pPr>
      <w:r w:rsidRPr="009D0A4A">
        <w:t>finalisation of the National Silicosis Prevention Strategy and National Action Plan, to support more effective prevention of silicosis in Australia</w:t>
      </w:r>
    </w:p>
    <w:p w14:paraId="2FA696F9" w14:textId="4131E978" w:rsidR="00880E8E" w:rsidRPr="009D0A4A" w:rsidRDefault="00880E8E" w:rsidP="000C20A5">
      <w:pPr>
        <w:pStyle w:val="BodyText"/>
        <w:numPr>
          <w:ilvl w:val="0"/>
          <w:numId w:val="33"/>
        </w:numPr>
      </w:pPr>
      <w:r w:rsidRPr="009D0A4A">
        <w:t>Commonwealth funding for specific education and awareness activities to raise awareness about the risks to lung health in the workplace, targeting high risk employees, high risk industries, carers and families of those impacted, and culturally and linguistically diverse employees and employers</w:t>
      </w:r>
    </w:p>
    <w:p w14:paraId="24FA9F9B" w14:textId="77777777" w:rsidR="00880E8E" w:rsidRPr="009D0A4A" w:rsidRDefault="00880E8E" w:rsidP="000C20A5">
      <w:pPr>
        <w:pStyle w:val="BodyText"/>
        <w:numPr>
          <w:ilvl w:val="0"/>
          <w:numId w:val="33"/>
        </w:numPr>
      </w:pPr>
      <w:r w:rsidRPr="009D0A4A">
        <w:t>developing a silicosis care management plan for health professionals to use in consultation with their silicosis patients</w:t>
      </w:r>
    </w:p>
    <w:p w14:paraId="3DC9CC49" w14:textId="77777777" w:rsidR="00880E8E" w:rsidRPr="009D0A4A" w:rsidRDefault="00880E8E" w:rsidP="000C20A5">
      <w:pPr>
        <w:pStyle w:val="BodyText"/>
        <w:numPr>
          <w:ilvl w:val="0"/>
          <w:numId w:val="33"/>
        </w:numPr>
      </w:pPr>
      <w:r w:rsidRPr="009D0A4A">
        <w:t xml:space="preserve">funding to support additional training for medical practitioners to better recognise, diagnose and treat silicosis and other occupational respiratory diseases </w:t>
      </w:r>
    </w:p>
    <w:p w14:paraId="01AED13C" w14:textId="5D82260A" w:rsidR="00880E8E" w:rsidRPr="009D0A4A" w:rsidRDefault="00880E8E" w:rsidP="000C20A5">
      <w:pPr>
        <w:pStyle w:val="BodyText"/>
        <w:numPr>
          <w:ilvl w:val="0"/>
          <w:numId w:val="33"/>
        </w:numPr>
      </w:pPr>
      <w:r w:rsidRPr="009D0A4A">
        <w:t>funding to deliver a support service for affected workers and their families to provide information, advice and referrals, and peer to peer virtual support groups</w:t>
      </w:r>
    </w:p>
    <w:p w14:paraId="2A9D8D91" w14:textId="25197AA1" w:rsidR="00880E8E" w:rsidRPr="009D0A4A" w:rsidRDefault="00880E8E" w:rsidP="000C20A5">
      <w:pPr>
        <w:pStyle w:val="BodyText"/>
        <w:numPr>
          <w:ilvl w:val="0"/>
          <w:numId w:val="33"/>
        </w:numPr>
      </w:pPr>
      <w:r w:rsidRPr="009D0A4A">
        <w:t>establishment a research forum focused on further developing the evidence base in relation to dust diseases, and</w:t>
      </w:r>
    </w:p>
    <w:p w14:paraId="794CB1F1" w14:textId="77777777" w:rsidR="00880E8E" w:rsidRPr="009D0A4A" w:rsidRDefault="00880E8E" w:rsidP="000C20A5">
      <w:pPr>
        <w:pStyle w:val="BodyText"/>
        <w:numPr>
          <w:ilvl w:val="0"/>
          <w:numId w:val="33"/>
        </w:numPr>
      </w:pPr>
      <w:r w:rsidRPr="009D0A4A">
        <w:t>funding for the development of a protocol to enable the early identification of and response to, emerging occupational respiratory risks and associated diseases.</w:t>
      </w:r>
    </w:p>
    <w:p w14:paraId="6D3C928A" w14:textId="77AC1B96" w:rsidR="00BE02B3" w:rsidRPr="009D0A4A" w:rsidRDefault="001B266B" w:rsidP="00BE02B3">
      <w:pPr>
        <w:pStyle w:val="Heading3"/>
        <w:numPr>
          <w:ilvl w:val="0"/>
          <w:numId w:val="0"/>
        </w:numPr>
        <w:ind w:left="1021" w:hanging="1021"/>
      </w:pPr>
      <w:r w:rsidRPr="009D0A4A">
        <w:lastRenderedPageBreak/>
        <w:t>Silica</w:t>
      </w:r>
      <w:r w:rsidR="00BE02B3" w:rsidRPr="009D0A4A">
        <w:t xml:space="preserve"> safety</w:t>
      </w:r>
      <w:r w:rsidR="00745E60" w:rsidRPr="009D0A4A">
        <w:t xml:space="preserve"> awareness – nationally recognised</w:t>
      </w:r>
      <w:r w:rsidR="00BE02B3" w:rsidRPr="009D0A4A">
        <w:t xml:space="preserve"> training</w:t>
      </w:r>
    </w:p>
    <w:p w14:paraId="47CEA24E" w14:textId="71BADA63" w:rsidR="00BE02B3" w:rsidRPr="009D0A4A" w:rsidRDefault="00BE02B3" w:rsidP="00BE02B3">
      <w:pPr>
        <w:pStyle w:val="BodyText"/>
      </w:pPr>
      <w:r w:rsidRPr="009D0A4A">
        <w:t xml:space="preserve">In February 2021, the Construction, Plumbing and Services Industry Reference Committee agreed to develop a Silica Safety training package to address WHS skills gaps related to RCS. </w:t>
      </w:r>
    </w:p>
    <w:p w14:paraId="5D357302" w14:textId="77777777" w:rsidR="00BE02B3" w:rsidRPr="009D0A4A" w:rsidRDefault="00BE02B3" w:rsidP="00BE02B3">
      <w:pPr>
        <w:pStyle w:val="BodyText"/>
      </w:pPr>
      <w:r w:rsidRPr="009D0A4A">
        <w:t>With Commonwealth funding, four units of competency were subsequently developed:</w:t>
      </w:r>
    </w:p>
    <w:p w14:paraId="668A0A69" w14:textId="77777777" w:rsidR="00BE02B3" w:rsidRPr="009D0A4A" w:rsidRDefault="00BE02B3" w:rsidP="000C20A5">
      <w:pPr>
        <w:pStyle w:val="BodyText"/>
        <w:numPr>
          <w:ilvl w:val="0"/>
          <w:numId w:val="33"/>
        </w:numPr>
      </w:pPr>
      <w:r w:rsidRPr="009D0A4A">
        <w:t xml:space="preserve">CPCSIL1001 Prepare to work safely with products and materials containing crystalline silica, </w:t>
      </w:r>
    </w:p>
    <w:p w14:paraId="58BE538E" w14:textId="77777777" w:rsidR="00BE02B3" w:rsidRPr="009D0A4A" w:rsidRDefault="00BE02B3" w:rsidP="000C20A5">
      <w:pPr>
        <w:pStyle w:val="BodyText"/>
        <w:numPr>
          <w:ilvl w:val="0"/>
          <w:numId w:val="33"/>
        </w:numPr>
      </w:pPr>
      <w:r w:rsidRPr="009D0A4A">
        <w:t xml:space="preserve">CPCSIL2001 Use and maintain respiratory protective equipment, </w:t>
      </w:r>
    </w:p>
    <w:p w14:paraId="189860A1" w14:textId="77777777" w:rsidR="00BE02B3" w:rsidRPr="009D0A4A" w:rsidRDefault="00BE02B3" w:rsidP="000C20A5">
      <w:pPr>
        <w:pStyle w:val="BodyText"/>
        <w:numPr>
          <w:ilvl w:val="0"/>
          <w:numId w:val="33"/>
        </w:numPr>
      </w:pPr>
      <w:r w:rsidRPr="009D0A4A">
        <w:t>CPCSIL3001 Work with products and materials containing crystalline silica, and</w:t>
      </w:r>
    </w:p>
    <w:p w14:paraId="28BFC580" w14:textId="479CCBFB" w:rsidR="00BE02B3" w:rsidRPr="009D0A4A" w:rsidRDefault="00BE02B3" w:rsidP="000C20A5">
      <w:pPr>
        <w:pStyle w:val="BodyText"/>
        <w:numPr>
          <w:ilvl w:val="0"/>
          <w:numId w:val="33"/>
        </w:numPr>
      </w:pPr>
      <w:r w:rsidRPr="009D0A4A">
        <w:t>CPCSIL4001 Supervise and manage work with products and materials generating respirable crystalline silica</w:t>
      </w:r>
      <w:r w:rsidR="00C50F73">
        <w:t>.</w:t>
      </w:r>
    </w:p>
    <w:p w14:paraId="60087E23" w14:textId="5AB72EF8" w:rsidR="00BE02B3" w:rsidRPr="009D0A4A" w:rsidRDefault="00BE02B3" w:rsidP="00BE02B3">
      <w:pPr>
        <w:pStyle w:val="BodyText"/>
      </w:pPr>
      <w:r w:rsidRPr="009D0A4A">
        <w:t xml:space="preserve">At its April 2022 meeting, the </w:t>
      </w:r>
      <w:r w:rsidR="00951981" w:rsidRPr="009D0A4A">
        <w:t>Australian Industry and Skills Committee</w:t>
      </w:r>
      <w:r w:rsidRPr="009D0A4A">
        <w:t xml:space="preserve"> agreed to approve these units of competency, which are currently being considered by Skills Ministers </w:t>
      </w:r>
      <w:r w:rsidR="001B266B" w:rsidRPr="009D0A4A">
        <w:t>for endorsement</w:t>
      </w:r>
      <w:r w:rsidRPr="009D0A4A">
        <w:t>.</w:t>
      </w:r>
    </w:p>
    <w:p w14:paraId="411EEED2" w14:textId="77777777" w:rsidR="00262C50" w:rsidRPr="009D0A4A" w:rsidRDefault="00262C50" w:rsidP="00262C50">
      <w:pPr>
        <w:pStyle w:val="BodyText"/>
      </w:pPr>
    </w:p>
    <w:p w14:paraId="790B42EA" w14:textId="69EE3BBA" w:rsidR="00262C50" w:rsidRPr="009D0A4A" w:rsidRDefault="00262C50">
      <w:pPr>
        <w:rPr>
          <w:rFonts w:asciiTheme="majorHAnsi" w:hAnsiTheme="majorHAnsi"/>
          <w:b/>
          <w:color w:val="014463" w:themeColor="text2"/>
          <w:sz w:val="60"/>
          <w:szCs w:val="60"/>
        </w:rPr>
      </w:pPr>
    </w:p>
    <w:p w14:paraId="1CB313DD" w14:textId="77777777" w:rsidR="00262C50" w:rsidRPr="009D0A4A" w:rsidRDefault="00262C50">
      <w:pPr>
        <w:rPr>
          <w:rFonts w:asciiTheme="majorHAnsi" w:hAnsiTheme="majorHAnsi"/>
          <w:b/>
          <w:color w:val="014463" w:themeColor="text2"/>
          <w:sz w:val="60"/>
          <w:szCs w:val="60"/>
        </w:rPr>
      </w:pPr>
      <w:r w:rsidRPr="009D0A4A">
        <w:br w:type="page"/>
      </w:r>
    </w:p>
    <w:p w14:paraId="05A885AD" w14:textId="289E21D0" w:rsidR="00DF1710" w:rsidRPr="009D0A4A" w:rsidRDefault="00DF1710" w:rsidP="00041D73">
      <w:pPr>
        <w:pStyle w:val="Heading1"/>
        <w:numPr>
          <w:ilvl w:val="0"/>
          <w:numId w:val="0"/>
        </w:numPr>
      </w:pPr>
      <w:bookmarkStart w:id="677" w:name="_Toc107395355"/>
      <w:r w:rsidRPr="009D0A4A">
        <w:lastRenderedPageBreak/>
        <w:t>Appendix C</w:t>
      </w:r>
      <w:r w:rsidR="00F84B44" w:rsidRPr="009D0A4A">
        <w:t xml:space="preserve">: </w:t>
      </w:r>
      <w:r w:rsidRPr="009D0A4A">
        <w:t>List of consultation questions</w:t>
      </w:r>
      <w:bookmarkEnd w:id="677"/>
    </w:p>
    <w:p w14:paraId="03C320B0" w14:textId="77777777" w:rsidR="00386CD0" w:rsidRPr="009D0A4A" w:rsidRDefault="00386CD0" w:rsidP="00386CD0">
      <w:pPr>
        <w:pStyle w:val="BodyText"/>
      </w:pPr>
      <w:r w:rsidRPr="009D0A4A">
        <w:t>2.1 Do you agree with the identified problem? Has the entirety of the problem been identified? Please provide evidence to support your position.</w:t>
      </w:r>
    </w:p>
    <w:p w14:paraId="6FC9BAAE" w14:textId="77777777" w:rsidR="00386CD0" w:rsidRPr="009D0A4A" w:rsidRDefault="00386CD0" w:rsidP="00386CD0">
      <w:pPr>
        <w:pStyle w:val="BodyText"/>
      </w:pPr>
      <w:r w:rsidRPr="009D0A4A">
        <w:t xml:space="preserve">2.2 Do you have further information, analysis or data that will help measure the impact of the problem identified? </w:t>
      </w:r>
    </w:p>
    <w:p w14:paraId="547A5DDD" w14:textId="77777777" w:rsidR="00386CD0" w:rsidRPr="009D0A4A" w:rsidRDefault="00386CD0" w:rsidP="00386CD0">
      <w:pPr>
        <w:pStyle w:val="BodyText"/>
      </w:pPr>
      <w:r w:rsidRPr="009D0A4A">
        <w:t>3.1 Do you agree with the case for government intervention? Please provide evidence to support your position.</w:t>
      </w:r>
    </w:p>
    <w:p w14:paraId="756FC7B7" w14:textId="62545529" w:rsidR="00386CD0" w:rsidRPr="009D0A4A" w:rsidRDefault="00386CD0" w:rsidP="00386CD0">
      <w:pPr>
        <w:pStyle w:val="BodyText"/>
      </w:pPr>
      <w:r w:rsidRPr="009D0A4A">
        <w:t>3.2 Do you agree with the objectives of government intervention? Please provide evidence to support your position.</w:t>
      </w:r>
    </w:p>
    <w:p w14:paraId="3A8815C9" w14:textId="77777777" w:rsidR="00386CD0" w:rsidRPr="009D0A4A" w:rsidRDefault="00386CD0" w:rsidP="00386CD0">
      <w:pPr>
        <w:pStyle w:val="BodyText"/>
        <w:jc w:val="both"/>
      </w:pPr>
      <w:r w:rsidRPr="009D0A4A">
        <w:t>4.1 Do these options address the problem? Please provide evidence to support your position. </w:t>
      </w:r>
    </w:p>
    <w:p w14:paraId="11B8A626" w14:textId="77777777" w:rsidR="00386CD0" w:rsidRPr="009D0A4A" w:rsidRDefault="00386CD0" w:rsidP="00386CD0">
      <w:pPr>
        <w:pStyle w:val="BodyText"/>
        <w:jc w:val="both"/>
      </w:pPr>
      <w:r w:rsidRPr="009D0A4A">
        <w:t>4.2 Are there any other non-regulatory or regulatory options you think should be considered to address the problem? </w:t>
      </w:r>
    </w:p>
    <w:p w14:paraId="12861411" w14:textId="77777777" w:rsidR="00386CD0" w:rsidRPr="009D0A4A" w:rsidRDefault="00386CD0" w:rsidP="00386CD0">
      <w:pPr>
        <w:pStyle w:val="BodyText"/>
      </w:pPr>
      <w:r w:rsidRPr="009D0A4A">
        <w:t xml:space="preserve">6.1 Is the cost modelling methodology appropriate to estimate the costs to industry and governments (Appendix D)? Please provide evidence to support your position. </w:t>
      </w:r>
    </w:p>
    <w:p w14:paraId="3CBC8D05" w14:textId="12EEF5BC" w:rsidR="00386CD0" w:rsidRPr="009D0A4A" w:rsidRDefault="00386CD0" w:rsidP="00386CD0">
      <w:pPr>
        <w:pStyle w:val="BodyText"/>
      </w:pPr>
      <w:r w:rsidRPr="009D0A4A">
        <w:t xml:space="preserve">6.2 Are the estimates of the number of businesses covered by each of the regulatory and non-regulatory options accurate? Please provide evidence to support your position. </w:t>
      </w:r>
    </w:p>
    <w:p w14:paraId="1DF039DA" w14:textId="77777777" w:rsidR="006F081B" w:rsidRPr="009D0A4A" w:rsidRDefault="006F081B" w:rsidP="006F081B">
      <w:pPr>
        <w:pStyle w:val="BodyText"/>
      </w:pPr>
      <w:r w:rsidRPr="009D0A4A">
        <w:t xml:space="preserve">6.3 Are there other factors that should be considered in the assessment of the effectiveness of each option (Section 6.5)? Please provide evidence to support your position. </w:t>
      </w:r>
    </w:p>
    <w:p w14:paraId="287ABF2D" w14:textId="50A04059" w:rsidR="00386CD0" w:rsidRPr="009D0A4A" w:rsidRDefault="00386CD0" w:rsidP="00386CD0">
      <w:pPr>
        <w:pStyle w:val="BodyText"/>
      </w:pPr>
      <w:r w:rsidRPr="009D0A4A">
        <w:t>6.</w:t>
      </w:r>
      <w:r w:rsidR="006F081B" w:rsidRPr="009D0A4A">
        <w:t>4</w:t>
      </w:r>
      <w:r w:rsidRPr="009D0A4A">
        <w:t xml:space="preserve"> Are the cost and other estimates (including worker wage assumptions) listed in Appendix D accurate and appropriate? If not, please provide additional data to support a more accurate estimate of costs. </w:t>
      </w:r>
    </w:p>
    <w:p w14:paraId="3EF44251" w14:textId="77777777" w:rsidR="007A241C" w:rsidRDefault="00386CD0" w:rsidP="007A241C">
      <w:pPr>
        <w:pStyle w:val="BodyText"/>
      </w:pPr>
      <w:r w:rsidRPr="009D0A4A">
        <w:t>6.</w:t>
      </w:r>
      <w:r w:rsidR="006F081B" w:rsidRPr="009D0A4A">
        <w:t>5</w:t>
      </w:r>
      <w:r w:rsidRPr="009D0A4A">
        <w:t xml:space="preserve"> Do you have further information regarding the costs to the public health system for silicosis and silica related diseases? </w:t>
      </w:r>
    </w:p>
    <w:p w14:paraId="3874DE88" w14:textId="2B60E314" w:rsidR="00386CD0" w:rsidRPr="009D0A4A" w:rsidRDefault="00386CD0" w:rsidP="007A241C">
      <w:pPr>
        <w:pStyle w:val="BodyText"/>
      </w:pPr>
      <w:r w:rsidRPr="009D0A4A">
        <w:t>7.1 Which option or combination of the options presented is most likely to address the identified problem? </w:t>
      </w:r>
      <w:r w:rsidR="007A241C" w:rsidRPr="009D0A4A">
        <w:t>Please provide evidence to support your position.</w:t>
      </w:r>
    </w:p>
    <w:p w14:paraId="7689DE3F" w14:textId="77777777" w:rsidR="00386CD0" w:rsidRPr="009D0A4A" w:rsidRDefault="00386CD0" w:rsidP="00386CD0">
      <w:r w:rsidRPr="009D0A4A">
        <w:t>7.2 Are there any significant barriers to implementation of the options presented? What are those barriers? Is there a cost associated with them? How could they be overcome? </w:t>
      </w:r>
    </w:p>
    <w:p w14:paraId="1AD2A786" w14:textId="61DE9734" w:rsidR="00DF1710" w:rsidRPr="009D0A4A" w:rsidRDefault="00DF1710">
      <w:pPr>
        <w:rPr>
          <w:rFonts w:asciiTheme="majorHAnsi" w:hAnsiTheme="majorHAnsi"/>
          <w:b/>
          <w:color w:val="014463" w:themeColor="text2"/>
          <w:sz w:val="60"/>
          <w:szCs w:val="60"/>
        </w:rPr>
      </w:pPr>
      <w:r w:rsidRPr="009D0A4A">
        <w:br w:type="page"/>
      </w:r>
    </w:p>
    <w:p w14:paraId="57DE6ACB" w14:textId="130ABE46" w:rsidR="00105526" w:rsidRPr="009D0A4A" w:rsidRDefault="00105526" w:rsidP="00041D73">
      <w:pPr>
        <w:pStyle w:val="Heading1"/>
        <w:numPr>
          <w:ilvl w:val="0"/>
          <w:numId w:val="0"/>
        </w:numPr>
      </w:pPr>
      <w:bookmarkStart w:id="678" w:name="_Toc107395356"/>
      <w:r w:rsidRPr="009D0A4A">
        <w:lastRenderedPageBreak/>
        <w:t xml:space="preserve">Appendix </w:t>
      </w:r>
      <w:r w:rsidR="00DF1710" w:rsidRPr="009D0A4A">
        <w:t>D</w:t>
      </w:r>
      <w:r w:rsidR="00F84B44" w:rsidRPr="009D0A4A">
        <w:t>:</w:t>
      </w:r>
      <w:r w:rsidRPr="009D0A4A">
        <w:t xml:space="preserve"> Cost modelling key assumptions and methodology</w:t>
      </w:r>
      <w:bookmarkEnd w:id="674"/>
      <w:bookmarkEnd w:id="678"/>
    </w:p>
    <w:p w14:paraId="0AB3CDF5" w14:textId="77777777" w:rsidR="00105526" w:rsidRPr="009D0A4A" w:rsidRDefault="00105526" w:rsidP="00B73109">
      <w:pPr>
        <w:pStyle w:val="Heading3"/>
        <w:numPr>
          <w:ilvl w:val="0"/>
          <w:numId w:val="0"/>
        </w:numPr>
        <w:ind w:left="1021" w:hanging="1021"/>
      </w:pPr>
      <w:r w:rsidRPr="009D0A4A">
        <w:t>Key assumptions</w:t>
      </w:r>
    </w:p>
    <w:p w14:paraId="2EF0EC2C" w14:textId="01AFF727" w:rsidR="00105526" w:rsidRPr="009D0A4A" w:rsidRDefault="00105526" w:rsidP="00105526">
      <w:pPr>
        <w:pStyle w:val="BodyText"/>
        <w:jc w:val="both"/>
      </w:pPr>
      <w:r w:rsidRPr="009D0A4A">
        <w:t>The following tables present the key assumptions and methodology used to estimate the total cost to industry and government for each option.</w:t>
      </w:r>
      <w:r w:rsidR="00EC34A8" w:rsidRPr="009D0A4A">
        <w:t xml:space="preserve"> This analysis was conducted in April 2022, and </w:t>
      </w:r>
      <w:r w:rsidR="00307CC2" w:rsidRPr="009D0A4A">
        <w:t>parameter assumptions were</w:t>
      </w:r>
      <w:r w:rsidR="00E435BF" w:rsidRPr="009D0A4A">
        <w:t xml:space="preserve"> current at that point in time. </w:t>
      </w:r>
    </w:p>
    <w:p w14:paraId="6BA1285A" w14:textId="77777777" w:rsidR="00105526" w:rsidRPr="009D0A4A" w:rsidRDefault="00105526" w:rsidP="00B73109">
      <w:pPr>
        <w:pStyle w:val="Heading4"/>
        <w:numPr>
          <w:ilvl w:val="0"/>
          <w:numId w:val="0"/>
        </w:numPr>
        <w:ind w:left="1134" w:hanging="1134"/>
      </w:pPr>
      <w:r w:rsidRPr="009D0A4A">
        <w:t xml:space="preserve">Number of businesses covered by regulatory and non-regulatory options </w:t>
      </w:r>
    </w:p>
    <w:p w14:paraId="2095F2C4" w14:textId="77777777" w:rsidR="00105526" w:rsidRPr="009D0A4A" w:rsidRDefault="00105526" w:rsidP="00105526">
      <w:pPr>
        <w:rPr>
          <w:b/>
          <w:bCs/>
        </w:rPr>
      </w:pPr>
      <w:r w:rsidRPr="009D0A4A">
        <w:rPr>
          <w:b/>
          <w:bCs/>
        </w:rPr>
        <w:t>Industry classification</w:t>
      </w:r>
    </w:p>
    <w:p w14:paraId="338F1C99" w14:textId="363CA890" w:rsidR="00105526" w:rsidRPr="009D0A4A" w:rsidRDefault="00105526" w:rsidP="00105526">
      <w:pPr>
        <w:pStyle w:val="BodyText"/>
        <w:jc w:val="both"/>
        <w:rPr>
          <w:color w:val="auto"/>
        </w:rPr>
      </w:pPr>
      <w:r w:rsidRPr="009D0A4A">
        <w:rPr>
          <w:rFonts w:cstheme="minorHAnsi"/>
          <w:color w:val="000000" w:themeColor="text1"/>
        </w:rPr>
        <w:t xml:space="preserve">The number of businesses captured by the regulatory and non-regulatory options assessed were estimated using </w:t>
      </w:r>
      <w:r w:rsidRPr="009D0A4A">
        <w:rPr>
          <w:rFonts w:cstheme="minorHAnsi"/>
          <w:i/>
          <w:iCs/>
          <w:color w:val="000000" w:themeColor="text1"/>
        </w:rPr>
        <w:t>Counts of Australian Businesses</w:t>
      </w:r>
      <w:r w:rsidRPr="009D0A4A">
        <w:rPr>
          <w:rFonts w:cstheme="minorHAnsi"/>
          <w:color w:val="000000" w:themeColor="text1"/>
        </w:rPr>
        <w:t xml:space="preserve"> data published by the Australian Bureau of Statistics</w:t>
      </w:r>
      <w:r w:rsidR="002B12CC" w:rsidRPr="009D0A4A">
        <w:rPr>
          <w:rFonts w:cstheme="minorHAnsi"/>
          <w:color w:val="000000" w:themeColor="text1"/>
        </w:rPr>
        <w:t xml:space="preserve"> </w:t>
      </w:r>
      <w:r w:rsidR="002B12CC" w:rsidRPr="009D0A4A">
        <w:rPr>
          <w:rFonts w:cstheme="minorHAnsi"/>
          <w:color w:val="000000" w:themeColor="text1"/>
        </w:rPr>
        <w:fldChar w:fldCharType="begin"/>
      </w:r>
      <w:r w:rsidR="004067E3">
        <w:rPr>
          <w:rFonts w:cstheme="minorHAnsi"/>
          <w:color w:val="000000" w:themeColor="text1"/>
        </w:rPr>
        <w:instrText xml:space="preserve"> ADDIN ZOTERO_ITEM CSL_CITATION {"citationID":"0ZvEbr9e","properties":{"formattedCitation":"(2021b)","plainCitation":"(2021b)","noteIndex":0},"citationItems":[{"id":911,"uris":["http://zotero.org/users/6230888/items/MILQ3B8N"],"itemData":{"id":911,"type":"webpage","abstract":"Contains counts of actively trading businesses, rates of entry to and exit from the market sector of the economy, and rates of business survival.","language":"en","title":"Counts of Australian Businesses, including Entries and Exits, July 2017 - June 2021","URL":"https://www.abs.gov.au/statistics/economy/business-indicators/counts-australian-businesses-including-entries-and-exits/latest-release","author":[{"literal":"Australian Bureau of Statistics"}],"accessed":{"date-parts":[["2022",6,30]]},"issued":{"date-parts":[["2021"]]}},"suppress-author":true}],"schema":"https://github.com/citation-style-language/schema/raw/master/csl-citation.json"} </w:instrText>
      </w:r>
      <w:r w:rsidR="002B12CC" w:rsidRPr="009D0A4A">
        <w:rPr>
          <w:rFonts w:cstheme="minorHAnsi"/>
          <w:color w:val="000000" w:themeColor="text1"/>
        </w:rPr>
        <w:fldChar w:fldCharType="separate"/>
      </w:r>
      <w:r w:rsidR="006B4A7D" w:rsidRPr="009D0A4A">
        <w:rPr>
          <w:rFonts w:ascii="Calibri" w:hAnsi="Calibri" w:cs="Calibri"/>
        </w:rPr>
        <w:t>(2021b)</w:t>
      </w:r>
      <w:r w:rsidR="002B12CC" w:rsidRPr="009D0A4A">
        <w:rPr>
          <w:rFonts w:cstheme="minorHAnsi"/>
          <w:color w:val="000000" w:themeColor="text1"/>
        </w:rPr>
        <w:fldChar w:fldCharType="end"/>
      </w:r>
      <w:r w:rsidRPr="009D0A4A">
        <w:rPr>
          <w:rFonts w:cstheme="minorHAnsi"/>
          <w:color w:val="000000" w:themeColor="text1"/>
        </w:rPr>
        <w:t xml:space="preserve">. This data presented the total number of businesses at the four-digit ANZIC industry classification level for each jurisdiction. For the purposes of our analysis, relevant ANZIC industry codes were grouped into broad industry sectors as outlined in </w:t>
      </w:r>
      <w:r w:rsidR="00C64F37" w:rsidRPr="009D0A4A">
        <w:rPr>
          <w:color w:val="auto"/>
        </w:rPr>
        <w:t xml:space="preserve">Table </w:t>
      </w:r>
      <w:r w:rsidR="00C473F8" w:rsidRPr="009D0A4A">
        <w:rPr>
          <w:color w:val="auto"/>
        </w:rPr>
        <w:t>24</w:t>
      </w:r>
      <w:r w:rsidRPr="009D0A4A">
        <w:rPr>
          <w:color w:val="auto"/>
        </w:rPr>
        <w:t>.</w:t>
      </w:r>
    </w:p>
    <w:p w14:paraId="1448F9CB" w14:textId="591204EC" w:rsidR="00105526" w:rsidRPr="009D0A4A" w:rsidRDefault="00105526" w:rsidP="00105526">
      <w:pPr>
        <w:pStyle w:val="Caption"/>
      </w:pPr>
      <w:bookmarkStart w:id="679" w:name="_Ref103850317"/>
      <w:r w:rsidRPr="009D0A4A">
        <w:t xml:space="preserve">Table </w:t>
      </w:r>
      <w:bookmarkEnd w:id="679"/>
      <w:r w:rsidR="00C473F8" w:rsidRPr="009D0A4A">
        <w:t>24</w:t>
      </w:r>
      <w:r w:rsidRPr="009D0A4A">
        <w:t>: ANZIC industry classification</w:t>
      </w:r>
    </w:p>
    <w:tbl>
      <w:tblPr>
        <w:tblW w:w="5000" w:type="pct"/>
        <w:tblBorders>
          <w:left w:val="single" w:sz="8" w:space="0" w:color="D9D9D9"/>
          <w:bottom w:val="single" w:sz="8" w:space="0" w:color="D9D9D9"/>
          <w:right w:val="single" w:sz="8" w:space="0" w:color="D9D9D9"/>
          <w:insideH w:val="single" w:sz="8" w:space="0" w:color="D9D9D9"/>
          <w:insideV w:val="single" w:sz="8" w:space="0" w:color="D9D9D9"/>
        </w:tblBorders>
        <w:tblCellMar>
          <w:left w:w="0" w:type="dxa"/>
          <w:right w:w="0" w:type="dxa"/>
        </w:tblCellMar>
        <w:tblLook w:val="0420" w:firstRow="1" w:lastRow="0" w:firstColumn="0" w:lastColumn="0" w:noHBand="0" w:noVBand="1"/>
      </w:tblPr>
      <w:tblGrid>
        <w:gridCol w:w="1976"/>
        <w:gridCol w:w="8208"/>
      </w:tblGrid>
      <w:tr w:rsidR="00105526" w:rsidRPr="009D0A4A" w14:paraId="0420FDF3" w14:textId="77777777" w:rsidTr="00D26617">
        <w:trPr>
          <w:trHeight w:val="159"/>
          <w:tblHeader/>
        </w:trPr>
        <w:tc>
          <w:tcPr>
            <w:tcW w:w="970" w:type="pct"/>
            <w:tcBorders>
              <w:top w:val="nil"/>
              <w:left w:val="single" w:sz="8" w:space="0" w:color="D9D9D9"/>
              <w:bottom w:val="single" w:sz="8" w:space="0" w:color="D9D9D9"/>
              <w:right w:val="single" w:sz="8" w:space="0" w:color="D9D9D9"/>
            </w:tcBorders>
            <w:shd w:val="clear" w:color="auto" w:fill="D9D9D9" w:themeFill="background1" w:themeFillShade="D9"/>
            <w:tcMar>
              <w:top w:w="72" w:type="dxa"/>
              <w:left w:w="144" w:type="dxa"/>
              <w:bottom w:w="72" w:type="dxa"/>
              <w:right w:w="144" w:type="dxa"/>
            </w:tcMar>
            <w:vAlign w:val="center"/>
            <w:hideMark/>
          </w:tcPr>
          <w:p w14:paraId="4EA39CEA" w14:textId="77777777" w:rsidR="00105526" w:rsidRPr="009D0A4A" w:rsidRDefault="00105526" w:rsidP="00FA6EE6">
            <w:pPr>
              <w:pStyle w:val="EYBulletnoparaspace"/>
              <w:numPr>
                <w:ilvl w:val="0"/>
                <w:numId w:val="0"/>
              </w:numPr>
              <w:spacing w:after="0" w:line="264" w:lineRule="auto"/>
              <w:rPr>
                <w:rStyle w:val="Strong"/>
                <w:rFonts w:asciiTheme="majorHAnsi" w:hAnsiTheme="majorHAnsi" w:cstheme="minorHAnsi"/>
                <w:color w:val="262626" w:themeColor="text1" w:themeTint="D9"/>
                <w:sz w:val="18"/>
                <w:szCs w:val="22"/>
              </w:rPr>
            </w:pPr>
            <w:r w:rsidRPr="009D0A4A">
              <w:rPr>
                <w:rStyle w:val="Strong"/>
                <w:rFonts w:asciiTheme="majorHAnsi" w:hAnsiTheme="majorHAnsi" w:cstheme="minorHAnsi"/>
                <w:color w:val="262626" w:themeColor="text1" w:themeTint="D9"/>
                <w:sz w:val="18"/>
                <w:szCs w:val="22"/>
              </w:rPr>
              <w:t xml:space="preserve">Industry </w:t>
            </w:r>
            <w:r w:rsidRPr="009D0A4A">
              <w:rPr>
                <w:rStyle w:val="Strong"/>
                <w:rFonts w:asciiTheme="majorHAnsi" w:hAnsiTheme="majorHAnsi" w:cstheme="minorHAnsi"/>
                <w:sz w:val="18"/>
                <w:szCs w:val="22"/>
              </w:rPr>
              <w:t>category</w:t>
            </w:r>
          </w:p>
        </w:tc>
        <w:tc>
          <w:tcPr>
            <w:tcW w:w="4030" w:type="pct"/>
            <w:tcBorders>
              <w:top w:val="nil"/>
              <w:left w:val="single" w:sz="8" w:space="0" w:color="D9D9D9"/>
              <w:bottom w:val="single" w:sz="8" w:space="0" w:color="D9D9D9"/>
              <w:right w:val="single" w:sz="8" w:space="0" w:color="D9D9D9"/>
            </w:tcBorders>
            <w:shd w:val="clear" w:color="auto" w:fill="D9D9D9" w:themeFill="background1" w:themeFillShade="D9"/>
            <w:hideMark/>
          </w:tcPr>
          <w:p w14:paraId="75C79160" w14:textId="77777777" w:rsidR="00105526" w:rsidRPr="009D0A4A" w:rsidRDefault="00105526" w:rsidP="00FA6EE6">
            <w:pPr>
              <w:pStyle w:val="EYBulletnoparaspace"/>
              <w:numPr>
                <w:ilvl w:val="0"/>
                <w:numId w:val="0"/>
              </w:numPr>
              <w:spacing w:after="0" w:line="264" w:lineRule="auto"/>
              <w:ind w:left="145"/>
              <w:rPr>
                <w:rStyle w:val="Strong"/>
                <w:rFonts w:asciiTheme="majorHAnsi" w:hAnsiTheme="majorHAnsi" w:cstheme="minorHAnsi"/>
                <w:color w:val="262626" w:themeColor="text1" w:themeTint="D9"/>
                <w:sz w:val="18"/>
                <w:szCs w:val="22"/>
              </w:rPr>
            </w:pPr>
            <w:r w:rsidRPr="009D0A4A">
              <w:rPr>
                <w:rStyle w:val="Strong"/>
                <w:rFonts w:asciiTheme="majorHAnsi" w:hAnsiTheme="majorHAnsi" w:cstheme="minorHAnsi"/>
                <w:sz w:val="18"/>
                <w:szCs w:val="22"/>
              </w:rPr>
              <w:t xml:space="preserve">ANZIC industry classification </w:t>
            </w:r>
          </w:p>
        </w:tc>
      </w:tr>
      <w:tr w:rsidR="00105526" w:rsidRPr="009D0A4A" w14:paraId="4000C4D0" w14:textId="77777777" w:rsidTr="00D26617">
        <w:trPr>
          <w:trHeight w:val="159"/>
        </w:trPr>
        <w:tc>
          <w:tcPr>
            <w:tcW w:w="970"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00BB0050" w14:textId="77777777" w:rsidR="00105526" w:rsidRPr="009D0A4A" w:rsidRDefault="00105526" w:rsidP="00FA6EE6">
            <w:pPr>
              <w:pStyle w:val="EYBulletnoparaspace"/>
              <w:numPr>
                <w:ilvl w:val="0"/>
                <w:numId w:val="0"/>
              </w:numPr>
              <w:spacing w:line="264" w:lineRule="auto"/>
              <w:rPr>
                <w:i/>
                <w:iCs/>
                <w:sz w:val="18"/>
                <w:szCs w:val="18"/>
              </w:rPr>
            </w:pPr>
            <w:r w:rsidRPr="009D0A4A">
              <w:rPr>
                <w:rFonts w:asciiTheme="minorHAnsi" w:hAnsiTheme="minorHAnsi" w:cstheme="minorHAnsi"/>
                <w:i/>
                <w:iCs/>
                <w:sz w:val="18"/>
                <w:szCs w:val="18"/>
              </w:rPr>
              <w:t>Construction</w:t>
            </w:r>
          </w:p>
        </w:tc>
        <w:tc>
          <w:tcPr>
            <w:tcW w:w="4030"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2107B6E9" w14:textId="77777777" w:rsidR="00105526" w:rsidRPr="009D0A4A" w:rsidRDefault="00105526" w:rsidP="00FA6EE6">
            <w:pPr>
              <w:pStyle w:val="BodyText"/>
              <w:ind w:left="157"/>
              <w:rPr>
                <w:rFonts w:cstheme="minorHAnsi"/>
                <w:sz w:val="18"/>
                <w:szCs w:val="18"/>
              </w:rPr>
            </w:pPr>
            <w:r w:rsidRPr="009D0A4A">
              <w:rPr>
                <w:rFonts w:cstheme="minorHAnsi"/>
                <w:sz w:val="18"/>
                <w:szCs w:val="18"/>
              </w:rPr>
              <w:t>Bricklaying Services, Concreting Services, Non-Residential Building Construction, Other Construction Services, Plastering and Ceiling Services, Plumbing Services, Roofing Services, Tiling and Carpeting Services</w:t>
            </w:r>
          </w:p>
        </w:tc>
      </w:tr>
      <w:tr w:rsidR="00105526" w:rsidRPr="009D0A4A" w14:paraId="2BFED5FE" w14:textId="77777777" w:rsidTr="00D26617">
        <w:trPr>
          <w:trHeight w:val="159"/>
        </w:trPr>
        <w:tc>
          <w:tcPr>
            <w:tcW w:w="970"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788B3F6E"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 xml:space="preserve">Manufacturing </w:t>
            </w:r>
          </w:p>
        </w:tc>
        <w:tc>
          <w:tcPr>
            <w:tcW w:w="4030"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110D5BA5" w14:textId="77777777" w:rsidR="00105526" w:rsidRPr="009D0A4A" w:rsidRDefault="00105526" w:rsidP="00FA6EE6">
            <w:pPr>
              <w:pStyle w:val="BodyText"/>
              <w:ind w:left="157"/>
              <w:rPr>
                <w:rFonts w:cstheme="minorHAnsi"/>
                <w:sz w:val="18"/>
                <w:szCs w:val="18"/>
              </w:rPr>
            </w:pPr>
            <w:r w:rsidRPr="009D0A4A">
              <w:rPr>
                <w:rFonts w:cstheme="minorHAnsi"/>
                <w:sz w:val="18"/>
                <w:szCs w:val="18"/>
              </w:rPr>
              <w:t>Cement and Lime Manufacturing, Clay Brick Manufacturing, Concrete Product Manufacturing</w:t>
            </w:r>
          </w:p>
          <w:p w14:paraId="48818602" w14:textId="77777777" w:rsidR="00105526" w:rsidRPr="009D0A4A" w:rsidRDefault="00105526" w:rsidP="00FA6EE6">
            <w:pPr>
              <w:pStyle w:val="BodyText"/>
              <w:ind w:left="157"/>
              <w:rPr>
                <w:rFonts w:cstheme="minorHAnsi"/>
                <w:sz w:val="18"/>
                <w:szCs w:val="18"/>
              </w:rPr>
            </w:pPr>
            <w:r w:rsidRPr="009D0A4A">
              <w:rPr>
                <w:rFonts w:cstheme="minorHAnsi"/>
                <w:sz w:val="18"/>
                <w:szCs w:val="18"/>
              </w:rPr>
              <w:t>Other Ceramic Product Manufacturing, Other Non-Metallic Mineral Product Manufacturing, Plaster Product Manufacturing, Ready-Mixed Concrete Manufacturing</w:t>
            </w:r>
          </w:p>
        </w:tc>
      </w:tr>
      <w:tr w:rsidR="00105526" w:rsidRPr="009D0A4A" w14:paraId="03762C17" w14:textId="77777777" w:rsidTr="00D26617">
        <w:trPr>
          <w:trHeight w:val="159"/>
        </w:trPr>
        <w:tc>
          <w:tcPr>
            <w:tcW w:w="970"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6A642DE3"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 xml:space="preserve">Quarrying </w:t>
            </w:r>
          </w:p>
        </w:tc>
        <w:tc>
          <w:tcPr>
            <w:tcW w:w="4030"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20415BA5" w14:textId="77777777" w:rsidR="00105526" w:rsidRPr="009D0A4A" w:rsidRDefault="00105526" w:rsidP="00FA6EE6">
            <w:pPr>
              <w:pStyle w:val="BodyText"/>
              <w:ind w:left="157"/>
              <w:rPr>
                <w:rFonts w:cstheme="minorHAnsi"/>
                <w:sz w:val="18"/>
                <w:szCs w:val="18"/>
              </w:rPr>
            </w:pPr>
            <w:r w:rsidRPr="009D0A4A">
              <w:rPr>
                <w:rFonts w:cstheme="minorHAnsi"/>
                <w:sz w:val="18"/>
                <w:szCs w:val="18"/>
              </w:rPr>
              <w:t>Gravel and Sand Quarrying</w:t>
            </w:r>
          </w:p>
          <w:p w14:paraId="06659E4A" w14:textId="77777777" w:rsidR="00105526" w:rsidRPr="009D0A4A" w:rsidRDefault="00105526" w:rsidP="00FA6EE6">
            <w:pPr>
              <w:pStyle w:val="BodyText"/>
              <w:ind w:left="157"/>
              <w:rPr>
                <w:rFonts w:cstheme="minorHAnsi"/>
                <w:sz w:val="18"/>
                <w:szCs w:val="18"/>
              </w:rPr>
            </w:pPr>
            <w:r w:rsidRPr="009D0A4A">
              <w:rPr>
                <w:rFonts w:cstheme="minorHAnsi"/>
                <w:sz w:val="18"/>
                <w:szCs w:val="18"/>
              </w:rPr>
              <w:t>Other Non-Metallic Mineral Mining and Quarrying</w:t>
            </w:r>
          </w:p>
        </w:tc>
      </w:tr>
      <w:tr w:rsidR="00105526" w:rsidRPr="009D0A4A" w14:paraId="2D1A31D7" w14:textId="77777777" w:rsidTr="00D26617">
        <w:trPr>
          <w:trHeight w:val="159"/>
        </w:trPr>
        <w:tc>
          <w:tcPr>
            <w:tcW w:w="970"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67863277"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Mining</w:t>
            </w:r>
          </w:p>
        </w:tc>
        <w:tc>
          <w:tcPr>
            <w:tcW w:w="4030"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224ADD58" w14:textId="77777777" w:rsidR="00105526" w:rsidRPr="009D0A4A" w:rsidRDefault="00105526" w:rsidP="00FA6EE6">
            <w:pPr>
              <w:pStyle w:val="BodyText"/>
              <w:ind w:left="157"/>
              <w:rPr>
                <w:rFonts w:cstheme="minorHAnsi"/>
                <w:sz w:val="18"/>
                <w:szCs w:val="18"/>
              </w:rPr>
            </w:pPr>
            <w:r w:rsidRPr="009D0A4A">
              <w:rPr>
                <w:rFonts w:cstheme="minorHAnsi"/>
                <w:sz w:val="18"/>
                <w:szCs w:val="18"/>
              </w:rPr>
              <w:t>Bauxite Mining, Coal Mining, Copper Ore Mining, Gold Ore Mining, Iron Ore Mining, Mineral Sand Mining, Nickel Ore Mining, Other Construction Material Mining, Other Metal Ore Mining, Silver-Lead-Zinc Ore Mining</w:t>
            </w:r>
          </w:p>
        </w:tc>
      </w:tr>
      <w:tr w:rsidR="00105526" w:rsidRPr="009D0A4A" w14:paraId="11D5B86E" w14:textId="77777777" w:rsidTr="00D26617">
        <w:trPr>
          <w:trHeight w:val="159"/>
        </w:trPr>
        <w:tc>
          <w:tcPr>
            <w:tcW w:w="970"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60F6D9C6"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Tunnelling</w:t>
            </w:r>
          </w:p>
        </w:tc>
        <w:tc>
          <w:tcPr>
            <w:tcW w:w="4030"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790D6482" w14:textId="77777777" w:rsidR="00105526" w:rsidRPr="009D0A4A" w:rsidRDefault="00105526" w:rsidP="00FA6EE6">
            <w:pPr>
              <w:pStyle w:val="BodyText"/>
              <w:ind w:left="157"/>
              <w:rPr>
                <w:rFonts w:cstheme="minorHAnsi"/>
                <w:sz w:val="18"/>
                <w:szCs w:val="18"/>
              </w:rPr>
            </w:pPr>
            <w:r w:rsidRPr="009D0A4A">
              <w:rPr>
                <w:rFonts w:cstheme="minorHAnsi"/>
                <w:sz w:val="18"/>
                <w:szCs w:val="18"/>
              </w:rPr>
              <w:t>Other Heavy and Civil Engineering Construction, Road and Bridge Construction</w:t>
            </w:r>
          </w:p>
        </w:tc>
      </w:tr>
      <w:tr w:rsidR="00105526" w:rsidRPr="009D0A4A" w14:paraId="648E0A7F" w14:textId="77777777" w:rsidTr="00D26617">
        <w:trPr>
          <w:trHeight w:val="159"/>
        </w:trPr>
        <w:tc>
          <w:tcPr>
            <w:tcW w:w="970"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4F110856"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Demolition</w:t>
            </w:r>
          </w:p>
        </w:tc>
        <w:tc>
          <w:tcPr>
            <w:tcW w:w="4030"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5B79A3CE" w14:textId="77777777" w:rsidR="00105526" w:rsidRPr="009D0A4A" w:rsidRDefault="00105526" w:rsidP="00FA6EE6">
            <w:pPr>
              <w:pStyle w:val="BodyText"/>
              <w:ind w:left="157"/>
              <w:rPr>
                <w:rFonts w:cstheme="minorHAnsi"/>
                <w:sz w:val="18"/>
                <w:szCs w:val="18"/>
              </w:rPr>
            </w:pPr>
            <w:r w:rsidRPr="009D0A4A">
              <w:rPr>
                <w:rFonts w:cstheme="minorHAnsi"/>
                <w:sz w:val="18"/>
                <w:szCs w:val="18"/>
              </w:rPr>
              <w:t>Site Preparation Services</w:t>
            </w:r>
          </w:p>
        </w:tc>
      </w:tr>
    </w:tbl>
    <w:p w14:paraId="082D98C2" w14:textId="77777777" w:rsidR="00D26617" w:rsidRPr="009D0A4A" w:rsidRDefault="00D26617" w:rsidP="00D26617">
      <w:pPr>
        <w:jc w:val="both"/>
        <w:rPr>
          <w:b/>
          <w:bCs/>
        </w:rPr>
      </w:pPr>
    </w:p>
    <w:p w14:paraId="6FB9742C" w14:textId="38AAB6A5" w:rsidR="00D26617" w:rsidRPr="009D0A4A" w:rsidRDefault="00D26617" w:rsidP="00D26617">
      <w:pPr>
        <w:jc w:val="both"/>
        <w:rPr>
          <w:b/>
          <w:bCs/>
        </w:rPr>
      </w:pPr>
      <w:r w:rsidRPr="009D0A4A">
        <w:rPr>
          <w:b/>
          <w:bCs/>
        </w:rPr>
        <w:t xml:space="preserve">Size of the industry </w:t>
      </w:r>
    </w:p>
    <w:p w14:paraId="7CC3898F" w14:textId="3658AFC8" w:rsidR="00105526" w:rsidRPr="009D0A4A" w:rsidRDefault="00105526" w:rsidP="00105526">
      <w:pPr>
        <w:pStyle w:val="BodyText"/>
        <w:jc w:val="both"/>
        <w:rPr>
          <w:color w:val="auto"/>
        </w:rPr>
      </w:pPr>
      <w:r w:rsidRPr="009D0A4A">
        <w:rPr>
          <w:color w:val="auto"/>
        </w:rPr>
        <w:t xml:space="preserve">Given the variability of some costs is dependent on the size and scale of operations, businesses </w:t>
      </w:r>
      <w:r w:rsidR="004E3629" w:rsidRPr="009D0A4A">
        <w:rPr>
          <w:color w:val="auto"/>
        </w:rPr>
        <w:t>count</w:t>
      </w:r>
      <w:r w:rsidRPr="009D0A4A">
        <w:rPr>
          <w:color w:val="auto"/>
        </w:rPr>
        <w:t xml:space="preserve"> data was further split into the following categories to account for this variability: </w:t>
      </w:r>
    </w:p>
    <w:p w14:paraId="74813A91" w14:textId="77777777" w:rsidR="00105526" w:rsidRPr="009D0A4A" w:rsidRDefault="00105526" w:rsidP="000C20A5">
      <w:pPr>
        <w:pStyle w:val="BodyText"/>
        <w:numPr>
          <w:ilvl w:val="0"/>
          <w:numId w:val="33"/>
        </w:numPr>
      </w:pPr>
      <w:r w:rsidRPr="009D0A4A">
        <w:t>Sole trader and small: non-employing (sole trader) - 19 employees</w:t>
      </w:r>
    </w:p>
    <w:p w14:paraId="1CB0C430" w14:textId="77777777" w:rsidR="00105526" w:rsidRPr="009D0A4A" w:rsidRDefault="00105526" w:rsidP="000C20A5">
      <w:pPr>
        <w:pStyle w:val="BodyText"/>
        <w:numPr>
          <w:ilvl w:val="0"/>
          <w:numId w:val="33"/>
        </w:numPr>
      </w:pPr>
      <w:r w:rsidRPr="009D0A4A">
        <w:t>Medium: 20 – 199 employees</w:t>
      </w:r>
    </w:p>
    <w:p w14:paraId="4463347D" w14:textId="77777777" w:rsidR="00105526" w:rsidRPr="009D0A4A" w:rsidRDefault="00105526" w:rsidP="000C20A5">
      <w:pPr>
        <w:pStyle w:val="BodyText"/>
        <w:numPr>
          <w:ilvl w:val="0"/>
          <w:numId w:val="33"/>
        </w:numPr>
      </w:pPr>
      <w:r w:rsidRPr="009D0A4A">
        <w:t>Large: 200+ employees.</w:t>
      </w:r>
    </w:p>
    <w:p w14:paraId="5ED6165D" w14:textId="77777777" w:rsidR="00105526" w:rsidRPr="009D0A4A" w:rsidRDefault="00105526" w:rsidP="00105526">
      <w:pPr>
        <w:jc w:val="both"/>
      </w:pPr>
      <w:r w:rsidRPr="009D0A4A">
        <w:lastRenderedPageBreak/>
        <w:t xml:space="preserve">It is likely that not all PCBUs in each industry sector are </w:t>
      </w:r>
      <w:r w:rsidRPr="009D0A4A">
        <w:rPr>
          <w:rFonts w:cstheme="minorHAnsi"/>
        </w:rPr>
        <w:t xml:space="preserve">undertaking high risk silica work and therefore would not </w:t>
      </w:r>
      <w:r w:rsidRPr="009D0A4A">
        <w:t xml:space="preserve">be required to meet the additional duties outlined in the proposed options. </w:t>
      </w:r>
    </w:p>
    <w:p w14:paraId="5DB76387" w14:textId="51102C38" w:rsidR="00105526" w:rsidRPr="009D0A4A" w:rsidRDefault="00105526" w:rsidP="00105526">
      <w:pPr>
        <w:jc w:val="both"/>
        <w:rPr>
          <w:color w:val="auto"/>
        </w:rPr>
      </w:pPr>
      <w:r w:rsidRPr="009D0A4A">
        <w:t>Using assumptions developed in the Occupational Health and Safety Amendment (Crystalline Silica) Regulations 2021 Regulatory Impact Statement</w:t>
      </w:r>
      <w:r w:rsidRPr="009D0A4A">
        <w:rPr>
          <w:i/>
          <w:iCs/>
        </w:rPr>
        <w:t xml:space="preserve">, </w:t>
      </w:r>
      <w:r w:rsidRPr="009D0A4A">
        <w:t xml:space="preserve">a proportion of businesses within each industry category will be required to meet the additional duties beyond the existing model WHS laws as presented </w:t>
      </w:r>
      <w:r w:rsidR="00C64F37" w:rsidRPr="009D0A4A">
        <w:t xml:space="preserve">in Table </w:t>
      </w:r>
      <w:r w:rsidR="00C473F8" w:rsidRPr="009D0A4A">
        <w:t>25</w:t>
      </w:r>
      <w:r w:rsidRPr="009D0A4A">
        <w:t>.</w:t>
      </w:r>
      <w:r w:rsidR="00BE470E" w:rsidRPr="009D0A4A">
        <w:t xml:space="preserve"> </w:t>
      </w:r>
      <w:r w:rsidRPr="009D0A4A">
        <w:t xml:space="preserve">It is to be noted that </w:t>
      </w:r>
      <w:r w:rsidRPr="009D0A4A">
        <w:rPr>
          <w:color w:val="auto"/>
        </w:rPr>
        <w:t>the</w:t>
      </w:r>
      <w:r w:rsidR="00BE470E" w:rsidRPr="009D0A4A">
        <w:rPr>
          <w:color w:val="auto"/>
        </w:rPr>
        <w:t>se</w:t>
      </w:r>
      <w:r w:rsidRPr="009D0A4A">
        <w:rPr>
          <w:color w:val="auto"/>
        </w:rPr>
        <w:t xml:space="preserve"> percentag</w:t>
      </w:r>
      <w:r w:rsidR="00455BE6" w:rsidRPr="009D0A4A">
        <w:rPr>
          <w:color w:val="auto"/>
        </w:rPr>
        <w:t xml:space="preserve">es </w:t>
      </w:r>
      <w:r w:rsidRPr="009D0A4A">
        <w:rPr>
          <w:color w:val="auto"/>
        </w:rPr>
        <w:t>contain a high degree of uncertainty.</w:t>
      </w:r>
    </w:p>
    <w:p w14:paraId="5F720B35" w14:textId="629B39FB" w:rsidR="00105526" w:rsidRPr="009D0A4A" w:rsidRDefault="00105526" w:rsidP="00105526">
      <w:pPr>
        <w:pStyle w:val="Caption"/>
      </w:pPr>
      <w:bookmarkStart w:id="680" w:name="_Ref105770145"/>
      <w:r w:rsidRPr="009D0A4A">
        <w:t xml:space="preserve">Table </w:t>
      </w:r>
      <w:bookmarkEnd w:id="680"/>
      <w:r w:rsidR="00C473F8" w:rsidRPr="009D0A4A">
        <w:t>25</w:t>
      </w:r>
      <w:r w:rsidRPr="009D0A4A">
        <w:t xml:space="preserve">: Size of industry </w:t>
      </w:r>
      <w:r w:rsidR="00D14CC1" w:rsidRPr="009D0A4A">
        <w:t>and</w:t>
      </w:r>
      <w:r w:rsidRPr="009D0A4A">
        <w:t xml:space="preserve"> proportion of businesses undertaking high risk silica work </w:t>
      </w:r>
    </w:p>
    <w:tbl>
      <w:tblPr>
        <w:tblW w:w="5000" w:type="pct"/>
        <w:tblBorders>
          <w:left w:val="single" w:sz="8" w:space="0" w:color="D9D9D9"/>
          <w:bottom w:val="single" w:sz="8" w:space="0" w:color="D9D9D9"/>
          <w:right w:val="single" w:sz="8" w:space="0" w:color="D9D9D9"/>
          <w:insideH w:val="single" w:sz="8" w:space="0" w:color="D9D9D9"/>
          <w:insideV w:val="single" w:sz="8" w:space="0" w:color="D9D9D9"/>
        </w:tblBorders>
        <w:tblCellMar>
          <w:left w:w="0" w:type="dxa"/>
          <w:right w:w="0" w:type="dxa"/>
        </w:tblCellMar>
        <w:tblLook w:val="0420" w:firstRow="1" w:lastRow="0" w:firstColumn="0" w:lastColumn="0" w:noHBand="0" w:noVBand="1"/>
      </w:tblPr>
      <w:tblGrid>
        <w:gridCol w:w="1505"/>
        <w:gridCol w:w="6422"/>
        <w:gridCol w:w="2257"/>
      </w:tblGrid>
      <w:tr w:rsidR="00105526" w:rsidRPr="009D0A4A" w14:paraId="50D05DE2" w14:textId="77777777" w:rsidTr="00FA6EE6">
        <w:trPr>
          <w:trHeight w:val="159"/>
          <w:tblHeader/>
        </w:trPr>
        <w:tc>
          <w:tcPr>
            <w:tcW w:w="739" w:type="pct"/>
            <w:tcBorders>
              <w:top w:val="nil"/>
              <w:left w:val="single" w:sz="8" w:space="0" w:color="D9D9D9"/>
              <w:bottom w:val="single" w:sz="8" w:space="0" w:color="D9D9D9"/>
              <w:right w:val="single" w:sz="8" w:space="0" w:color="D9D9D9"/>
            </w:tcBorders>
            <w:shd w:val="clear" w:color="auto" w:fill="D9D9D9" w:themeFill="background1" w:themeFillShade="D9"/>
            <w:tcMar>
              <w:top w:w="72" w:type="dxa"/>
              <w:left w:w="144" w:type="dxa"/>
              <w:bottom w:w="72" w:type="dxa"/>
              <w:right w:w="144" w:type="dxa"/>
            </w:tcMar>
            <w:vAlign w:val="center"/>
            <w:hideMark/>
          </w:tcPr>
          <w:p w14:paraId="3524CFF0" w14:textId="77777777" w:rsidR="00105526" w:rsidRPr="009D0A4A" w:rsidRDefault="00105526" w:rsidP="00FA6EE6">
            <w:pPr>
              <w:pStyle w:val="EYBulletnoparaspace"/>
              <w:numPr>
                <w:ilvl w:val="0"/>
                <w:numId w:val="0"/>
              </w:numPr>
              <w:spacing w:after="0" w:line="264" w:lineRule="auto"/>
              <w:rPr>
                <w:rStyle w:val="Strong"/>
                <w:rFonts w:asciiTheme="majorHAnsi" w:hAnsiTheme="majorHAnsi" w:cstheme="minorHAnsi"/>
                <w:color w:val="262626" w:themeColor="text1" w:themeTint="D9"/>
                <w:sz w:val="18"/>
                <w:szCs w:val="22"/>
              </w:rPr>
            </w:pPr>
            <w:r w:rsidRPr="009D0A4A">
              <w:rPr>
                <w:rStyle w:val="Strong"/>
                <w:rFonts w:asciiTheme="majorHAnsi" w:hAnsiTheme="majorHAnsi" w:cstheme="minorHAnsi"/>
                <w:color w:val="262626" w:themeColor="text1" w:themeTint="D9"/>
                <w:sz w:val="18"/>
                <w:szCs w:val="22"/>
              </w:rPr>
              <w:t xml:space="preserve">Industry </w:t>
            </w:r>
            <w:r w:rsidRPr="009D0A4A">
              <w:rPr>
                <w:rStyle w:val="Strong"/>
                <w:rFonts w:asciiTheme="majorHAnsi" w:hAnsiTheme="majorHAnsi" w:cstheme="minorHAnsi"/>
                <w:sz w:val="18"/>
                <w:szCs w:val="22"/>
              </w:rPr>
              <w:t>category</w:t>
            </w:r>
          </w:p>
        </w:tc>
        <w:tc>
          <w:tcPr>
            <w:tcW w:w="3153" w:type="pct"/>
            <w:tcBorders>
              <w:top w:val="nil"/>
              <w:left w:val="single" w:sz="8" w:space="0" w:color="D9D9D9"/>
              <w:bottom w:val="single" w:sz="8" w:space="0" w:color="D9D9D9"/>
              <w:right w:val="single" w:sz="8" w:space="0" w:color="D9D9D9"/>
            </w:tcBorders>
            <w:shd w:val="clear" w:color="auto" w:fill="D9D9D9" w:themeFill="background1" w:themeFillShade="D9"/>
            <w:vAlign w:val="center"/>
            <w:hideMark/>
          </w:tcPr>
          <w:p w14:paraId="604A024D" w14:textId="77777777" w:rsidR="00105526" w:rsidRPr="009D0A4A" w:rsidRDefault="00105526" w:rsidP="00FA6EE6">
            <w:pPr>
              <w:pStyle w:val="EYBulletnoparaspace"/>
              <w:numPr>
                <w:ilvl w:val="0"/>
                <w:numId w:val="0"/>
              </w:numPr>
              <w:spacing w:after="0" w:line="264" w:lineRule="auto"/>
              <w:ind w:left="145"/>
              <w:rPr>
                <w:rStyle w:val="Strong"/>
                <w:rFonts w:asciiTheme="majorHAnsi" w:hAnsiTheme="majorHAnsi" w:cstheme="minorHAnsi"/>
                <w:color w:val="262626" w:themeColor="text1" w:themeTint="D9"/>
                <w:sz w:val="18"/>
                <w:szCs w:val="22"/>
              </w:rPr>
            </w:pPr>
            <w:r w:rsidRPr="009D0A4A">
              <w:rPr>
                <w:rStyle w:val="Strong"/>
                <w:rFonts w:asciiTheme="majorHAnsi" w:hAnsiTheme="majorHAnsi" w:cstheme="minorHAnsi"/>
                <w:sz w:val="18"/>
                <w:szCs w:val="22"/>
              </w:rPr>
              <w:t>ANZIC industry classification</w:t>
            </w:r>
          </w:p>
        </w:tc>
        <w:tc>
          <w:tcPr>
            <w:tcW w:w="1108" w:type="pct"/>
            <w:tcBorders>
              <w:top w:val="nil"/>
              <w:left w:val="single" w:sz="8" w:space="0" w:color="D9D9D9"/>
              <w:bottom w:val="single" w:sz="8" w:space="0" w:color="D9D9D9"/>
              <w:right w:val="single" w:sz="8" w:space="0" w:color="D9D9D9"/>
            </w:tcBorders>
            <w:shd w:val="clear" w:color="auto" w:fill="D9D9D9" w:themeFill="background1" w:themeFillShade="D9"/>
            <w:vAlign w:val="center"/>
            <w:hideMark/>
          </w:tcPr>
          <w:p w14:paraId="12473531" w14:textId="77777777" w:rsidR="00105526" w:rsidRPr="009D0A4A" w:rsidRDefault="00105526" w:rsidP="00FA6EE6">
            <w:pPr>
              <w:pStyle w:val="EYBulletnoparaspace"/>
              <w:numPr>
                <w:ilvl w:val="0"/>
                <w:numId w:val="0"/>
              </w:numPr>
              <w:spacing w:after="0" w:line="264" w:lineRule="auto"/>
              <w:ind w:left="145"/>
              <w:rPr>
                <w:rStyle w:val="Strong"/>
                <w:rFonts w:asciiTheme="majorHAnsi" w:hAnsiTheme="majorHAnsi" w:cstheme="minorHAnsi"/>
                <w:color w:val="262626" w:themeColor="text1" w:themeTint="D9"/>
                <w:sz w:val="18"/>
                <w:szCs w:val="22"/>
              </w:rPr>
            </w:pPr>
            <w:r w:rsidRPr="009D0A4A">
              <w:rPr>
                <w:rStyle w:val="Strong"/>
                <w:rFonts w:asciiTheme="majorHAnsi" w:hAnsiTheme="majorHAnsi" w:cstheme="minorHAnsi"/>
                <w:sz w:val="18"/>
                <w:szCs w:val="22"/>
              </w:rPr>
              <w:t xml:space="preserve">Proportion of businesses covered by options </w:t>
            </w:r>
          </w:p>
        </w:tc>
      </w:tr>
      <w:tr w:rsidR="00105526" w:rsidRPr="009D0A4A" w14:paraId="5318D960" w14:textId="77777777" w:rsidTr="00FA6EE6">
        <w:trPr>
          <w:trHeight w:val="858"/>
        </w:trPr>
        <w:tc>
          <w:tcPr>
            <w:tcW w:w="739" w:type="pct"/>
            <w:vMerge w:val="restar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hideMark/>
          </w:tcPr>
          <w:p w14:paraId="64AE9312" w14:textId="77777777" w:rsidR="00105526" w:rsidRPr="009D0A4A" w:rsidRDefault="00105526" w:rsidP="00FA6EE6">
            <w:pPr>
              <w:pStyle w:val="EYBulletnoparaspace"/>
              <w:numPr>
                <w:ilvl w:val="0"/>
                <w:numId w:val="0"/>
              </w:numPr>
              <w:spacing w:line="264" w:lineRule="auto"/>
              <w:rPr>
                <w:i/>
                <w:iCs/>
                <w:sz w:val="18"/>
                <w:szCs w:val="18"/>
              </w:rPr>
            </w:pPr>
            <w:r w:rsidRPr="009D0A4A">
              <w:rPr>
                <w:rFonts w:asciiTheme="minorHAnsi" w:hAnsiTheme="minorHAnsi" w:cstheme="minorHAnsi"/>
                <w:i/>
                <w:iCs/>
                <w:sz w:val="18"/>
                <w:szCs w:val="18"/>
              </w:rPr>
              <w:t>Construction</w:t>
            </w:r>
          </w:p>
        </w:tc>
        <w:tc>
          <w:tcPr>
            <w:tcW w:w="315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184D0FEE" w14:textId="747D3C47" w:rsidR="00105526" w:rsidRPr="009D0A4A" w:rsidRDefault="00105526" w:rsidP="00FA6EE6">
            <w:pPr>
              <w:pStyle w:val="BodyText"/>
              <w:ind w:left="157"/>
              <w:rPr>
                <w:rFonts w:cstheme="minorHAnsi"/>
                <w:sz w:val="18"/>
                <w:szCs w:val="18"/>
              </w:rPr>
            </w:pPr>
            <w:r w:rsidRPr="009D0A4A">
              <w:rPr>
                <w:rFonts w:cstheme="minorHAnsi"/>
                <w:sz w:val="18"/>
                <w:szCs w:val="18"/>
              </w:rPr>
              <w:t xml:space="preserve">Non-Residential Building Construction, Other Construction Services, Plastering and Ceiling Services, Plumbing Services, Roofing Services, Tiling and Carpeting Service </w:t>
            </w:r>
          </w:p>
        </w:tc>
        <w:tc>
          <w:tcPr>
            <w:tcW w:w="1108"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5F68D0A3" w14:textId="77777777" w:rsidR="00105526" w:rsidRPr="009D0A4A" w:rsidRDefault="00105526" w:rsidP="00FA6EE6">
            <w:pPr>
              <w:pStyle w:val="BodyText"/>
              <w:ind w:left="157"/>
              <w:rPr>
                <w:rFonts w:cstheme="minorHAnsi"/>
                <w:sz w:val="18"/>
                <w:szCs w:val="18"/>
              </w:rPr>
            </w:pPr>
            <w:r w:rsidRPr="009D0A4A">
              <w:rPr>
                <w:rFonts w:cstheme="minorHAnsi"/>
                <w:sz w:val="18"/>
                <w:szCs w:val="18"/>
              </w:rPr>
              <w:t>1</w:t>
            </w:r>
            <w:r w:rsidRPr="009D0A4A">
              <w:rPr>
                <w:sz w:val="18"/>
                <w:szCs w:val="18"/>
              </w:rPr>
              <w:t>0%</w:t>
            </w:r>
          </w:p>
        </w:tc>
      </w:tr>
      <w:tr w:rsidR="00105526" w:rsidRPr="009D0A4A" w14:paraId="7C5C97A3" w14:textId="77777777" w:rsidTr="00FA6EE6">
        <w:trPr>
          <w:trHeight w:val="159"/>
        </w:trPr>
        <w:tc>
          <w:tcPr>
            <w:tcW w:w="0" w:type="auto"/>
            <w:vMerge/>
            <w:tcBorders>
              <w:top w:val="single" w:sz="8" w:space="0" w:color="D9D9D9"/>
              <w:left w:val="single" w:sz="8" w:space="0" w:color="D9D9D9"/>
              <w:bottom w:val="single" w:sz="8" w:space="0" w:color="D9D9D9"/>
              <w:right w:val="single" w:sz="8" w:space="0" w:color="D9D9D9"/>
            </w:tcBorders>
            <w:vAlign w:val="center"/>
            <w:hideMark/>
          </w:tcPr>
          <w:p w14:paraId="7B5821BF" w14:textId="77777777" w:rsidR="00105526" w:rsidRPr="009D0A4A" w:rsidRDefault="00105526" w:rsidP="00FA6EE6">
            <w:pPr>
              <w:spacing w:after="0"/>
              <w:rPr>
                <w:rFonts w:ascii="EYInterstate Light" w:eastAsia="Times New Roman" w:hAnsi="EYInterstate Light" w:cs="Times New Roman"/>
                <w:i/>
                <w:iCs/>
                <w:color w:val="auto"/>
                <w:sz w:val="18"/>
                <w:szCs w:val="18"/>
              </w:rPr>
            </w:pPr>
          </w:p>
        </w:tc>
        <w:tc>
          <w:tcPr>
            <w:tcW w:w="315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7F138F79" w14:textId="77777777" w:rsidR="00105526" w:rsidRPr="009D0A4A" w:rsidRDefault="00105526" w:rsidP="00FA6EE6">
            <w:pPr>
              <w:pStyle w:val="BodyText"/>
              <w:ind w:left="157"/>
              <w:rPr>
                <w:rFonts w:cstheme="minorHAnsi"/>
                <w:sz w:val="18"/>
                <w:szCs w:val="18"/>
              </w:rPr>
            </w:pPr>
            <w:r w:rsidRPr="009D0A4A">
              <w:rPr>
                <w:rFonts w:cstheme="minorHAnsi"/>
                <w:sz w:val="18"/>
                <w:szCs w:val="18"/>
              </w:rPr>
              <w:t>Bricklaying services, Concreting services</w:t>
            </w:r>
          </w:p>
        </w:tc>
        <w:tc>
          <w:tcPr>
            <w:tcW w:w="1108"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2C741529" w14:textId="77777777" w:rsidR="00105526" w:rsidRPr="009D0A4A" w:rsidRDefault="00105526" w:rsidP="00FA6EE6">
            <w:pPr>
              <w:pStyle w:val="BodyText"/>
              <w:ind w:left="157"/>
              <w:rPr>
                <w:rFonts w:cstheme="minorHAnsi"/>
                <w:sz w:val="18"/>
                <w:szCs w:val="18"/>
              </w:rPr>
            </w:pPr>
            <w:r w:rsidRPr="009D0A4A">
              <w:rPr>
                <w:rFonts w:cstheme="minorHAnsi"/>
                <w:sz w:val="18"/>
                <w:szCs w:val="18"/>
              </w:rPr>
              <w:t>100%</w:t>
            </w:r>
          </w:p>
        </w:tc>
      </w:tr>
      <w:tr w:rsidR="00105526" w:rsidRPr="009D0A4A" w14:paraId="7269531C" w14:textId="77777777" w:rsidTr="00FA6EE6">
        <w:trPr>
          <w:trHeight w:val="159"/>
        </w:trPr>
        <w:tc>
          <w:tcPr>
            <w:tcW w:w="739" w:type="pct"/>
            <w:vMerge w:val="restar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hideMark/>
          </w:tcPr>
          <w:p w14:paraId="07324EF1"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 xml:space="preserve">Manufacturing </w:t>
            </w:r>
          </w:p>
        </w:tc>
        <w:tc>
          <w:tcPr>
            <w:tcW w:w="315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300B1771" w14:textId="037E6B21" w:rsidR="00105526" w:rsidRPr="009D0A4A" w:rsidRDefault="00105526" w:rsidP="00FA6EE6">
            <w:pPr>
              <w:pStyle w:val="BodyText"/>
              <w:ind w:left="157"/>
              <w:rPr>
                <w:rFonts w:cstheme="minorHAnsi"/>
                <w:sz w:val="18"/>
                <w:szCs w:val="18"/>
              </w:rPr>
            </w:pPr>
            <w:r w:rsidRPr="009D0A4A">
              <w:rPr>
                <w:rFonts w:cstheme="minorHAnsi"/>
                <w:sz w:val="18"/>
                <w:szCs w:val="18"/>
              </w:rPr>
              <w:t>Cement and Lime Manufacturing, Clay Brick Manufacturing, Other Ceramic Product Manufacturing, Other Non-Metallic Mineral Product Manufacturing, Plaster Product Manufacturing, Ready-Mixed Concrete Manufacturing</w:t>
            </w:r>
          </w:p>
        </w:tc>
        <w:tc>
          <w:tcPr>
            <w:tcW w:w="1108"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348F241E" w14:textId="77777777" w:rsidR="00105526" w:rsidRPr="009D0A4A" w:rsidRDefault="00105526" w:rsidP="00FA6EE6">
            <w:pPr>
              <w:pStyle w:val="BodyText"/>
              <w:ind w:left="157"/>
              <w:rPr>
                <w:rFonts w:cstheme="minorHAnsi"/>
                <w:sz w:val="18"/>
                <w:szCs w:val="18"/>
              </w:rPr>
            </w:pPr>
            <w:r w:rsidRPr="009D0A4A">
              <w:rPr>
                <w:rFonts w:cstheme="minorHAnsi"/>
                <w:sz w:val="18"/>
                <w:szCs w:val="18"/>
              </w:rPr>
              <w:t>10%</w:t>
            </w:r>
          </w:p>
        </w:tc>
      </w:tr>
      <w:tr w:rsidR="00105526" w:rsidRPr="009D0A4A" w14:paraId="466667F4" w14:textId="77777777" w:rsidTr="00FA6EE6">
        <w:trPr>
          <w:trHeight w:val="159"/>
        </w:trPr>
        <w:tc>
          <w:tcPr>
            <w:tcW w:w="0" w:type="auto"/>
            <w:vMerge/>
            <w:tcBorders>
              <w:top w:val="single" w:sz="8" w:space="0" w:color="D9D9D9"/>
              <w:left w:val="single" w:sz="8" w:space="0" w:color="D9D9D9"/>
              <w:bottom w:val="single" w:sz="8" w:space="0" w:color="D9D9D9"/>
              <w:right w:val="single" w:sz="8" w:space="0" w:color="D9D9D9"/>
            </w:tcBorders>
            <w:vAlign w:val="center"/>
            <w:hideMark/>
          </w:tcPr>
          <w:p w14:paraId="4DA64C90" w14:textId="77777777" w:rsidR="00105526" w:rsidRPr="009D0A4A" w:rsidRDefault="00105526" w:rsidP="00FA6EE6">
            <w:pPr>
              <w:spacing w:after="0"/>
              <w:rPr>
                <w:rFonts w:eastAsia="Times New Roman" w:cstheme="minorHAnsi"/>
                <w:i/>
                <w:iCs/>
                <w:sz w:val="18"/>
                <w:szCs w:val="18"/>
              </w:rPr>
            </w:pPr>
          </w:p>
        </w:tc>
        <w:tc>
          <w:tcPr>
            <w:tcW w:w="315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7FD3FFA8" w14:textId="77777777" w:rsidR="00105526" w:rsidRPr="009D0A4A" w:rsidRDefault="00105526" w:rsidP="00FA6EE6">
            <w:pPr>
              <w:pStyle w:val="BodyText"/>
              <w:ind w:left="157"/>
              <w:rPr>
                <w:rFonts w:cstheme="minorHAnsi"/>
                <w:sz w:val="18"/>
                <w:szCs w:val="18"/>
              </w:rPr>
            </w:pPr>
            <w:r w:rsidRPr="009D0A4A">
              <w:rPr>
                <w:rFonts w:cstheme="minorHAnsi"/>
                <w:sz w:val="18"/>
                <w:szCs w:val="18"/>
              </w:rPr>
              <w:t>Concrete Product Manufacturing</w:t>
            </w:r>
          </w:p>
        </w:tc>
        <w:tc>
          <w:tcPr>
            <w:tcW w:w="1108"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0303DDF3" w14:textId="77777777" w:rsidR="00105526" w:rsidRPr="009D0A4A" w:rsidRDefault="00105526" w:rsidP="00FA6EE6">
            <w:pPr>
              <w:pStyle w:val="BodyText"/>
              <w:ind w:left="157"/>
              <w:rPr>
                <w:rFonts w:cstheme="minorHAnsi"/>
                <w:sz w:val="18"/>
                <w:szCs w:val="18"/>
              </w:rPr>
            </w:pPr>
            <w:r w:rsidRPr="009D0A4A">
              <w:rPr>
                <w:rFonts w:cstheme="minorHAnsi"/>
                <w:sz w:val="18"/>
                <w:szCs w:val="18"/>
              </w:rPr>
              <w:t>1</w:t>
            </w:r>
            <w:r w:rsidRPr="009D0A4A">
              <w:rPr>
                <w:sz w:val="18"/>
                <w:szCs w:val="18"/>
              </w:rPr>
              <w:t>00%</w:t>
            </w:r>
          </w:p>
        </w:tc>
      </w:tr>
      <w:tr w:rsidR="00105526" w:rsidRPr="009D0A4A" w14:paraId="46644B9A" w14:textId="77777777" w:rsidTr="00FA6EE6">
        <w:trPr>
          <w:trHeight w:val="159"/>
        </w:trPr>
        <w:tc>
          <w:tcPr>
            <w:tcW w:w="739"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hideMark/>
          </w:tcPr>
          <w:p w14:paraId="61AEC9B7"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Quarrying, mining, tunnelling, demolition</w:t>
            </w:r>
          </w:p>
        </w:tc>
        <w:tc>
          <w:tcPr>
            <w:tcW w:w="315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097D6CAB" w14:textId="77777777" w:rsidR="00105526" w:rsidRPr="009D0A4A" w:rsidRDefault="00105526" w:rsidP="00FA6EE6">
            <w:pPr>
              <w:pStyle w:val="BodyText"/>
              <w:ind w:left="157"/>
              <w:rPr>
                <w:rFonts w:cstheme="minorHAnsi"/>
                <w:sz w:val="18"/>
                <w:szCs w:val="18"/>
              </w:rPr>
            </w:pPr>
            <w:r w:rsidRPr="009D0A4A">
              <w:rPr>
                <w:rFonts w:cstheme="minorHAnsi"/>
                <w:sz w:val="18"/>
                <w:szCs w:val="18"/>
              </w:rPr>
              <w:t>Bauxite Mining, Coal Mining, Copper Ore Mining, Gold Ore Mining, Gravel and Sand Quarrying, Iron Ore Mining, Mineral Sand Mining, Nickel Ore Mining, Other Construction Material Mining, Other Heavy and Civil Engineering Construction, Other Metal Ore Mining, Other Non-Metallic Mineral Mining and Quarrying, Road and Bridge Construction, Silver-Lead-Zinc Ore Mining, Site Preparation Services</w:t>
            </w:r>
          </w:p>
        </w:tc>
        <w:tc>
          <w:tcPr>
            <w:tcW w:w="1108"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2BBE80EA" w14:textId="77777777" w:rsidR="00105526" w:rsidRPr="009D0A4A" w:rsidRDefault="00105526" w:rsidP="00FA6EE6">
            <w:pPr>
              <w:pStyle w:val="BodyText"/>
              <w:ind w:left="157"/>
              <w:rPr>
                <w:rFonts w:cstheme="minorHAnsi"/>
                <w:sz w:val="18"/>
                <w:szCs w:val="18"/>
              </w:rPr>
            </w:pPr>
            <w:r w:rsidRPr="009D0A4A">
              <w:rPr>
                <w:rFonts w:cstheme="minorHAnsi"/>
                <w:sz w:val="18"/>
                <w:szCs w:val="18"/>
              </w:rPr>
              <w:t>37%</w:t>
            </w:r>
          </w:p>
        </w:tc>
      </w:tr>
    </w:tbl>
    <w:p w14:paraId="10B52E70" w14:textId="1990BEE8" w:rsidR="00105526" w:rsidRPr="009D0A4A" w:rsidRDefault="00105526" w:rsidP="00105526">
      <w:pPr>
        <w:rPr>
          <w:b/>
          <w:bCs/>
        </w:rPr>
      </w:pPr>
      <w:r w:rsidRPr="009D0A4A">
        <w:br/>
      </w:r>
      <w:r w:rsidR="00D26617" w:rsidRPr="009D0A4A">
        <w:rPr>
          <w:b/>
          <w:bCs/>
        </w:rPr>
        <w:t>Assumptions around the number of businesses in Australia not subject to the model WHS laws</w:t>
      </w:r>
    </w:p>
    <w:p w14:paraId="70FA5AF2" w14:textId="4FD6277A" w:rsidR="00D26617" w:rsidRPr="009D0A4A" w:rsidRDefault="00105526" w:rsidP="00105526">
      <w:pPr>
        <w:jc w:val="both"/>
      </w:pPr>
      <w:r w:rsidRPr="009D0A4A">
        <w:t xml:space="preserve">As mentioned in Section </w:t>
      </w:r>
      <w:r w:rsidR="00455BE6" w:rsidRPr="009D0A4A">
        <w:t>1.</w:t>
      </w:r>
      <w:r w:rsidR="00E94715" w:rsidRPr="009D0A4A">
        <w:t>6</w:t>
      </w:r>
      <w:r w:rsidRPr="009D0A4A">
        <w:t>, the scope of this CRIS covers industries that are subject to the model WHS laws. Therefore, Victorian businesses have been excluded from the total business count estimates, as are mining and quarrying businesses in Tasmania, Western Australia, Queensland and New South Wales.</w:t>
      </w:r>
      <w:r w:rsidR="00C64F37" w:rsidRPr="009D0A4A">
        <w:t xml:space="preserve"> </w:t>
      </w:r>
    </w:p>
    <w:p w14:paraId="11C329D9" w14:textId="772F9BEF" w:rsidR="00105526" w:rsidRPr="009D0A4A" w:rsidRDefault="00C64F37" w:rsidP="00105526">
      <w:pPr>
        <w:jc w:val="both"/>
      </w:pPr>
      <w:r w:rsidRPr="009D0A4A">
        <w:t xml:space="preserve">The total estimated number of businesses covered by </w:t>
      </w:r>
      <w:r w:rsidR="00614CFC" w:rsidRPr="009D0A4A">
        <w:t>Options</w:t>
      </w:r>
      <w:r w:rsidR="00D26617" w:rsidRPr="009D0A4A">
        <w:t xml:space="preserve"> 3 and 5</w:t>
      </w:r>
      <w:r w:rsidRPr="009D0A4A">
        <w:t xml:space="preserve"> is presented in Table </w:t>
      </w:r>
      <w:r w:rsidR="00C473F8" w:rsidRPr="009D0A4A">
        <w:t>26</w:t>
      </w:r>
      <w:r w:rsidRPr="009D0A4A">
        <w:t>.</w:t>
      </w:r>
    </w:p>
    <w:p w14:paraId="52EE07FC" w14:textId="17544CB6" w:rsidR="00105526" w:rsidRPr="009D0A4A" w:rsidRDefault="00105526" w:rsidP="00105526">
      <w:pPr>
        <w:pStyle w:val="Caption"/>
      </w:pPr>
      <w:bookmarkStart w:id="681" w:name="_Ref103851320"/>
      <w:r w:rsidRPr="009D0A4A">
        <w:t xml:space="preserve">Table </w:t>
      </w:r>
      <w:bookmarkEnd w:id="681"/>
      <w:r w:rsidR="00C473F8" w:rsidRPr="009D0A4A">
        <w:t>26</w:t>
      </w:r>
      <w:r w:rsidRPr="009D0A4A">
        <w:t xml:space="preserve">: </w:t>
      </w:r>
      <w:r w:rsidR="001E1970" w:rsidRPr="009D0A4A">
        <w:t xml:space="preserve">Estimated </w:t>
      </w:r>
      <w:r w:rsidRPr="009D0A4A">
        <w:t xml:space="preserve">number of </w:t>
      </w:r>
      <w:r w:rsidR="00C64F37" w:rsidRPr="009D0A4A">
        <w:t>businesses</w:t>
      </w:r>
      <w:r w:rsidRPr="009D0A4A">
        <w:t xml:space="preserve"> </w:t>
      </w:r>
      <w:r w:rsidR="001E1970" w:rsidRPr="009D0A4A">
        <w:t xml:space="preserve">per industry category </w:t>
      </w:r>
      <w:r w:rsidRPr="009D0A4A">
        <w:t xml:space="preserve">covered by </w:t>
      </w:r>
      <w:r w:rsidR="001E1970" w:rsidRPr="009D0A4A">
        <w:t>Options 2, 3 and 5</w:t>
      </w:r>
      <w:r w:rsidR="002B12CC" w:rsidRPr="009D0A4A">
        <w:t xml:space="preserve"> </w:t>
      </w:r>
      <w:r w:rsidR="002B12CC" w:rsidRPr="009D0A4A">
        <w:fldChar w:fldCharType="begin"/>
      </w:r>
      <w:r w:rsidR="004067E3">
        <w:instrText xml:space="preserve"> ADDIN ZOTERO_ITEM CSL_CITATION {"citationID":"VKueN4Bq","properties":{"formattedCitation":"(Australian Bureau of Statistics 2021b)","plainCitation":"(Australian Bureau of Statistics 2021b)","noteIndex":0},"citationItems":[{"id":911,"uris":["http://zotero.org/users/6230888/items/MILQ3B8N"],"itemData":{"id":911,"type":"webpage","abstract":"Contains counts of actively trading businesses, rates of entry to and exit from the market sector of the economy, and rates of business survival.","language":"en","title":"Counts of Australian Businesses, including Entries and Exits, July 2017 - June 2021","URL":"https://www.abs.gov.au/statistics/economy/business-indicators/counts-australian-businesses-including-entries-and-exits/latest-release","author":[{"literal":"Australian Bureau of Statistics"}],"accessed":{"date-parts":[["2022",6,30]]},"issued":{"date-parts":[["2021"]]}}}],"schema":"https://github.com/citation-style-language/schema/raw/master/csl-citation.json"} </w:instrText>
      </w:r>
      <w:r w:rsidR="002B12CC" w:rsidRPr="009D0A4A">
        <w:fldChar w:fldCharType="separate"/>
      </w:r>
      <w:r w:rsidR="006B4A7D" w:rsidRPr="009D0A4A">
        <w:t>(Australian Bureau of Statistics 2021b)</w:t>
      </w:r>
      <w:r w:rsidR="002B12CC" w:rsidRPr="009D0A4A">
        <w:fldChar w:fldCharType="end"/>
      </w:r>
      <w:r w:rsidRPr="009D0A4A">
        <w:t xml:space="preserve"> </w:t>
      </w:r>
    </w:p>
    <w:tbl>
      <w:tblPr>
        <w:tblW w:w="5000" w:type="pct"/>
        <w:tblBorders>
          <w:left w:val="single" w:sz="8" w:space="0" w:color="D9D9D9"/>
          <w:bottom w:val="single" w:sz="8" w:space="0" w:color="D9D9D9"/>
          <w:right w:val="single" w:sz="8" w:space="0" w:color="D9D9D9"/>
          <w:insideH w:val="single" w:sz="8" w:space="0" w:color="D9D9D9"/>
          <w:insideV w:val="single" w:sz="8" w:space="0" w:color="D9D9D9"/>
        </w:tblBorders>
        <w:tblCellMar>
          <w:left w:w="0" w:type="dxa"/>
          <w:right w:w="0" w:type="dxa"/>
        </w:tblCellMar>
        <w:tblLook w:val="0420" w:firstRow="1" w:lastRow="0" w:firstColumn="0" w:lastColumn="0" w:noHBand="0" w:noVBand="1"/>
      </w:tblPr>
      <w:tblGrid>
        <w:gridCol w:w="1488"/>
        <w:gridCol w:w="1054"/>
        <w:gridCol w:w="1202"/>
        <w:gridCol w:w="1159"/>
        <w:gridCol w:w="1073"/>
        <w:gridCol w:w="1031"/>
        <w:gridCol w:w="1073"/>
        <w:gridCol w:w="1031"/>
        <w:gridCol w:w="1073"/>
      </w:tblGrid>
      <w:tr w:rsidR="00614CFC" w:rsidRPr="009D0A4A" w14:paraId="08022954" w14:textId="77777777" w:rsidTr="00A71E11">
        <w:trPr>
          <w:trHeight w:val="56"/>
          <w:tblHeader/>
        </w:trPr>
        <w:tc>
          <w:tcPr>
            <w:tcW w:w="515" w:type="pct"/>
            <w:tcBorders>
              <w:top w:val="nil"/>
              <w:left w:val="single" w:sz="8" w:space="0" w:color="D9D9D9"/>
              <w:bottom w:val="single" w:sz="8" w:space="0" w:color="D9D9D9"/>
              <w:right w:val="single" w:sz="8" w:space="0" w:color="D9D9D9"/>
            </w:tcBorders>
            <w:shd w:val="clear" w:color="auto" w:fill="D9D9D9" w:themeFill="background1" w:themeFillShade="D9"/>
            <w:tcMar>
              <w:top w:w="72" w:type="dxa"/>
              <w:left w:w="144" w:type="dxa"/>
              <w:bottom w:w="72" w:type="dxa"/>
              <w:right w:w="144" w:type="dxa"/>
            </w:tcMar>
            <w:vAlign w:val="center"/>
            <w:hideMark/>
          </w:tcPr>
          <w:p w14:paraId="17B647E9" w14:textId="77777777" w:rsidR="009726EC" w:rsidRPr="009D0A4A" w:rsidRDefault="009726EC" w:rsidP="006F1A63"/>
        </w:tc>
        <w:tc>
          <w:tcPr>
            <w:tcW w:w="1303" w:type="pct"/>
            <w:gridSpan w:val="2"/>
            <w:tcBorders>
              <w:top w:val="nil"/>
              <w:left w:val="single" w:sz="8" w:space="0" w:color="D9D9D9"/>
              <w:bottom w:val="single" w:sz="8" w:space="0" w:color="D9D9D9"/>
              <w:right w:val="single" w:sz="8" w:space="0" w:color="D9D9D9"/>
            </w:tcBorders>
            <w:shd w:val="clear" w:color="auto" w:fill="D9D9D9" w:themeFill="background1" w:themeFillShade="D9"/>
            <w:vAlign w:val="center"/>
            <w:hideMark/>
          </w:tcPr>
          <w:p w14:paraId="46F17E1A" w14:textId="77777777" w:rsidR="009726EC" w:rsidRPr="009D0A4A" w:rsidRDefault="009726EC" w:rsidP="006F1A63">
            <w:pPr>
              <w:pStyle w:val="EYBulletnoparaspace"/>
              <w:numPr>
                <w:ilvl w:val="0"/>
                <w:numId w:val="0"/>
              </w:numPr>
              <w:spacing w:after="0" w:line="264" w:lineRule="auto"/>
              <w:ind w:left="144"/>
              <w:jc w:val="center"/>
              <w:rPr>
                <w:rStyle w:val="Strong"/>
                <w:rFonts w:asciiTheme="minorHAnsi" w:hAnsiTheme="minorHAnsi" w:cstheme="minorHAnsi"/>
              </w:rPr>
            </w:pPr>
            <w:r w:rsidRPr="009D0A4A">
              <w:rPr>
                <w:rStyle w:val="Strong"/>
                <w:rFonts w:asciiTheme="minorHAnsi" w:hAnsiTheme="minorHAnsi" w:cstheme="minorHAnsi"/>
              </w:rPr>
              <w:t>Small</w:t>
            </w:r>
          </w:p>
        </w:tc>
        <w:tc>
          <w:tcPr>
            <w:tcW w:w="1104" w:type="pct"/>
            <w:gridSpan w:val="2"/>
            <w:tcBorders>
              <w:top w:val="nil"/>
              <w:left w:val="single" w:sz="8" w:space="0" w:color="D9D9D9"/>
              <w:bottom w:val="single" w:sz="8" w:space="0" w:color="D9D9D9"/>
              <w:right w:val="single" w:sz="8" w:space="0" w:color="D9D9D9"/>
            </w:tcBorders>
            <w:shd w:val="clear" w:color="auto" w:fill="D9D9D9" w:themeFill="background1" w:themeFillShade="D9"/>
            <w:vAlign w:val="center"/>
            <w:hideMark/>
          </w:tcPr>
          <w:p w14:paraId="397F77B9" w14:textId="77777777" w:rsidR="009726EC" w:rsidRPr="009D0A4A" w:rsidRDefault="009726EC" w:rsidP="006F1A63">
            <w:pPr>
              <w:pStyle w:val="EYBulletnoparaspace"/>
              <w:numPr>
                <w:ilvl w:val="0"/>
                <w:numId w:val="0"/>
              </w:numPr>
              <w:spacing w:after="0" w:line="264" w:lineRule="auto"/>
              <w:ind w:left="143"/>
              <w:jc w:val="center"/>
              <w:rPr>
                <w:rStyle w:val="Strong"/>
                <w:rFonts w:asciiTheme="minorHAnsi" w:hAnsiTheme="minorHAnsi" w:cstheme="minorHAnsi"/>
              </w:rPr>
            </w:pPr>
            <w:r w:rsidRPr="009D0A4A">
              <w:rPr>
                <w:rStyle w:val="Strong"/>
                <w:rFonts w:asciiTheme="minorHAnsi" w:hAnsiTheme="minorHAnsi" w:cstheme="minorHAnsi"/>
              </w:rPr>
              <w:t>Medium</w:t>
            </w:r>
          </w:p>
        </w:tc>
        <w:tc>
          <w:tcPr>
            <w:tcW w:w="1040" w:type="pct"/>
            <w:gridSpan w:val="2"/>
            <w:tcBorders>
              <w:top w:val="nil"/>
              <w:left w:val="single" w:sz="8" w:space="0" w:color="D9D9D9"/>
              <w:bottom w:val="single" w:sz="8" w:space="0" w:color="D9D9D9"/>
              <w:right w:val="single" w:sz="8" w:space="0" w:color="D9D9D9"/>
            </w:tcBorders>
            <w:shd w:val="clear" w:color="auto" w:fill="D9D9D9" w:themeFill="background1" w:themeFillShade="D9"/>
            <w:vAlign w:val="center"/>
            <w:hideMark/>
          </w:tcPr>
          <w:p w14:paraId="6A20CA99" w14:textId="77777777" w:rsidR="009726EC" w:rsidRPr="009D0A4A" w:rsidRDefault="009726EC" w:rsidP="006F1A63">
            <w:pPr>
              <w:pStyle w:val="EYBulletnoparaspace"/>
              <w:numPr>
                <w:ilvl w:val="0"/>
                <w:numId w:val="0"/>
              </w:numPr>
              <w:spacing w:after="0" w:line="264" w:lineRule="auto"/>
              <w:ind w:left="143"/>
              <w:jc w:val="center"/>
              <w:rPr>
                <w:rStyle w:val="Strong"/>
                <w:rFonts w:asciiTheme="minorHAnsi" w:hAnsiTheme="minorHAnsi" w:cstheme="minorHAnsi"/>
              </w:rPr>
            </w:pPr>
            <w:r w:rsidRPr="009D0A4A">
              <w:rPr>
                <w:rStyle w:val="Strong"/>
                <w:rFonts w:asciiTheme="minorHAnsi" w:hAnsiTheme="minorHAnsi" w:cstheme="minorHAnsi"/>
              </w:rPr>
              <w:t>Large</w:t>
            </w:r>
          </w:p>
        </w:tc>
        <w:tc>
          <w:tcPr>
            <w:tcW w:w="1038" w:type="pct"/>
            <w:gridSpan w:val="2"/>
            <w:tcBorders>
              <w:top w:val="nil"/>
              <w:left w:val="single" w:sz="8" w:space="0" w:color="D9D9D9"/>
              <w:bottom w:val="single" w:sz="8" w:space="0" w:color="D9D9D9"/>
              <w:right w:val="single" w:sz="8" w:space="0" w:color="D9D9D9"/>
            </w:tcBorders>
            <w:shd w:val="clear" w:color="auto" w:fill="D9D9D9" w:themeFill="background1" w:themeFillShade="D9"/>
            <w:vAlign w:val="center"/>
            <w:hideMark/>
          </w:tcPr>
          <w:p w14:paraId="070939FC" w14:textId="77777777" w:rsidR="009726EC" w:rsidRPr="009D0A4A" w:rsidRDefault="009726EC" w:rsidP="006F1A63">
            <w:pPr>
              <w:pStyle w:val="EYBulletnoparaspace"/>
              <w:numPr>
                <w:ilvl w:val="0"/>
                <w:numId w:val="0"/>
              </w:numPr>
              <w:spacing w:after="0" w:line="264" w:lineRule="auto"/>
              <w:ind w:left="143"/>
              <w:jc w:val="center"/>
              <w:rPr>
                <w:rStyle w:val="Strong"/>
                <w:rFonts w:asciiTheme="minorHAnsi" w:hAnsiTheme="minorHAnsi" w:cstheme="minorHAnsi"/>
              </w:rPr>
            </w:pPr>
            <w:r w:rsidRPr="009D0A4A">
              <w:rPr>
                <w:rStyle w:val="Strong"/>
                <w:rFonts w:asciiTheme="minorHAnsi" w:hAnsiTheme="minorHAnsi" w:cstheme="minorHAnsi"/>
              </w:rPr>
              <w:t xml:space="preserve">Total </w:t>
            </w:r>
          </w:p>
        </w:tc>
      </w:tr>
      <w:tr w:rsidR="00614CFC" w:rsidRPr="009D0A4A" w14:paraId="1FA88714" w14:textId="77777777" w:rsidTr="00A71E11">
        <w:trPr>
          <w:trHeight w:val="56"/>
          <w:tblHeader/>
        </w:trPr>
        <w:tc>
          <w:tcPr>
            <w:tcW w:w="515" w:type="pct"/>
            <w:tcBorders>
              <w:top w:val="single" w:sz="8" w:space="0" w:color="D9D9D9"/>
              <w:left w:val="single" w:sz="8" w:space="0" w:color="D9D9D9"/>
              <w:bottom w:val="single" w:sz="8" w:space="0" w:color="D9D9D9"/>
              <w:right w:val="single" w:sz="8" w:space="0" w:color="D9D9D9"/>
            </w:tcBorders>
            <w:shd w:val="clear" w:color="auto" w:fill="D9D9D9" w:themeFill="background1" w:themeFillShade="D9"/>
            <w:tcMar>
              <w:top w:w="72" w:type="dxa"/>
              <w:left w:w="144" w:type="dxa"/>
              <w:bottom w:w="72" w:type="dxa"/>
              <w:right w:w="144" w:type="dxa"/>
            </w:tcMar>
            <w:vAlign w:val="center"/>
            <w:hideMark/>
          </w:tcPr>
          <w:p w14:paraId="55F83882" w14:textId="77777777" w:rsidR="009726EC" w:rsidRPr="009D0A4A" w:rsidRDefault="009726EC" w:rsidP="006F1A63">
            <w:pPr>
              <w:pStyle w:val="EYBulletnoparaspace"/>
              <w:numPr>
                <w:ilvl w:val="0"/>
                <w:numId w:val="0"/>
              </w:numPr>
              <w:spacing w:line="264" w:lineRule="auto"/>
              <w:rPr>
                <w:rFonts w:eastAsiaTheme="minorHAnsi"/>
                <w:color w:val="262626" w:themeColor="text1" w:themeTint="D9"/>
                <w:szCs w:val="20"/>
              </w:rPr>
            </w:pPr>
            <w:r w:rsidRPr="009D0A4A">
              <w:rPr>
                <w:rFonts w:asciiTheme="minorHAnsi" w:eastAsiaTheme="minorHAnsi" w:hAnsiTheme="minorHAnsi" w:cstheme="minorHAnsi"/>
                <w:b/>
                <w:bCs/>
                <w:color w:val="262626" w:themeColor="text1" w:themeTint="D9"/>
                <w:szCs w:val="20"/>
              </w:rPr>
              <w:t>Industry category</w:t>
            </w:r>
          </w:p>
        </w:tc>
        <w:tc>
          <w:tcPr>
            <w:tcW w:w="717" w:type="pct"/>
            <w:tcBorders>
              <w:top w:val="single" w:sz="8" w:space="0" w:color="D9D9D9"/>
              <w:left w:val="single" w:sz="8" w:space="0" w:color="D9D9D9"/>
              <w:bottom w:val="single" w:sz="8" w:space="0" w:color="D9D9D9"/>
              <w:right w:val="single" w:sz="8" w:space="0" w:color="D9D9D9"/>
            </w:tcBorders>
            <w:shd w:val="clear" w:color="auto" w:fill="D9D9D9" w:themeFill="background1" w:themeFillShade="D9"/>
            <w:vAlign w:val="center"/>
            <w:hideMark/>
          </w:tcPr>
          <w:p w14:paraId="2E9CA786" w14:textId="77777777" w:rsidR="009726EC" w:rsidRPr="009D0A4A" w:rsidRDefault="009726EC" w:rsidP="006F1A63">
            <w:pPr>
              <w:pStyle w:val="BodyText"/>
              <w:spacing w:after="100" w:afterAutospacing="1"/>
              <w:ind w:left="157"/>
              <w:jc w:val="center"/>
              <w:rPr>
                <w:rFonts w:cstheme="minorHAnsi"/>
                <w:b/>
                <w:bCs/>
              </w:rPr>
            </w:pPr>
            <w:r w:rsidRPr="009D0A4A">
              <w:rPr>
                <w:rFonts w:ascii="Calibri" w:hAnsi="Calibri" w:cs="Calibri"/>
                <w:b/>
                <w:bCs/>
              </w:rPr>
              <w:t>Total number of businesses</w:t>
            </w:r>
          </w:p>
        </w:tc>
        <w:tc>
          <w:tcPr>
            <w:tcW w:w="586" w:type="pct"/>
            <w:tcBorders>
              <w:top w:val="single" w:sz="8" w:space="0" w:color="D9D9D9"/>
              <w:left w:val="single" w:sz="8" w:space="0" w:color="D9D9D9"/>
              <w:bottom w:val="single" w:sz="8" w:space="0" w:color="D9D9D9"/>
              <w:right w:val="single" w:sz="8" w:space="0" w:color="D9D9D9"/>
            </w:tcBorders>
            <w:shd w:val="clear" w:color="auto" w:fill="D9D9D9" w:themeFill="background1" w:themeFillShade="D9"/>
            <w:vAlign w:val="center"/>
            <w:hideMark/>
          </w:tcPr>
          <w:p w14:paraId="4AD3806B" w14:textId="77777777" w:rsidR="009726EC" w:rsidRPr="009D0A4A" w:rsidRDefault="009726EC" w:rsidP="006F1A63">
            <w:pPr>
              <w:pStyle w:val="EYBulletnoparaspace"/>
              <w:numPr>
                <w:ilvl w:val="0"/>
                <w:numId w:val="0"/>
              </w:numPr>
              <w:spacing w:after="100" w:afterAutospacing="1" w:line="264" w:lineRule="auto"/>
              <w:ind w:left="134" w:right="130"/>
              <w:jc w:val="center"/>
              <w:rPr>
                <w:rFonts w:asciiTheme="minorHAnsi" w:eastAsiaTheme="minorHAnsi" w:hAnsiTheme="minorHAnsi" w:cstheme="minorHAnsi"/>
                <w:b/>
                <w:bCs/>
                <w:color w:val="262626" w:themeColor="text1" w:themeTint="D9"/>
                <w:szCs w:val="20"/>
              </w:rPr>
            </w:pPr>
            <w:r w:rsidRPr="009D0A4A">
              <w:rPr>
                <w:rFonts w:ascii="Calibri" w:eastAsiaTheme="minorHAnsi" w:hAnsi="Calibri" w:cs="Calibri"/>
                <w:b/>
                <w:bCs/>
                <w:color w:val="262626" w:themeColor="text1" w:themeTint="D9"/>
                <w:szCs w:val="20"/>
              </w:rPr>
              <w:t>Businesses covered by regulations</w:t>
            </w:r>
          </w:p>
        </w:tc>
        <w:tc>
          <w:tcPr>
            <w:tcW w:w="585" w:type="pct"/>
            <w:tcBorders>
              <w:top w:val="single" w:sz="8" w:space="0" w:color="D9D9D9"/>
              <w:left w:val="single" w:sz="8" w:space="0" w:color="D9D9D9"/>
              <w:bottom w:val="single" w:sz="8" w:space="0" w:color="D9D9D9"/>
              <w:right w:val="single" w:sz="8" w:space="0" w:color="D9D9D9"/>
            </w:tcBorders>
            <w:shd w:val="clear" w:color="auto" w:fill="D9D9D9" w:themeFill="background1" w:themeFillShade="D9"/>
            <w:vAlign w:val="center"/>
            <w:hideMark/>
          </w:tcPr>
          <w:p w14:paraId="2EF26050" w14:textId="77777777" w:rsidR="009726EC" w:rsidRPr="009D0A4A" w:rsidRDefault="009726EC" w:rsidP="006F1A63">
            <w:pPr>
              <w:pStyle w:val="EYBulletnoparaspace"/>
              <w:numPr>
                <w:ilvl w:val="0"/>
                <w:numId w:val="0"/>
              </w:numPr>
              <w:spacing w:after="100" w:afterAutospacing="1" w:line="264" w:lineRule="auto"/>
              <w:ind w:left="134" w:right="130"/>
              <w:jc w:val="center"/>
              <w:rPr>
                <w:rFonts w:asciiTheme="minorHAnsi" w:eastAsiaTheme="minorHAnsi" w:hAnsiTheme="minorHAnsi" w:cstheme="minorHAnsi"/>
                <w:b/>
                <w:bCs/>
                <w:color w:val="262626" w:themeColor="text1" w:themeTint="D9"/>
                <w:szCs w:val="20"/>
              </w:rPr>
            </w:pPr>
            <w:r w:rsidRPr="009D0A4A">
              <w:rPr>
                <w:rFonts w:ascii="Calibri" w:hAnsi="Calibri" w:cs="Calibri"/>
                <w:b/>
                <w:bCs/>
                <w:szCs w:val="20"/>
              </w:rPr>
              <w:t>Total number of businesses</w:t>
            </w:r>
          </w:p>
        </w:tc>
        <w:tc>
          <w:tcPr>
            <w:tcW w:w="519" w:type="pct"/>
            <w:tcBorders>
              <w:top w:val="single" w:sz="8" w:space="0" w:color="D9D9D9"/>
              <w:left w:val="single" w:sz="8" w:space="0" w:color="D9D9D9"/>
              <w:bottom w:val="single" w:sz="8" w:space="0" w:color="D9D9D9"/>
              <w:right w:val="single" w:sz="8" w:space="0" w:color="D9D9D9"/>
            </w:tcBorders>
            <w:shd w:val="clear" w:color="auto" w:fill="D9D9D9" w:themeFill="background1" w:themeFillShade="D9"/>
            <w:vAlign w:val="center"/>
            <w:hideMark/>
          </w:tcPr>
          <w:p w14:paraId="2365B5EE"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b/>
                <w:bCs/>
                <w:color w:val="262626" w:themeColor="text1" w:themeTint="D9"/>
                <w:szCs w:val="20"/>
              </w:rPr>
            </w:pPr>
            <w:r w:rsidRPr="009D0A4A">
              <w:rPr>
                <w:rFonts w:ascii="Calibri" w:eastAsiaTheme="minorHAnsi" w:hAnsi="Calibri" w:cs="Calibri"/>
                <w:b/>
                <w:bCs/>
                <w:color w:val="262626" w:themeColor="text1" w:themeTint="D9"/>
                <w:szCs w:val="20"/>
              </w:rPr>
              <w:t>Businesses covered by regulations</w:t>
            </w:r>
          </w:p>
        </w:tc>
        <w:tc>
          <w:tcPr>
            <w:tcW w:w="519" w:type="pct"/>
            <w:tcBorders>
              <w:top w:val="single" w:sz="8" w:space="0" w:color="D9D9D9"/>
              <w:left w:val="single" w:sz="8" w:space="0" w:color="D9D9D9"/>
              <w:bottom w:val="single" w:sz="8" w:space="0" w:color="D9D9D9"/>
              <w:right w:val="single" w:sz="8" w:space="0" w:color="D9D9D9"/>
            </w:tcBorders>
            <w:shd w:val="clear" w:color="auto" w:fill="D9D9D9" w:themeFill="background1" w:themeFillShade="D9"/>
            <w:vAlign w:val="center"/>
            <w:hideMark/>
          </w:tcPr>
          <w:p w14:paraId="10012F46"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b/>
                <w:bCs/>
                <w:color w:val="262626" w:themeColor="text1" w:themeTint="D9"/>
                <w:szCs w:val="20"/>
              </w:rPr>
            </w:pPr>
            <w:r w:rsidRPr="009D0A4A">
              <w:rPr>
                <w:rFonts w:ascii="Calibri" w:hAnsi="Calibri" w:cs="Calibri"/>
                <w:b/>
                <w:bCs/>
                <w:szCs w:val="20"/>
              </w:rPr>
              <w:t>Total number of businesses</w:t>
            </w:r>
          </w:p>
        </w:tc>
        <w:tc>
          <w:tcPr>
            <w:tcW w:w="521" w:type="pct"/>
            <w:tcBorders>
              <w:top w:val="single" w:sz="8" w:space="0" w:color="D9D9D9"/>
              <w:left w:val="single" w:sz="8" w:space="0" w:color="D9D9D9"/>
              <w:bottom w:val="single" w:sz="8" w:space="0" w:color="D9D9D9"/>
              <w:right w:val="single" w:sz="8" w:space="0" w:color="D9D9D9"/>
            </w:tcBorders>
            <w:shd w:val="clear" w:color="auto" w:fill="D9D9D9" w:themeFill="background1" w:themeFillShade="D9"/>
            <w:vAlign w:val="center"/>
            <w:hideMark/>
          </w:tcPr>
          <w:p w14:paraId="187F52AB"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b/>
                <w:bCs/>
                <w:color w:val="262626" w:themeColor="text1" w:themeTint="D9"/>
                <w:szCs w:val="20"/>
              </w:rPr>
            </w:pPr>
            <w:r w:rsidRPr="009D0A4A">
              <w:rPr>
                <w:rFonts w:ascii="Calibri" w:eastAsiaTheme="minorHAnsi" w:hAnsi="Calibri" w:cs="Calibri"/>
                <w:b/>
                <w:bCs/>
                <w:color w:val="262626" w:themeColor="text1" w:themeTint="D9"/>
                <w:szCs w:val="20"/>
              </w:rPr>
              <w:t>Businesses covered by regulations</w:t>
            </w:r>
          </w:p>
        </w:tc>
        <w:tc>
          <w:tcPr>
            <w:tcW w:w="520" w:type="pct"/>
            <w:tcBorders>
              <w:top w:val="single" w:sz="8" w:space="0" w:color="D9D9D9"/>
              <w:left w:val="single" w:sz="8" w:space="0" w:color="D9D9D9"/>
              <w:bottom w:val="single" w:sz="8" w:space="0" w:color="D9D9D9"/>
              <w:right w:val="single" w:sz="8" w:space="0" w:color="D9D9D9"/>
            </w:tcBorders>
            <w:shd w:val="clear" w:color="auto" w:fill="D9D9D9" w:themeFill="background1" w:themeFillShade="D9"/>
            <w:vAlign w:val="center"/>
            <w:hideMark/>
          </w:tcPr>
          <w:p w14:paraId="67933379"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b/>
                <w:bCs/>
                <w:color w:val="262626" w:themeColor="text1" w:themeTint="D9"/>
                <w:szCs w:val="20"/>
              </w:rPr>
            </w:pPr>
            <w:r w:rsidRPr="009D0A4A">
              <w:rPr>
                <w:rFonts w:ascii="Calibri" w:hAnsi="Calibri" w:cs="Calibri"/>
                <w:b/>
                <w:bCs/>
                <w:szCs w:val="20"/>
              </w:rPr>
              <w:t>Total number of businesses</w:t>
            </w:r>
          </w:p>
        </w:tc>
        <w:tc>
          <w:tcPr>
            <w:tcW w:w="518" w:type="pct"/>
            <w:tcBorders>
              <w:top w:val="single" w:sz="8" w:space="0" w:color="D9D9D9"/>
              <w:left w:val="single" w:sz="8" w:space="0" w:color="D9D9D9"/>
              <w:bottom w:val="single" w:sz="8" w:space="0" w:color="D9D9D9"/>
              <w:right w:val="single" w:sz="8" w:space="0" w:color="D9D9D9"/>
            </w:tcBorders>
            <w:shd w:val="clear" w:color="auto" w:fill="D9D9D9" w:themeFill="background1" w:themeFillShade="D9"/>
            <w:vAlign w:val="center"/>
            <w:hideMark/>
          </w:tcPr>
          <w:p w14:paraId="152AA27E"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b/>
                <w:bCs/>
                <w:color w:val="262626" w:themeColor="text1" w:themeTint="D9"/>
                <w:szCs w:val="20"/>
              </w:rPr>
            </w:pPr>
            <w:r w:rsidRPr="009D0A4A">
              <w:rPr>
                <w:rFonts w:ascii="Calibri" w:eastAsiaTheme="minorHAnsi" w:hAnsi="Calibri" w:cs="Calibri"/>
                <w:b/>
                <w:bCs/>
                <w:color w:val="262626" w:themeColor="text1" w:themeTint="D9"/>
                <w:szCs w:val="20"/>
              </w:rPr>
              <w:t>Businesses covered by regulations</w:t>
            </w:r>
          </w:p>
        </w:tc>
      </w:tr>
      <w:tr w:rsidR="00614CFC" w:rsidRPr="009D0A4A" w14:paraId="3D3A1E38" w14:textId="77777777" w:rsidTr="00A71E11">
        <w:trPr>
          <w:trHeight w:val="56"/>
        </w:trPr>
        <w:tc>
          <w:tcPr>
            <w:tcW w:w="515"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hideMark/>
          </w:tcPr>
          <w:p w14:paraId="1F52D2CC" w14:textId="77777777" w:rsidR="009726EC" w:rsidRPr="009D0A4A" w:rsidRDefault="009726EC" w:rsidP="006F1A63">
            <w:pPr>
              <w:pStyle w:val="EYBulletnoparaspace"/>
              <w:numPr>
                <w:ilvl w:val="0"/>
                <w:numId w:val="0"/>
              </w:numPr>
              <w:spacing w:line="264" w:lineRule="auto"/>
              <w:rPr>
                <w:rFonts w:asciiTheme="minorHAnsi" w:hAnsiTheme="minorHAnsi" w:cstheme="minorHAnsi"/>
                <w:i/>
                <w:iCs/>
                <w:szCs w:val="20"/>
              </w:rPr>
            </w:pPr>
            <w:r w:rsidRPr="009D0A4A">
              <w:rPr>
                <w:rFonts w:asciiTheme="minorHAnsi" w:hAnsiTheme="minorHAnsi" w:cstheme="minorHAnsi"/>
                <w:i/>
                <w:iCs/>
                <w:szCs w:val="20"/>
              </w:rPr>
              <w:t>Construction</w:t>
            </w:r>
          </w:p>
        </w:tc>
        <w:tc>
          <w:tcPr>
            <w:tcW w:w="717"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476DAF5B" w14:textId="77777777" w:rsidR="009726EC" w:rsidRPr="009D0A4A" w:rsidRDefault="009726EC" w:rsidP="006F1A63">
            <w:pPr>
              <w:pStyle w:val="BodyText"/>
              <w:spacing w:after="100" w:afterAutospacing="1"/>
              <w:ind w:left="157"/>
              <w:jc w:val="center"/>
              <w:rPr>
                <w:rFonts w:cstheme="minorHAnsi"/>
              </w:rPr>
            </w:pPr>
            <w:r w:rsidRPr="009D0A4A">
              <w:rPr>
                <w:rFonts w:ascii="Calibri" w:hAnsi="Calibri" w:cs="Calibri"/>
                <w:color w:val="000000"/>
              </w:rPr>
              <w:t>92,745</w:t>
            </w:r>
          </w:p>
        </w:tc>
        <w:tc>
          <w:tcPr>
            <w:tcW w:w="586"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55ED0854" w14:textId="77777777" w:rsidR="009726EC" w:rsidRPr="009D0A4A" w:rsidRDefault="009726EC" w:rsidP="006F1A63">
            <w:pPr>
              <w:pStyle w:val="EYBulletnoparaspace"/>
              <w:numPr>
                <w:ilvl w:val="0"/>
                <w:numId w:val="0"/>
              </w:numPr>
              <w:spacing w:after="100" w:afterAutospacing="1" w:line="264" w:lineRule="auto"/>
              <w:ind w:left="425" w:right="130" w:hanging="425"/>
              <w:jc w:val="center"/>
              <w:rPr>
                <w:rFonts w:asciiTheme="minorHAnsi" w:eastAsiaTheme="minorHAnsi" w:hAnsiTheme="minorHAnsi" w:cstheme="minorHAnsi"/>
                <w:color w:val="262626" w:themeColor="text1" w:themeTint="D9"/>
                <w:szCs w:val="20"/>
              </w:rPr>
            </w:pPr>
            <w:r w:rsidRPr="009D0A4A">
              <w:rPr>
                <w:rFonts w:ascii="Calibri" w:hAnsi="Calibri" w:cs="Calibri"/>
                <w:szCs w:val="20"/>
              </w:rPr>
              <w:t>16,979</w:t>
            </w:r>
          </w:p>
        </w:tc>
        <w:tc>
          <w:tcPr>
            <w:tcW w:w="585"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0165694B" w14:textId="77777777" w:rsidR="009726EC" w:rsidRPr="009D0A4A" w:rsidRDefault="009726EC" w:rsidP="006F1A63">
            <w:pPr>
              <w:pStyle w:val="EYBulletnoparaspace"/>
              <w:numPr>
                <w:ilvl w:val="0"/>
                <w:numId w:val="0"/>
              </w:numPr>
              <w:spacing w:after="100" w:afterAutospacing="1" w:line="264" w:lineRule="auto"/>
              <w:ind w:left="134" w:right="130"/>
              <w:jc w:val="center"/>
              <w:rPr>
                <w:rFonts w:asciiTheme="minorHAnsi" w:eastAsiaTheme="minorHAnsi" w:hAnsiTheme="minorHAnsi" w:cstheme="minorHAnsi"/>
                <w:color w:val="262626" w:themeColor="text1" w:themeTint="D9"/>
                <w:szCs w:val="20"/>
              </w:rPr>
            </w:pPr>
            <w:r w:rsidRPr="009D0A4A">
              <w:rPr>
                <w:rFonts w:ascii="Calibri" w:hAnsi="Calibri" w:cs="Calibri"/>
                <w:color w:val="000000"/>
                <w:szCs w:val="20"/>
              </w:rPr>
              <w:t>1,293</w:t>
            </w:r>
          </w:p>
        </w:tc>
        <w:tc>
          <w:tcPr>
            <w:tcW w:w="519"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2A850F81"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eastAsiaTheme="minorHAnsi" w:hAnsi="Calibri" w:cs="Calibri"/>
                <w:color w:val="262626" w:themeColor="text1" w:themeTint="D9"/>
                <w:szCs w:val="20"/>
              </w:rPr>
              <w:t>129</w:t>
            </w:r>
          </w:p>
        </w:tc>
        <w:tc>
          <w:tcPr>
            <w:tcW w:w="519"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4DB0969D"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hAnsi="Calibri" w:cs="Calibri"/>
                <w:color w:val="000000"/>
                <w:szCs w:val="20"/>
              </w:rPr>
              <w:t>34</w:t>
            </w:r>
          </w:p>
        </w:tc>
        <w:tc>
          <w:tcPr>
            <w:tcW w:w="521"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0A8EE6B5"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eastAsiaTheme="minorHAnsi" w:hAnsi="Calibri" w:cs="Calibri"/>
                <w:color w:val="262626" w:themeColor="text1" w:themeTint="D9"/>
                <w:szCs w:val="20"/>
              </w:rPr>
              <w:t>3</w:t>
            </w:r>
          </w:p>
        </w:tc>
        <w:tc>
          <w:tcPr>
            <w:tcW w:w="52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27356B7F"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hAnsi="Calibri" w:cs="Calibri"/>
                <w:b/>
                <w:bCs/>
                <w:color w:val="000000"/>
                <w:szCs w:val="20"/>
              </w:rPr>
              <w:t>94,072</w:t>
            </w:r>
          </w:p>
        </w:tc>
        <w:tc>
          <w:tcPr>
            <w:tcW w:w="518"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4769B463"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b/>
                <w:bCs/>
                <w:color w:val="262626" w:themeColor="text1" w:themeTint="D9"/>
                <w:szCs w:val="20"/>
              </w:rPr>
            </w:pPr>
            <w:r w:rsidRPr="009D0A4A">
              <w:rPr>
                <w:rFonts w:ascii="Calibri" w:eastAsiaTheme="minorHAnsi" w:hAnsi="Calibri" w:cs="Calibri"/>
                <w:color w:val="262626" w:themeColor="text1" w:themeTint="D9"/>
                <w:szCs w:val="20"/>
              </w:rPr>
              <w:t>17,111</w:t>
            </w:r>
          </w:p>
        </w:tc>
      </w:tr>
      <w:tr w:rsidR="00614CFC" w:rsidRPr="009D0A4A" w14:paraId="628AE835" w14:textId="77777777" w:rsidTr="00A71E11">
        <w:trPr>
          <w:trHeight w:val="56"/>
        </w:trPr>
        <w:tc>
          <w:tcPr>
            <w:tcW w:w="515"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hideMark/>
          </w:tcPr>
          <w:p w14:paraId="79A62587" w14:textId="77777777" w:rsidR="009726EC" w:rsidRPr="009D0A4A" w:rsidRDefault="009726EC" w:rsidP="006F1A63">
            <w:pPr>
              <w:pStyle w:val="EYBulletnoparaspace"/>
              <w:numPr>
                <w:ilvl w:val="0"/>
                <w:numId w:val="0"/>
              </w:numPr>
              <w:spacing w:line="264" w:lineRule="auto"/>
              <w:rPr>
                <w:rFonts w:asciiTheme="minorHAnsi" w:hAnsiTheme="minorHAnsi" w:cstheme="minorHAnsi"/>
                <w:i/>
                <w:iCs/>
                <w:color w:val="262626" w:themeColor="text1" w:themeTint="D9"/>
                <w:szCs w:val="20"/>
              </w:rPr>
            </w:pPr>
            <w:r w:rsidRPr="009D0A4A">
              <w:rPr>
                <w:rFonts w:asciiTheme="minorHAnsi" w:hAnsiTheme="minorHAnsi" w:cstheme="minorHAnsi"/>
                <w:i/>
                <w:iCs/>
                <w:szCs w:val="20"/>
              </w:rPr>
              <w:t xml:space="preserve">Manufacturing </w:t>
            </w:r>
          </w:p>
        </w:tc>
        <w:tc>
          <w:tcPr>
            <w:tcW w:w="717"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75FAAE6A" w14:textId="77777777" w:rsidR="009726EC" w:rsidRPr="009D0A4A" w:rsidRDefault="009726EC" w:rsidP="006F1A63">
            <w:pPr>
              <w:pStyle w:val="BodyText"/>
              <w:spacing w:after="100" w:afterAutospacing="1"/>
              <w:ind w:left="157"/>
              <w:jc w:val="center"/>
              <w:rPr>
                <w:rFonts w:cstheme="minorHAnsi"/>
              </w:rPr>
            </w:pPr>
            <w:r w:rsidRPr="009D0A4A">
              <w:rPr>
                <w:rFonts w:ascii="Calibri" w:hAnsi="Calibri" w:cs="Calibri"/>
                <w:color w:val="000000"/>
              </w:rPr>
              <w:t>2,075</w:t>
            </w:r>
          </w:p>
        </w:tc>
        <w:tc>
          <w:tcPr>
            <w:tcW w:w="586"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2D021ACF" w14:textId="77777777" w:rsidR="009726EC" w:rsidRPr="009D0A4A" w:rsidRDefault="009726EC" w:rsidP="006F1A63">
            <w:pPr>
              <w:pStyle w:val="EYBulletnoparaspace"/>
              <w:numPr>
                <w:ilvl w:val="0"/>
                <w:numId w:val="0"/>
              </w:numPr>
              <w:spacing w:after="100" w:afterAutospacing="1" w:line="264" w:lineRule="auto"/>
              <w:ind w:left="134" w:right="130"/>
              <w:jc w:val="center"/>
              <w:rPr>
                <w:rFonts w:asciiTheme="minorHAnsi" w:eastAsiaTheme="minorHAnsi" w:hAnsiTheme="minorHAnsi" w:cstheme="minorHAnsi"/>
                <w:color w:val="262626" w:themeColor="text1" w:themeTint="D9"/>
                <w:szCs w:val="20"/>
              </w:rPr>
            </w:pPr>
            <w:r w:rsidRPr="009D0A4A">
              <w:rPr>
                <w:rFonts w:ascii="Calibri" w:hAnsi="Calibri" w:cs="Calibri"/>
                <w:szCs w:val="20"/>
              </w:rPr>
              <w:t>415</w:t>
            </w:r>
          </w:p>
        </w:tc>
        <w:tc>
          <w:tcPr>
            <w:tcW w:w="585"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44CB4C3E" w14:textId="77777777" w:rsidR="009726EC" w:rsidRPr="009D0A4A" w:rsidRDefault="009726EC" w:rsidP="006F1A63">
            <w:pPr>
              <w:pStyle w:val="EYBulletnoparaspace"/>
              <w:numPr>
                <w:ilvl w:val="0"/>
                <w:numId w:val="0"/>
              </w:numPr>
              <w:spacing w:after="100" w:afterAutospacing="1" w:line="264" w:lineRule="auto"/>
              <w:ind w:left="134" w:right="130"/>
              <w:jc w:val="center"/>
              <w:rPr>
                <w:rFonts w:asciiTheme="minorHAnsi" w:eastAsiaTheme="minorHAnsi" w:hAnsiTheme="minorHAnsi" w:cstheme="minorHAnsi"/>
                <w:color w:val="262626" w:themeColor="text1" w:themeTint="D9"/>
                <w:szCs w:val="20"/>
              </w:rPr>
            </w:pPr>
            <w:r w:rsidRPr="009D0A4A">
              <w:rPr>
                <w:rFonts w:ascii="Calibri" w:hAnsi="Calibri" w:cs="Calibri"/>
                <w:color w:val="000000"/>
                <w:szCs w:val="20"/>
              </w:rPr>
              <w:t>114</w:t>
            </w:r>
          </w:p>
        </w:tc>
        <w:tc>
          <w:tcPr>
            <w:tcW w:w="519"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4638C695"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eastAsiaTheme="minorHAnsi" w:hAnsi="Calibri" w:cs="Calibri"/>
                <w:color w:val="262626" w:themeColor="text1" w:themeTint="D9"/>
                <w:szCs w:val="20"/>
              </w:rPr>
              <w:t>11</w:t>
            </w:r>
          </w:p>
        </w:tc>
        <w:tc>
          <w:tcPr>
            <w:tcW w:w="519"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0B2716BA"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hAnsi="Calibri" w:cs="Calibri"/>
                <w:color w:val="000000"/>
                <w:szCs w:val="20"/>
              </w:rPr>
              <w:t>27</w:t>
            </w:r>
          </w:p>
        </w:tc>
        <w:tc>
          <w:tcPr>
            <w:tcW w:w="521"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759F93D1"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eastAsiaTheme="minorHAnsi" w:hAnsi="Calibri" w:cs="Calibri"/>
                <w:color w:val="262626" w:themeColor="text1" w:themeTint="D9"/>
                <w:szCs w:val="20"/>
              </w:rPr>
              <w:t>3</w:t>
            </w:r>
          </w:p>
        </w:tc>
        <w:tc>
          <w:tcPr>
            <w:tcW w:w="52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05F6A640"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hAnsi="Calibri" w:cs="Calibri"/>
                <w:b/>
                <w:bCs/>
                <w:color w:val="000000"/>
                <w:szCs w:val="20"/>
              </w:rPr>
              <w:t>2,216</w:t>
            </w:r>
          </w:p>
        </w:tc>
        <w:tc>
          <w:tcPr>
            <w:tcW w:w="518"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62549953"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b/>
                <w:bCs/>
                <w:color w:val="262626" w:themeColor="text1" w:themeTint="D9"/>
                <w:szCs w:val="20"/>
              </w:rPr>
            </w:pPr>
            <w:r w:rsidRPr="009D0A4A">
              <w:rPr>
                <w:rFonts w:ascii="Calibri" w:eastAsiaTheme="minorHAnsi" w:hAnsi="Calibri" w:cs="Calibri"/>
                <w:color w:val="262626" w:themeColor="text1" w:themeTint="D9"/>
                <w:szCs w:val="20"/>
              </w:rPr>
              <w:t>429</w:t>
            </w:r>
          </w:p>
        </w:tc>
      </w:tr>
      <w:tr w:rsidR="00614CFC" w:rsidRPr="009D0A4A" w14:paraId="67BF9EC5" w14:textId="77777777" w:rsidTr="00A71E11">
        <w:trPr>
          <w:trHeight w:val="56"/>
        </w:trPr>
        <w:tc>
          <w:tcPr>
            <w:tcW w:w="515"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hideMark/>
          </w:tcPr>
          <w:p w14:paraId="05FB180B" w14:textId="77777777" w:rsidR="009726EC" w:rsidRPr="009D0A4A" w:rsidRDefault="009726EC" w:rsidP="006F1A63">
            <w:pPr>
              <w:pStyle w:val="EYBulletnoparaspace"/>
              <w:numPr>
                <w:ilvl w:val="0"/>
                <w:numId w:val="0"/>
              </w:numPr>
              <w:spacing w:line="264" w:lineRule="auto"/>
              <w:rPr>
                <w:rFonts w:asciiTheme="minorHAnsi" w:hAnsiTheme="minorHAnsi" w:cstheme="minorHAnsi"/>
                <w:i/>
                <w:iCs/>
                <w:color w:val="262626" w:themeColor="text1" w:themeTint="D9"/>
                <w:szCs w:val="20"/>
              </w:rPr>
            </w:pPr>
            <w:r w:rsidRPr="009D0A4A">
              <w:rPr>
                <w:rFonts w:asciiTheme="minorHAnsi" w:hAnsiTheme="minorHAnsi" w:cstheme="minorHAnsi"/>
                <w:i/>
                <w:iCs/>
                <w:szCs w:val="20"/>
              </w:rPr>
              <w:lastRenderedPageBreak/>
              <w:t xml:space="preserve">Quarrying </w:t>
            </w:r>
          </w:p>
        </w:tc>
        <w:tc>
          <w:tcPr>
            <w:tcW w:w="717"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0CD608DC" w14:textId="77777777" w:rsidR="009726EC" w:rsidRPr="009D0A4A" w:rsidRDefault="009726EC" w:rsidP="006F1A63">
            <w:pPr>
              <w:pStyle w:val="BodyText"/>
              <w:spacing w:after="100" w:afterAutospacing="1"/>
              <w:ind w:left="157"/>
              <w:jc w:val="center"/>
              <w:rPr>
                <w:rFonts w:cstheme="minorHAnsi"/>
              </w:rPr>
            </w:pPr>
            <w:r w:rsidRPr="009D0A4A">
              <w:rPr>
                <w:rFonts w:ascii="Calibri" w:hAnsi="Calibri" w:cs="Calibri"/>
                <w:color w:val="000000"/>
              </w:rPr>
              <w:t>109</w:t>
            </w:r>
          </w:p>
        </w:tc>
        <w:tc>
          <w:tcPr>
            <w:tcW w:w="586"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0A1E8F81" w14:textId="77777777" w:rsidR="009726EC" w:rsidRPr="009D0A4A" w:rsidRDefault="009726EC" w:rsidP="006F1A63">
            <w:pPr>
              <w:pStyle w:val="EYBulletnoparaspace"/>
              <w:numPr>
                <w:ilvl w:val="0"/>
                <w:numId w:val="0"/>
              </w:numPr>
              <w:spacing w:after="100" w:afterAutospacing="1" w:line="264" w:lineRule="auto"/>
              <w:ind w:left="134" w:right="130"/>
              <w:jc w:val="center"/>
              <w:rPr>
                <w:rFonts w:asciiTheme="minorHAnsi" w:eastAsiaTheme="minorHAnsi" w:hAnsiTheme="minorHAnsi" w:cstheme="minorHAnsi"/>
                <w:color w:val="262626" w:themeColor="text1" w:themeTint="D9"/>
                <w:szCs w:val="20"/>
              </w:rPr>
            </w:pPr>
            <w:r w:rsidRPr="009D0A4A">
              <w:rPr>
                <w:rFonts w:ascii="Calibri" w:hAnsi="Calibri" w:cs="Calibri"/>
                <w:szCs w:val="20"/>
              </w:rPr>
              <w:t>40</w:t>
            </w:r>
          </w:p>
        </w:tc>
        <w:tc>
          <w:tcPr>
            <w:tcW w:w="585"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51740873" w14:textId="77777777" w:rsidR="009726EC" w:rsidRPr="009D0A4A" w:rsidRDefault="009726EC" w:rsidP="006F1A63">
            <w:pPr>
              <w:pStyle w:val="EYBulletnoparaspace"/>
              <w:numPr>
                <w:ilvl w:val="0"/>
                <w:numId w:val="0"/>
              </w:numPr>
              <w:spacing w:after="100" w:afterAutospacing="1" w:line="264" w:lineRule="auto"/>
              <w:ind w:left="134" w:right="130"/>
              <w:jc w:val="center"/>
              <w:rPr>
                <w:rFonts w:asciiTheme="minorHAnsi" w:eastAsiaTheme="minorHAnsi" w:hAnsiTheme="minorHAnsi" w:cstheme="minorHAnsi"/>
                <w:color w:val="262626" w:themeColor="text1" w:themeTint="D9"/>
                <w:szCs w:val="20"/>
              </w:rPr>
            </w:pPr>
            <w:r w:rsidRPr="009D0A4A">
              <w:rPr>
                <w:rFonts w:ascii="Calibri" w:hAnsi="Calibri" w:cs="Calibri"/>
                <w:color w:val="000000"/>
                <w:szCs w:val="20"/>
              </w:rPr>
              <w:t>3</w:t>
            </w:r>
          </w:p>
        </w:tc>
        <w:tc>
          <w:tcPr>
            <w:tcW w:w="519"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6B7513A5"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eastAsiaTheme="minorHAnsi" w:hAnsi="Calibri" w:cs="Calibri"/>
                <w:color w:val="262626" w:themeColor="text1" w:themeTint="D9"/>
                <w:szCs w:val="20"/>
              </w:rPr>
              <w:t>1</w:t>
            </w:r>
          </w:p>
        </w:tc>
        <w:tc>
          <w:tcPr>
            <w:tcW w:w="519"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057F820D"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hAnsi="Calibri" w:cs="Calibri"/>
                <w:color w:val="000000"/>
                <w:szCs w:val="20"/>
              </w:rPr>
              <w:t>-</w:t>
            </w:r>
          </w:p>
        </w:tc>
        <w:tc>
          <w:tcPr>
            <w:tcW w:w="521"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07ACEFCA"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eastAsiaTheme="minorHAnsi" w:hAnsi="Calibri" w:cs="Calibri"/>
                <w:color w:val="262626" w:themeColor="text1" w:themeTint="D9"/>
                <w:szCs w:val="20"/>
              </w:rPr>
              <w:t>-</w:t>
            </w:r>
          </w:p>
        </w:tc>
        <w:tc>
          <w:tcPr>
            <w:tcW w:w="52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1077BB4D"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hAnsi="Calibri" w:cs="Calibri"/>
                <w:b/>
                <w:bCs/>
                <w:color w:val="000000"/>
                <w:szCs w:val="20"/>
              </w:rPr>
              <w:t>112</w:t>
            </w:r>
          </w:p>
        </w:tc>
        <w:tc>
          <w:tcPr>
            <w:tcW w:w="518"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5C59452C"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b/>
                <w:bCs/>
                <w:color w:val="262626" w:themeColor="text1" w:themeTint="D9"/>
                <w:szCs w:val="20"/>
              </w:rPr>
            </w:pPr>
            <w:r w:rsidRPr="009D0A4A">
              <w:rPr>
                <w:rFonts w:ascii="Calibri" w:eastAsiaTheme="minorHAnsi" w:hAnsi="Calibri" w:cs="Calibri"/>
                <w:color w:val="262626" w:themeColor="text1" w:themeTint="D9"/>
                <w:szCs w:val="20"/>
              </w:rPr>
              <w:t>41</w:t>
            </w:r>
          </w:p>
        </w:tc>
      </w:tr>
      <w:tr w:rsidR="00614CFC" w:rsidRPr="009D0A4A" w14:paraId="040B43D6" w14:textId="77777777" w:rsidTr="00A71E11">
        <w:trPr>
          <w:trHeight w:val="56"/>
        </w:trPr>
        <w:tc>
          <w:tcPr>
            <w:tcW w:w="515"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hideMark/>
          </w:tcPr>
          <w:p w14:paraId="3D3ADA16" w14:textId="77777777" w:rsidR="009726EC" w:rsidRPr="009D0A4A" w:rsidRDefault="009726EC" w:rsidP="006F1A63">
            <w:pPr>
              <w:pStyle w:val="EYBulletnoparaspace"/>
              <w:numPr>
                <w:ilvl w:val="0"/>
                <w:numId w:val="0"/>
              </w:numPr>
              <w:spacing w:line="264" w:lineRule="auto"/>
              <w:rPr>
                <w:rFonts w:asciiTheme="minorHAnsi" w:hAnsiTheme="minorHAnsi" w:cstheme="minorHAnsi"/>
                <w:i/>
                <w:iCs/>
                <w:color w:val="262626" w:themeColor="text1" w:themeTint="D9"/>
                <w:szCs w:val="20"/>
              </w:rPr>
            </w:pPr>
            <w:r w:rsidRPr="009D0A4A">
              <w:rPr>
                <w:rFonts w:asciiTheme="minorHAnsi" w:hAnsiTheme="minorHAnsi" w:cstheme="minorHAnsi"/>
                <w:i/>
                <w:iCs/>
                <w:szCs w:val="20"/>
              </w:rPr>
              <w:t>Mining</w:t>
            </w:r>
          </w:p>
        </w:tc>
        <w:tc>
          <w:tcPr>
            <w:tcW w:w="717"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15CD54C3" w14:textId="77777777" w:rsidR="009726EC" w:rsidRPr="009D0A4A" w:rsidRDefault="009726EC" w:rsidP="006F1A63">
            <w:pPr>
              <w:pStyle w:val="BodyText"/>
              <w:spacing w:after="100" w:afterAutospacing="1"/>
              <w:ind w:left="157"/>
              <w:jc w:val="center"/>
              <w:rPr>
                <w:rFonts w:cstheme="minorHAnsi"/>
              </w:rPr>
            </w:pPr>
            <w:r w:rsidRPr="009D0A4A">
              <w:rPr>
                <w:rFonts w:ascii="Calibri" w:hAnsi="Calibri" w:cs="Calibri"/>
                <w:color w:val="000000"/>
              </w:rPr>
              <w:t>841</w:t>
            </w:r>
          </w:p>
        </w:tc>
        <w:tc>
          <w:tcPr>
            <w:tcW w:w="586"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01397D5B" w14:textId="77777777" w:rsidR="009726EC" w:rsidRPr="009D0A4A" w:rsidRDefault="009726EC" w:rsidP="006F1A63">
            <w:pPr>
              <w:pStyle w:val="EYBulletnoparaspace"/>
              <w:numPr>
                <w:ilvl w:val="0"/>
                <w:numId w:val="0"/>
              </w:numPr>
              <w:spacing w:after="100" w:afterAutospacing="1" w:line="264" w:lineRule="auto"/>
              <w:ind w:left="134" w:right="130"/>
              <w:jc w:val="center"/>
              <w:rPr>
                <w:rFonts w:asciiTheme="minorHAnsi" w:eastAsiaTheme="minorHAnsi" w:hAnsiTheme="minorHAnsi" w:cstheme="minorHAnsi"/>
                <w:color w:val="262626" w:themeColor="text1" w:themeTint="D9"/>
                <w:szCs w:val="20"/>
              </w:rPr>
            </w:pPr>
            <w:r w:rsidRPr="009D0A4A">
              <w:rPr>
                <w:rFonts w:ascii="Calibri" w:hAnsi="Calibri" w:cs="Calibri"/>
                <w:szCs w:val="20"/>
              </w:rPr>
              <w:t>311</w:t>
            </w:r>
          </w:p>
        </w:tc>
        <w:tc>
          <w:tcPr>
            <w:tcW w:w="585"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158ACE99" w14:textId="77777777" w:rsidR="009726EC" w:rsidRPr="009D0A4A" w:rsidRDefault="009726EC" w:rsidP="006F1A63">
            <w:pPr>
              <w:pStyle w:val="EYBulletnoparaspace"/>
              <w:numPr>
                <w:ilvl w:val="0"/>
                <w:numId w:val="0"/>
              </w:numPr>
              <w:spacing w:after="100" w:afterAutospacing="1" w:line="264" w:lineRule="auto"/>
              <w:ind w:left="134" w:right="130"/>
              <w:jc w:val="center"/>
              <w:rPr>
                <w:rFonts w:asciiTheme="minorHAnsi" w:eastAsiaTheme="minorHAnsi" w:hAnsiTheme="minorHAnsi" w:cstheme="minorHAnsi"/>
                <w:color w:val="262626" w:themeColor="text1" w:themeTint="D9"/>
                <w:szCs w:val="20"/>
              </w:rPr>
            </w:pPr>
            <w:r w:rsidRPr="009D0A4A">
              <w:rPr>
                <w:rFonts w:ascii="Calibri" w:hAnsi="Calibri" w:cs="Calibri"/>
                <w:color w:val="000000"/>
                <w:szCs w:val="20"/>
              </w:rPr>
              <w:t>55</w:t>
            </w:r>
          </w:p>
        </w:tc>
        <w:tc>
          <w:tcPr>
            <w:tcW w:w="519"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09248274"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eastAsiaTheme="minorHAnsi" w:hAnsi="Calibri" w:cs="Calibri"/>
                <w:color w:val="262626" w:themeColor="text1" w:themeTint="D9"/>
                <w:szCs w:val="20"/>
              </w:rPr>
              <w:t>20</w:t>
            </w:r>
          </w:p>
        </w:tc>
        <w:tc>
          <w:tcPr>
            <w:tcW w:w="519"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58AD43F7"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hAnsi="Calibri" w:cs="Calibri"/>
                <w:color w:val="000000"/>
                <w:szCs w:val="20"/>
              </w:rPr>
              <w:t>17</w:t>
            </w:r>
          </w:p>
        </w:tc>
        <w:tc>
          <w:tcPr>
            <w:tcW w:w="521"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0A15362F"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eastAsiaTheme="minorHAnsi" w:hAnsi="Calibri" w:cs="Calibri"/>
                <w:color w:val="262626" w:themeColor="text1" w:themeTint="D9"/>
                <w:szCs w:val="20"/>
              </w:rPr>
              <w:t>6</w:t>
            </w:r>
          </w:p>
        </w:tc>
        <w:tc>
          <w:tcPr>
            <w:tcW w:w="52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6ACC63F7"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hAnsi="Calibri" w:cs="Calibri"/>
                <w:b/>
                <w:bCs/>
                <w:color w:val="000000"/>
                <w:szCs w:val="20"/>
              </w:rPr>
              <w:t>913</w:t>
            </w:r>
          </w:p>
        </w:tc>
        <w:tc>
          <w:tcPr>
            <w:tcW w:w="518"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3E23F217"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b/>
                <w:bCs/>
                <w:color w:val="262626" w:themeColor="text1" w:themeTint="D9"/>
                <w:szCs w:val="20"/>
              </w:rPr>
            </w:pPr>
            <w:r w:rsidRPr="009D0A4A">
              <w:rPr>
                <w:rFonts w:ascii="Calibri" w:eastAsiaTheme="minorHAnsi" w:hAnsi="Calibri" w:cs="Calibri"/>
                <w:color w:val="262626" w:themeColor="text1" w:themeTint="D9"/>
                <w:szCs w:val="20"/>
              </w:rPr>
              <w:t>338</w:t>
            </w:r>
          </w:p>
        </w:tc>
      </w:tr>
      <w:tr w:rsidR="00614CFC" w:rsidRPr="009D0A4A" w14:paraId="73DF4276" w14:textId="77777777" w:rsidTr="00A71E11">
        <w:trPr>
          <w:trHeight w:val="56"/>
        </w:trPr>
        <w:tc>
          <w:tcPr>
            <w:tcW w:w="515"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hideMark/>
          </w:tcPr>
          <w:p w14:paraId="3F36164D" w14:textId="77777777" w:rsidR="009726EC" w:rsidRPr="009D0A4A" w:rsidRDefault="009726EC" w:rsidP="006F1A63">
            <w:pPr>
              <w:pStyle w:val="EYBulletnoparaspace"/>
              <w:numPr>
                <w:ilvl w:val="0"/>
                <w:numId w:val="0"/>
              </w:numPr>
              <w:spacing w:line="264" w:lineRule="auto"/>
              <w:rPr>
                <w:rFonts w:asciiTheme="minorHAnsi" w:hAnsiTheme="minorHAnsi" w:cstheme="minorHAnsi"/>
                <w:i/>
                <w:iCs/>
                <w:color w:val="262626" w:themeColor="text1" w:themeTint="D9"/>
                <w:szCs w:val="20"/>
              </w:rPr>
            </w:pPr>
            <w:r w:rsidRPr="009D0A4A">
              <w:rPr>
                <w:rFonts w:asciiTheme="minorHAnsi" w:hAnsiTheme="minorHAnsi" w:cstheme="minorHAnsi"/>
                <w:i/>
                <w:iCs/>
                <w:szCs w:val="20"/>
              </w:rPr>
              <w:t>Tunnelling</w:t>
            </w:r>
          </w:p>
        </w:tc>
        <w:tc>
          <w:tcPr>
            <w:tcW w:w="717"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19024C3C" w14:textId="77777777" w:rsidR="009726EC" w:rsidRPr="009D0A4A" w:rsidRDefault="009726EC" w:rsidP="006F1A63">
            <w:pPr>
              <w:pStyle w:val="BodyText"/>
              <w:spacing w:after="100" w:afterAutospacing="1"/>
              <w:ind w:left="157"/>
              <w:jc w:val="center"/>
              <w:rPr>
                <w:rFonts w:cstheme="minorHAnsi"/>
              </w:rPr>
            </w:pPr>
            <w:r w:rsidRPr="009D0A4A">
              <w:rPr>
                <w:rFonts w:ascii="Calibri" w:hAnsi="Calibri" w:cs="Calibri"/>
                <w:color w:val="000000"/>
              </w:rPr>
              <w:t>7,150</w:t>
            </w:r>
          </w:p>
        </w:tc>
        <w:tc>
          <w:tcPr>
            <w:tcW w:w="586"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08335F7C" w14:textId="77777777" w:rsidR="009726EC" w:rsidRPr="009D0A4A" w:rsidRDefault="009726EC" w:rsidP="006F1A63">
            <w:pPr>
              <w:pStyle w:val="EYBulletnoparaspace"/>
              <w:numPr>
                <w:ilvl w:val="0"/>
                <w:numId w:val="0"/>
              </w:numPr>
              <w:spacing w:after="100" w:afterAutospacing="1" w:line="264" w:lineRule="auto"/>
              <w:ind w:left="134" w:right="130"/>
              <w:jc w:val="center"/>
              <w:rPr>
                <w:rFonts w:asciiTheme="minorHAnsi" w:eastAsiaTheme="minorHAnsi" w:hAnsiTheme="minorHAnsi" w:cstheme="minorHAnsi"/>
                <w:color w:val="262626" w:themeColor="text1" w:themeTint="D9"/>
                <w:szCs w:val="20"/>
              </w:rPr>
            </w:pPr>
            <w:r w:rsidRPr="009D0A4A">
              <w:rPr>
                <w:rFonts w:ascii="Calibri" w:hAnsi="Calibri" w:cs="Calibri"/>
                <w:szCs w:val="20"/>
              </w:rPr>
              <w:t>2,646</w:t>
            </w:r>
          </w:p>
        </w:tc>
        <w:tc>
          <w:tcPr>
            <w:tcW w:w="585"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35E2C8AD" w14:textId="77777777" w:rsidR="009726EC" w:rsidRPr="009D0A4A" w:rsidRDefault="009726EC" w:rsidP="006F1A63">
            <w:pPr>
              <w:pStyle w:val="EYBulletnoparaspace"/>
              <w:numPr>
                <w:ilvl w:val="0"/>
                <w:numId w:val="0"/>
              </w:numPr>
              <w:spacing w:after="100" w:afterAutospacing="1" w:line="264" w:lineRule="auto"/>
              <w:ind w:left="134" w:right="130"/>
              <w:jc w:val="center"/>
              <w:rPr>
                <w:rFonts w:asciiTheme="minorHAnsi" w:eastAsiaTheme="minorHAnsi" w:hAnsiTheme="minorHAnsi" w:cstheme="minorHAnsi"/>
                <w:color w:val="262626" w:themeColor="text1" w:themeTint="D9"/>
                <w:szCs w:val="20"/>
              </w:rPr>
            </w:pPr>
            <w:r w:rsidRPr="009D0A4A">
              <w:rPr>
                <w:rFonts w:ascii="Calibri" w:hAnsi="Calibri" w:cs="Calibri"/>
                <w:color w:val="000000"/>
                <w:szCs w:val="20"/>
              </w:rPr>
              <w:t>417</w:t>
            </w:r>
          </w:p>
        </w:tc>
        <w:tc>
          <w:tcPr>
            <w:tcW w:w="519"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58396A44"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eastAsiaTheme="minorHAnsi" w:hAnsi="Calibri" w:cs="Calibri"/>
                <w:color w:val="262626" w:themeColor="text1" w:themeTint="D9"/>
                <w:szCs w:val="20"/>
              </w:rPr>
              <w:t>154</w:t>
            </w:r>
          </w:p>
        </w:tc>
        <w:tc>
          <w:tcPr>
            <w:tcW w:w="519"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2DAE8F3E"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hAnsi="Calibri" w:cs="Calibri"/>
                <w:color w:val="000000"/>
                <w:szCs w:val="20"/>
              </w:rPr>
              <w:t>48</w:t>
            </w:r>
          </w:p>
        </w:tc>
        <w:tc>
          <w:tcPr>
            <w:tcW w:w="521"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1CB9FD84"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eastAsiaTheme="minorHAnsi" w:hAnsi="Calibri" w:cs="Calibri"/>
                <w:color w:val="262626" w:themeColor="text1" w:themeTint="D9"/>
                <w:szCs w:val="20"/>
              </w:rPr>
              <w:t>18</w:t>
            </w:r>
          </w:p>
        </w:tc>
        <w:tc>
          <w:tcPr>
            <w:tcW w:w="52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263F6914"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hAnsi="Calibri" w:cs="Calibri"/>
                <w:b/>
                <w:bCs/>
                <w:color w:val="000000"/>
                <w:szCs w:val="20"/>
              </w:rPr>
              <w:t>7,615</w:t>
            </w:r>
          </w:p>
        </w:tc>
        <w:tc>
          <w:tcPr>
            <w:tcW w:w="518"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69AED99D"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b/>
                <w:bCs/>
                <w:color w:val="262626" w:themeColor="text1" w:themeTint="D9"/>
                <w:szCs w:val="20"/>
              </w:rPr>
            </w:pPr>
            <w:r w:rsidRPr="009D0A4A">
              <w:rPr>
                <w:rFonts w:ascii="Calibri" w:eastAsiaTheme="minorHAnsi" w:hAnsi="Calibri" w:cs="Calibri"/>
                <w:color w:val="262626" w:themeColor="text1" w:themeTint="D9"/>
                <w:szCs w:val="20"/>
              </w:rPr>
              <w:t>2,818</w:t>
            </w:r>
          </w:p>
        </w:tc>
      </w:tr>
      <w:tr w:rsidR="00614CFC" w:rsidRPr="009D0A4A" w14:paraId="4AC03857" w14:textId="77777777" w:rsidTr="00A71E11">
        <w:trPr>
          <w:trHeight w:val="56"/>
        </w:trPr>
        <w:tc>
          <w:tcPr>
            <w:tcW w:w="515"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hideMark/>
          </w:tcPr>
          <w:p w14:paraId="57058E52" w14:textId="77777777" w:rsidR="009726EC" w:rsidRPr="009D0A4A" w:rsidRDefault="009726EC" w:rsidP="006F1A63">
            <w:pPr>
              <w:pStyle w:val="EYBulletnoparaspace"/>
              <w:numPr>
                <w:ilvl w:val="0"/>
                <w:numId w:val="0"/>
              </w:numPr>
              <w:spacing w:line="264" w:lineRule="auto"/>
              <w:rPr>
                <w:rFonts w:asciiTheme="minorHAnsi" w:hAnsiTheme="minorHAnsi" w:cstheme="minorHAnsi"/>
                <w:i/>
                <w:iCs/>
                <w:color w:val="262626" w:themeColor="text1" w:themeTint="D9"/>
                <w:szCs w:val="20"/>
              </w:rPr>
            </w:pPr>
            <w:r w:rsidRPr="009D0A4A">
              <w:rPr>
                <w:rFonts w:asciiTheme="minorHAnsi" w:hAnsiTheme="minorHAnsi" w:cstheme="minorHAnsi"/>
                <w:i/>
                <w:iCs/>
                <w:szCs w:val="20"/>
              </w:rPr>
              <w:t>Demolition</w:t>
            </w:r>
          </w:p>
        </w:tc>
        <w:tc>
          <w:tcPr>
            <w:tcW w:w="717"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0B31B789" w14:textId="77777777" w:rsidR="009726EC" w:rsidRPr="009D0A4A" w:rsidRDefault="009726EC" w:rsidP="006F1A63">
            <w:pPr>
              <w:pStyle w:val="BodyText"/>
              <w:spacing w:after="100" w:afterAutospacing="1"/>
              <w:ind w:left="157"/>
              <w:jc w:val="center"/>
              <w:rPr>
                <w:rFonts w:cstheme="minorHAnsi"/>
              </w:rPr>
            </w:pPr>
            <w:r w:rsidRPr="009D0A4A">
              <w:rPr>
                <w:rFonts w:ascii="Calibri" w:hAnsi="Calibri" w:cs="Calibri"/>
                <w:color w:val="000000"/>
              </w:rPr>
              <w:t>14,578</w:t>
            </w:r>
          </w:p>
        </w:tc>
        <w:tc>
          <w:tcPr>
            <w:tcW w:w="586"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0D5AAAC9" w14:textId="77777777" w:rsidR="009726EC" w:rsidRPr="009D0A4A" w:rsidRDefault="009726EC" w:rsidP="006F1A63">
            <w:pPr>
              <w:pStyle w:val="EYBulletnoparaspace"/>
              <w:numPr>
                <w:ilvl w:val="0"/>
                <w:numId w:val="0"/>
              </w:numPr>
              <w:spacing w:after="100" w:afterAutospacing="1" w:line="264" w:lineRule="auto"/>
              <w:ind w:left="134" w:right="130"/>
              <w:jc w:val="center"/>
              <w:rPr>
                <w:rFonts w:asciiTheme="minorHAnsi" w:eastAsiaTheme="minorHAnsi" w:hAnsiTheme="minorHAnsi" w:cstheme="minorHAnsi"/>
                <w:color w:val="262626" w:themeColor="text1" w:themeTint="D9"/>
                <w:szCs w:val="20"/>
              </w:rPr>
            </w:pPr>
            <w:r w:rsidRPr="009D0A4A">
              <w:rPr>
                <w:rFonts w:ascii="Calibri" w:hAnsi="Calibri" w:cs="Calibri"/>
                <w:szCs w:val="20"/>
              </w:rPr>
              <w:t>1,458</w:t>
            </w:r>
          </w:p>
        </w:tc>
        <w:tc>
          <w:tcPr>
            <w:tcW w:w="585"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6A569458" w14:textId="77777777" w:rsidR="009726EC" w:rsidRPr="009D0A4A" w:rsidRDefault="009726EC" w:rsidP="006F1A63">
            <w:pPr>
              <w:pStyle w:val="EYBulletnoparaspace"/>
              <w:numPr>
                <w:ilvl w:val="0"/>
                <w:numId w:val="0"/>
              </w:numPr>
              <w:spacing w:after="100" w:afterAutospacing="1" w:line="264" w:lineRule="auto"/>
              <w:ind w:left="134" w:right="130"/>
              <w:jc w:val="center"/>
              <w:rPr>
                <w:rFonts w:asciiTheme="minorHAnsi" w:eastAsiaTheme="minorHAnsi" w:hAnsiTheme="minorHAnsi" w:cstheme="minorHAnsi"/>
                <w:color w:val="262626" w:themeColor="text1" w:themeTint="D9"/>
                <w:szCs w:val="20"/>
              </w:rPr>
            </w:pPr>
            <w:r w:rsidRPr="009D0A4A">
              <w:rPr>
                <w:rFonts w:ascii="Calibri" w:hAnsi="Calibri" w:cs="Calibri"/>
                <w:color w:val="000000"/>
                <w:szCs w:val="20"/>
              </w:rPr>
              <w:t>426</w:t>
            </w:r>
          </w:p>
        </w:tc>
        <w:tc>
          <w:tcPr>
            <w:tcW w:w="519"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1685DE12"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eastAsiaTheme="minorHAnsi" w:hAnsi="Calibri" w:cs="Calibri"/>
                <w:color w:val="262626" w:themeColor="text1" w:themeTint="D9"/>
                <w:szCs w:val="20"/>
              </w:rPr>
              <w:t>43</w:t>
            </w:r>
          </w:p>
        </w:tc>
        <w:tc>
          <w:tcPr>
            <w:tcW w:w="519"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28A513CF"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hAnsi="Calibri" w:cs="Calibri"/>
                <w:color w:val="000000"/>
                <w:szCs w:val="20"/>
              </w:rPr>
              <w:t>12</w:t>
            </w:r>
          </w:p>
        </w:tc>
        <w:tc>
          <w:tcPr>
            <w:tcW w:w="521"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5FF5B9AC"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eastAsiaTheme="minorHAnsi" w:hAnsi="Calibri" w:cs="Calibri"/>
                <w:color w:val="262626" w:themeColor="text1" w:themeTint="D9"/>
                <w:szCs w:val="20"/>
              </w:rPr>
              <w:t>1</w:t>
            </w:r>
          </w:p>
        </w:tc>
        <w:tc>
          <w:tcPr>
            <w:tcW w:w="52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70E0F4A4"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color w:val="262626" w:themeColor="text1" w:themeTint="D9"/>
                <w:szCs w:val="20"/>
              </w:rPr>
            </w:pPr>
            <w:r w:rsidRPr="009D0A4A">
              <w:rPr>
                <w:rFonts w:ascii="Calibri" w:hAnsi="Calibri" w:cs="Calibri"/>
                <w:b/>
                <w:bCs/>
                <w:color w:val="000000"/>
                <w:szCs w:val="20"/>
              </w:rPr>
              <w:t>15,016</w:t>
            </w:r>
          </w:p>
        </w:tc>
        <w:tc>
          <w:tcPr>
            <w:tcW w:w="518"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01162CC5"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b/>
                <w:bCs/>
                <w:color w:val="262626" w:themeColor="text1" w:themeTint="D9"/>
                <w:szCs w:val="20"/>
              </w:rPr>
            </w:pPr>
            <w:r w:rsidRPr="009D0A4A">
              <w:rPr>
                <w:rFonts w:ascii="Calibri" w:eastAsiaTheme="minorHAnsi" w:hAnsi="Calibri" w:cs="Calibri"/>
                <w:color w:val="262626" w:themeColor="text1" w:themeTint="D9"/>
                <w:szCs w:val="20"/>
              </w:rPr>
              <w:t>1,502</w:t>
            </w:r>
          </w:p>
        </w:tc>
      </w:tr>
      <w:tr w:rsidR="00614CFC" w:rsidRPr="009D0A4A" w14:paraId="264BC118" w14:textId="77777777" w:rsidTr="00A71E11">
        <w:trPr>
          <w:trHeight w:val="56"/>
        </w:trPr>
        <w:tc>
          <w:tcPr>
            <w:tcW w:w="515"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hideMark/>
          </w:tcPr>
          <w:p w14:paraId="4B3E32FA" w14:textId="77777777" w:rsidR="009726EC" w:rsidRPr="009D0A4A" w:rsidRDefault="009726EC" w:rsidP="006F1A63">
            <w:pPr>
              <w:pStyle w:val="EYBulletnoparaspace"/>
              <w:numPr>
                <w:ilvl w:val="0"/>
                <w:numId w:val="0"/>
              </w:numPr>
              <w:spacing w:line="264" w:lineRule="auto"/>
              <w:rPr>
                <w:rFonts w:asciiTheme="minorHAnsi" w:hAnsiTheme="minorHAnsi" w:cstheme="minorHAnsi"/>
                <w:b/>
                <w:bCs/>
                <w:i/>
                <w:iCs/>
                <w:szCs w:val="20"/>
              </w:rPr>
            </w:pPr>
            <w:r w:rsidRPr="009D0A4A">
              <w:rPr>
                <w:rFonts w:asciiTheme="minorHAnsi" w:hAnsiTheme="minorHAnsi" w:cstheme="minorHAnsi"/>
                <w:b/>
                <w:bCs/>
                <w:i/>
                <w:iCs/>
                <w:szCs w:val="20"/>
              </w:rPr>
              <w:t>Total</w:t>
            </w:r>
          </w:p>
        </w:tc>
        <w:tc>
          <w:tcPr>
            <w:tcW w:w="717"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2C36902A" w14:textId="77777777" w:rsidR="009726EC" w:rsidRPr="009D0A4A" w:rsidRDefault="009726EC" w:rsidP="006F1A63">
            <w:pPr>
              <w:pStyle w:val="BodyText"/>
              <w:spacing w:after="100" w:afterAutospacing="1"/>
              <w:ind w:left="157"/>
              <w:jc w:val="center"/>
              <w:rPr>
                <w:rFonts w:cstheme="minorHAnsi"/>
                <w:b/>
                <w:bCs/>
              </w:rPr>
            </w:pPr>
            <w:r w:rsidRPr="009D0A4A">
              <w:rPr>
                <w:rFonts w:ascii="Calibri" w:hAnsi="Calibri" w:cs="Calibri"/>
                <w:b/>
                <w:bCs/>
                <w:color w:val="000000"/>
              </w:rPr>
              <w:t>117,498</w:t>
            </w:r>
          </w:p>
        </w:tc>
        <w:tc>
          <w:tcPr>
            <w:tcW w:w="586"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444571F3" w14:textId="77777777" w:rsidR="009726EC" w:rsidRPr="009D0A4A" w:rsidRDefault="009726EC" w:rsidP="006F1A63">
            <w:pPr>
              <w:pStyle w:val="EYBulletnoparaspace"/>
              <w:numPr>
                <w:ilvl w:val="0"/>
                <w:numId w:val="0"/>
              </w:numPr>
              <w:spacing w:after="100" w:afterAutospacing="1" w:line="264" w:lineRule="auto"/>
              <w:ind w:left="134" w:right="130"/>
              <w:jc w:val="center"/>
              <w:rPr>
                <w:rFonts w:asciiTheme="minorHAnsi" w:eastAsiaTheme="minorHAnsi" w:hAnsiTheme="minorHAnsi" w:cstheme="minorHAnsi"/>
                <w:b/>
                <w:bCs/>
                <w:color w:val="262626" w:themeColor="text1" w:themeTint="D9"/>
                <w:szCs w:val="20"/>
              </w:rPr>
            </w:pPr>
            <w:r w:rsidRPr="009D0A4A">
              <w:rPr>
                <w:rFonts w:ascii="Calibri" w:hAnsi="Calibri" w:cs="Calibri"/>
                <w:b/>
                <w:bCs/>
                <w:szCs w:val="20"/>
              </w:rPr>
              <w:t>21,848</w:t>
            </w:r>
          </w:p>
        </w:tc>
        <w:tc>
          <w:tcPr>
            <w:tcW w:w="585"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37315730" w14:textId="77777777" w:rsidR="009726EC" w:rsidRPr="009D0A4A" w:rsidRDefault="009726EC" w:rsidP="006F1A63">
            <w:pPr>
              <w:pStyle w:val="EYBulletnoparaspace"/>
              <w:numPr>
                <w:ilvl w:val="0"/>
                <w:numId w:val="0"/>
              </w:numPr>
              <w:spacing w:after="100" w:afterAutospacing="1" w:line="264" w:lineRule="auto"/>
              <w:ind w:left="134" w:right="130"/>
              <w:jc w:val="center"/>
              <w:rPr>
                <w:rFonts w:asciiTheme="minorHAnsi" w:eastAsiaTheme="minorHAnsi" w:hAnsiTheme="minorHAnsi" w:cstheme="minorHAnsi"/>
                <w:b/>
                <w:bCs/>
                <w:color w:val="262626" w:themeColor="text1" w:themeTint="D9"/>
                <w:szCs w:val="20"/>
              </w:rPr>
            </w:pPr>
            <w:r w:rsidRPr="009D0A4A">
              <w:rPr>
                <w:rFonts w:ascii="Calibri" w:hAnsi="Calibri" w:cs="Calibri"/>
                <w:b/>
                <w:bCs/>
                <w:color w:val="000000"/>
                <w:szCs w:val="20"/>
              </w:rPr>
              <w:t>2,308</w:t>
            </w:r>
          </w:p>
        </w:tc>
        <w:tc>
          <w:tcPr>
            <w:tcW w:w="519"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7AEA9317"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b/>
                <w:bCs/>
                <w:color w:val="262626" w:themeColor="text1" w:themeTint="D9"/>
                <w:szCs w:val="20"/>
              </w:rPr>
            </w:pPr>
            <w:r w:rsidRPr="009D0A4A">
              <w:rPr>
                <w:rFonts w:ascii="Calibri" w:eastAsiaTheme="minorHAnsi" w:hAnsi="Calibri" w:cs="Calibri"/>
                <w:b/>
                <w:bCs/>
                <w:color w:val="262626" w:themeColor="text1" w:themeTint="D9"/>
                <w:szCs w:val="20"/>
              </w:rPr>
              <w:t>359</w:t>
            </w:r>
          </w:p>
        </w:tc>
        <w:tc>
          <w:tcPr>
            <w:tcW w:w="519"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1419E493"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b/>
                <w:bCs/>
                <w:color w:val="262626" w:themeColor="text1" w:themeTint="D9"/>
                <w:szCs w:val="20"/>
              </w:rPr>
            </w:pPr>
            <w:r w:rsidRPr="009D0A4A">
              <w:rPr>
                <w:rFonts w:ascii="Calibri" w:hAnsi="Calibri" w:cs="Calibri"/>
                <w:b/>
                <w:bCs/>
                <w:color w:val="000000"/>
                <w:szCs w:val="20"/>
              </w:rPr>
              <w:t>138</w:t>
            </w:r>
          </w:p>
        </w:tc>
        <w:tc>
          <w:tcPr>
            <w:tcW w:w="521"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4062A1C3"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b/>
                <w:bCs/>
                <w:color w:val="262626" w:themeColor="text1" w:themeTint="D9"/>
                <w:szCs w:val="20"/>
              </w:rPr>
            </w:pPr>
            <w:r w:rsidRPr="009D0A4A">
              <w:rPr>
                <w:rFonts w:ascii="Calibri" w:eastAsiaTheme="minorHAnsi" w:hAnsi="Calibri" w:cs="Calibri"/>
                <w:b/>
                <w:bCs/>
                <w:color w:val="262626" w:themeColor="text1" w:themeTint="D9"/>
                <w:szCs w:val="20"/>
              </w:rPr>
              <w:t>31</w:t>
            </w:r>
          </w:p>
        </w:tc>
        <w:tc>
          <w:tcPr>
            <w:tcW w:w="520"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22E47ED2"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b/>
                <w:bCs/>
                <w:color w:val="262626" w:themeColor="text1" w:themeTint="D9"/>
                <w:szCs w:val="20"/>
              </w:rPr>
            </w:pPr>
            <w:r w:rsidRPr="009D0A4A">
              <w:rPr>
                <w:rFonts w:ascii="Calibri" w:hAnsi="Calibri" w:cs="Calibri"/>
                <w:b/>
                <w:bCs/>
                <w:color w:val="000000"/>
                <w:szCs w:val="20"/>
              </w:rPr>
              <w:t>119,944</w:t>
            </w:r>
          </w:p>
        </w:tc>
        <w:tc>
          <w:tcPr>
            <w:tcW w:w="518"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hideMark/>
          </w:tcPr>
          <w:p w14:paraId="32E214FB" w14:textId="77777777" w:rsidR="009726EC" w:rsidRPr="009D0A4A" w:rsidRDefault="009726EC" w:rsidP="006F1A63">
            <w:pPr>
              <w:pStyle w:val="EYBulletnoparaspace"/>
              <w:numPr>
                <w:ilvl w:val="0"/>
                <w:numId w:val="0"/>
              </w:numPr>
              <w:spacing w:after="100" w:afterAutospacing="1" w:line="264" w:lineRule="auto"/>
              <w:ind w:left="134"/>
              <w:jc w:val="center"/>
              <w:rPr>
                <w:rFonts w:asciiTheme="minorHAnsi" w:eastAsiaTheme="minorHAnsi" w:hAnsiTheme="minorHAnsi" w:cstheme="minorHAnsi"/>
                <w:b/>
                <w:bCs/>
                <w:color w:val="262626" w:themeColor="text1" w:themeTint="D9"/>
                <w:szCs w:val="20"/>
              </w:rPr>
            </w:pPr>
            <w:r w:rsidRPr="009D0A4A">
              <w:rPr>
                <w:rFonts w:ascii="Calibri" w:eastAsiaTheme="minorHAnsi" w:hAnsi="Calibri" w:cs="Calibri"/>
                <w:b/>
                <w:bCs/>
                <w:color w:val="262626" w:themeColor="text1" w:themeTint="D9"/>
                <w:szCs w:val="20"/>
              </w:rPr>
              <w:t>22,239</w:t>
            </w:r>
          </w:p>
        </w:tc>
      </w:tr>
    </w:tbl>
    <w:p w14:paraId="5A9E4911" w14:textId="035983D3" w:rsidR="00105526" w:rsidRPr="009D0A4A" w:rsidRDefault="00E3429A" w:rsidP="00B73109">
      <w:pPr>
        <w:pStyle w:val="Heading4"/>
        <w:numPr>
          <w:ilvl w:val="0"/>
          <w:numId w:val="0"/>
        </w:numPr>
        <w:ind w:left="1134" w:hanging="1134"/>
      </w:pPr>
      <w:r w:rsidRPr="009D0A4A">
        <w:t>Worker</w:t>
      </w:r>
      <w:r w:rsidR="00105526" w:rsidRPr="009D0A4A">
        <w:t xml:space="preserve"> wage assumptions </w:t>
      </w:r>
    </w:p>
    <w:p w14:paraId="0565E8C5" w14:textId="18BF4861" w:rsidR="00105526" w:rsidRPr="009D0A4A" w:rsidRDefault="00105526" w:rsidP="00105526">
      <w:pPr>
        <w:pStyle w:val="BodyText"/>
        <w:rPr>
          <w:color w:val="auto"/>
        </w:rPr>
      </w:pPr>
      <w:r w:rsidRPr="009D0A4A">
        <w:t xml:space="preserve">The average wage per hour has been estimated using Average Weekly Earnings (AWE) data provided by the Australian Bureau of Statistics (ABS). </w:t>
      </w:r>
      <w:r w:rsidR="00C64F37" w:rsidRPr="009D0A4A">
        <w:t>Table 30</w:t>
      </w:r>
      <w:r w:rsidRPr="009D0A4A">
        <w:rPr>
          <w:color w:val="auto"/>
        </w:rPr>
        <w:t xml:space="preserve"> summarises the number of businesses included within this assessment across each industry category</w:t>
      </w:r>
      <w:r w:rsidR="00C64F37" w:rsidRPr="009D0A4A">
        <w:rPr>
          <w:color w:val="auto"/>
        </w:rPr>
        <w:t xml:space="preserve">. Table </w:t>
      </w:r>
      <w:r w:rsidR="00C473F8" w:rsidRPr="009D0A4A">
        <w:rPr>
          <w:color w:val="auto"/>
        </w:rPr>
        <w:t xml:space="preserve">27 </w:t>
      </w:r>
      <w:r w:rsidR="00C64F37" w:rsidRPr="009D0A4A">
        <w:rPr>
          <w:color w:val="auto"/>
        </w:rPr>
        <w:t xml:space="preserve">presents estimates of SWA salary costs per employee. </w:t>
      </w:r>
    </w:p>
    <w:p w14:paraId="319F8E02" w14:textId="5C2B9B8C" w:rsidR="00105526" w:rsidRPr="009D0A4A" w:rsidRDefault="00105526" w:rsidP="00105526">
      <w:pPr>
        <w:pStyle w:val="Caption"/>
      </w:pPr>
      <w:bookmarkStart w:id="682" w:name="_Ref103851468"/>
      <w:r w:rsidRPr="009D0A4A">
        <w:t xml:space="preserve">Table </w:t>
      </w:r>
      <w:bookmarkEnd w:id="682"/>
      <w:r w:rsidR="00C473F8" w:rsidRPr="009D0A4A">
        <w:t>27</w:t>
      </w:r>
      <w:r w:rsidRPr="009D0A4A">
        <w:t>: Employee wage by industry category</w:t>
      </w:r>
      <w:r w:rsidR="002B12CC" w:rsidRPr="009D0A4A">
        <w:t xml:space="preserve"> </w:t>
      </w:r>
      <w:r w:rsidR="002B12CC" w:rsidRPr="009D0A4A">
        <w:fldChar w:fldCharType="begin"/>
      </w:r>
      <w:r w:rsidR="004067E3">
        <w:instrText xml:space="preserve"> ADDIN ZOTERO_ITEM CSL_CITATION {"citationID":"wsTGLflV","properties":{"formattedCitation":"(Australian Bureau of Statistics 2021c)","plainCitation":"(Australian Bureau of Statistics 2021c)","noteIndex":0},"citationItems":[{"id":913,"uris":["http://zotero.org/users/6230888/items/YWAVMKLE"],"itemData":{"id":913,"type":"webpage","abstract":"Estimates of weekly earnings classified by industry, sector, state and territory","language":"en","title":"Average Weekly Earnings, Australia, November 2021","URL":"https://www.abs.gov.au/statistics/labour/earnings-and-working-conditions/average-weekly-earnings-australia/latest-release","author":[{"literal":"Australian Bureau of Statistics"}],"accessed":{"date-parts":[["2022",6,30]]},"issued":{"date-parts":[["2021"]]}}}],"schema":"https://github.com/citation-style-language/schema/raw/master/csl-citation.json"} </w:instrText>
      </w:r>
      <w:r w:rsidR="002B12CC" w:rsidRPr="009D0A4A">
        <w:fldChar w:fldCharType="separate"/>
      </w:r>
      <w:r w:rsidR="006B4A7D" w:rsidRPr="009D0A4A">
        <w:rPr>
          <w:rFonts w:ascii="Century Gothic" w:hAnsi="Century Gothic"/>
        </w:rPr>
        <w:t>(Australian Bureau of Statistics 2021c)</w:t>
      </w:r>
      <w:r w:rsidR="002B12CC" w:rsidRPr="009D0A4A">
        <w:fldChar w:fldCharType="end"/>
      </w:r>
    </w:p>
    <w:tbl>
      <w:tblPr>
        <w:tblW w:w="5000" w:type="pct"/>
        <w:tblBorders>
          <w:left w:val="single" w:sz="8" w:space="0" w:color="D9D9D9"/>
          <w:bottom w:val="single" w:sz="8" w:space="0" w:color="D9D9D9"/>
          <w:right w:val="single" w:sz="8" w:space="0" w:color="D9D9D9"/>
          <w:insideH w:val="single" w:sz="8" w:space="0" w:color="D9D9D9"/>
          <w:insideV w:val="single" w:sz="8" w:space="0" w:color="D9D9D9"/>
        </w:tblBorders>
        <w:tblCellMar>
          <w:left w:w="0" w:type="dxa"/>
          <w:right w:w="0" w:type="dxa"/>
        </w:tblCellMar>
        <w:tblLook w:val="0420" w:firstRow="1" w:lastRow="0" w:firstColumn="0" w:lastColumn="0" w:noHBand="0" w:noVBand="1"/>
      </w:tblPr>
      <w:tblGrid>
        <w:gridCol w:w="2338"/>
        <w:gridCol w:w="2479"/>
        <w:gridCol w:w="2511"/>
        <w:gridCol w:w="2856"/>
      </w:tblGrid>
      <w:tr w:rsidR="00105526" w:rsidRPr="009D0A4A" w14:paraId="5E5FB700" w14:textId="77777777" w:rsidTr="00FA6EE6">
        <w:trPr>
          <w:trHeight w:val="159"/>
          <w:tblHeader/>
        </w:trPr>
        <w:tc>
          <w:tcPr>
            <w:tcW w:w="1148" w:type="pct"/>
            <w:tcBorders>
              <w:top w:val="nil"/>
              <w:left w:val="single" w:sz="8" w:space="0" w:color="D9D9D9"/>
              <w:bottom w:val="single" w:sz="8" w:space="0" w:color="D9D9D9"/>
              <w:right w:val="single" w:sz="8" w:space="0" w:color="D9D9D9"/>
            </w:tcBorders>
            <w:shd w:val="clear" w:color="auto" w:fill="D9D9D9" w:themeFill="background1" w:themeFillShade="D9"/>
            <w:tcMar>
              <w:top w:w="72" w:type="dxa"/>
              <w:left w:w="144" w:type="dxa"/>
              <w:bottom w:w="72" w:type="dxa"/>
              <w:right w:w="144" w:type="dxa"/>
            </w:tcMar>
            <w:vAlign w:val="center"/>
            <w:hideMark/>
          </w:tcPr>
          <w:p w14:paraId="51179E4B" w14:textId="77777777" w:rsidR="00105526" w:rsidRPr="009D0A4A" w:rsidRDefault="00105526" w:rsidP="00FA6EE6">
            <w:pPr>
              <w:pStyle w:val="EYBulletnoparaspace"/>
              <w:numPr>
                <w:ilvl w:val="0"/>
                <w:numId w:val="0"/>
              </w:numPr>
              <w:spacing w:after="0" w:line="264" w:lineRule="auto"/>
              <w:rPr>
                <w:rStyle w:val="Strong"/>
                <w:rFonts w:asciiTheme="majorHAnsi" w:hAnsiTheme="majorHAnsi" w:cstheme="minorHAnsi"/>
                <w:color w:val="262626" w:themeColor="text1" w:themeTint="D9"/>
                <w:sz w:val="18"/>
                <w:szCs w:val="22"/>
              </w:rPr>
            </w:pPr>
            <w:r w:rsidRPr="009D0A4A">
              <w:rPr>
                <w:rStyle w:val="Strong"/>
                <w:rFonts w:asciiTheme="majorHAnsi" w:hAnsiTheme="majorHAnsi" w:cstheme="minorHAnsi"/>
                <w:color w:val="262626" w:themeColor="text1" w:themeTint="D9"/>
                <w:sz w:val="18"/>
                <w:szCs w:val="22"/>
              </w:rPr>
              <w:t xml:space="preserve">Industry </w:t>
            </w:r>
            <w:r w:rsidRPr="009D0A4A">
              <w:rPr>
                <w:rStyle w:val="Strong"/>
                <w:rFonts w:asciiTheme="majorHAnsi" w:hAnsiTheme="majorHAnsi" w:cstheme="minorHAnsi"/>
                <w:sz w:val="18"/>
                <w:szCs w:val="22"/>
              </w:rPr>
              <w:t>category</w:t>
            </w:r>
          </w:p>
        </w:tc>
        <w:tc>
          <w:tcPr>
            <w:tcW w:w="1217" w:type="pct"/>
            <w:tcBorders>
              <w:top w:val="nil"/>
              <w:left w:val="single" w:sz="8" w:space="0" w:color="D9D9D9"/>
              <w:bottom w:val="single" w:sz="8" w:space="0" w:color="D9D9D9"/>
              <w:right w:val="single" w:sz="8" w:space="0" w:color="D9D9D9"/>
            </w:tcBorders>
            <w:shd w:val="clear" w:color="auto" w:fill="D9D9D9" w:themeFill="background1" w:themeFillShade="D9"/>
            <w:hideMark/>
          </w:tcPr>
          <w:p w14:paraId="12208C99" w14:textId="77777777" w:rsidR="00105526" w:rsidRPr="009D0A4A" w:rsidRDefault="00105526" w:rsidP="00FA6EE6">
            <w:pPr>
              <w:pStyle w:val="EYBulletnoparaspace"/>
              <w:numPr>
                <w:ilvl w:val="0"/>
                <w:numId w:val="0"/>
              </w:numPr>
              <w:spacing w:after="0" w:line="264" w:lineRule="auto"/>
              <w:ind w:left="145"/>
              <w:rPr>
                <w:rStyle w:val="Strong"/>
                <w:rFonts w:asciiTheme="majorHAnsi" w:hAnsiTheme="majorHAnsi" w:cstheme="minorHAnsi"/>
                <w:color w:val="262626" w:themeColor="text1" w:themeTint="D9"/>
                <w:sz w:val="18"/>
                <w:szCs w:val="22"/>
              </w:rPr>
            </w:pPr>
            <w:r w:rsidRPr="009D0A4A">
              <w:rPr>
                <w:rStyle w:val="Strong"/>
                <w:rFonts w:asciiTheme="majorHAnsi" w:hAnsiTheme="majorHAnsi" w:cstheme="minorHAnsi"/>
                <w:sz w:val="18"/>
                <w:szCs w:val="22"/>
              </w:rPr>
              <w:t>Average weekly earnings ($)</w:t>
            </w:r>
          </w:p>
        </w:tc>
        <w:tc>
          <w:tcPr>
            <w:tcW w:w="1233" w:type="pct"/>
            <w:tcBorders>
              <w:top w:val="nil"/>
              <w:left w:val="single" w:sz="8" w:space="0" w:color="D9D9D9"/>
              <w:bottom w:val="single" w:sz="8" w:space="0" w:color="D9D9D9"/>
              <w:right w:val="single" w:sz="8" w:space="0" w:color="D9D9D9"/>
            </w:tcBorders>
            <w:shd w:val="clear" w:color="auto" w:fill="D9D9D9" w:themeFill="background1" w:themeFillShade="D9"/>
            <w:hideMark/>
          </w:tcPr>
          <w:p w14:paraId="05BE8BE6" w14:textId="77777777" w:rsidR="00105526" w:rsidRPr="009D0A4A" w:rsidRDefault="00105526" w:rsidP="00FA6EE6">
            <w:pPr>
              <w:pStyle w:val="EYBulletnoparaspace"/>
              <w:numPr>
                <w:ilvl w:val="0"/>
                <w:numId w:val="0"/>
              </w:numPr>
              <w:spacing w:after="0" w:line="264" w:lineRule="auto"/>
              <w:ind w:left="145"/>
              <w:rPr>
                <w:rStyle w:val="Strong"/>
                <w:rFonts w:asciiTheme="majorHAnsi" w:hAnsiTheme="majorHAnsi" w:cstheme="minorHAnsi"/>
                <w:color w:val="262626" w:themeColor="text1" w:themeTint="D9"/>
                <w:sz w:val="18"/>
                <w:szCs w:val="22"/>
              </w:rPr>
            </w:pPr>
            <w:r w:rsidRPr="009D0A4A">
              <w:rPr>
                <w:rStyle w:val="Strong"/>
                <w:rFonts w:asciiTheme="majorHAnsi" w:hAnsiTheme="majorHAnsi" w:cstheme="minorHAnsi"/>
                <w:sz w:val="18"/>
                <w:szCs w:val="22"/>
              </w:rPr>
              <w:t>Average weekly hours worked (hrs)</w:t>
            </w:r>
          </w:p>
        </w:tc>
        <w:tc>
          <w:tcPr>
            <w:tcW w:w="1402" w:type="pct"/>
            <w:tcBorders>
              <w:top w:val="nil"/>
              <w:left w:val="single" w:sz="8" w:space="0" w:color="D9D9D9"/>
              <w:bottom w:val="single" w:sz="8" w:space="0" w:color="D9D9D9"/>
              <w:right w:val="single" w:sz="8" w:space="0" w:color="D9D9D9"/>
            </w:tcBorders>
            <w:shd w:val="clear" w:color="auto" w:fill="D9D9D9" w:themeFill="background1" w:themeFillShade="D9"/>
            <w:hideMark/>
          </w:tcPr>
          <w:p w14:paraId="7A09A083" w14:textId="77777777" w:rsidR="00105526" w:rsidRPr="009D0A4A" w:rsidRDefault="00105526" w:rsidP="00FA6EE6">
            <w:pPr>
              <w:pStyle w:val="EYBulletnoparaspace"/>
              <w:numPr>
                <w:ilvl w:val="0"/>
                <w:numId w:val="0"/>
              </w:numPr>
              <w:spacing w:after="0" w:line="264" w:lineRule="auto"/>
              <w:ind w:left="145"/>
              <w:rPr>
                <w:rStyle w:val="Strong"/>
                <w:rFonts w:asciiTheme="majorHAnsi" w:hAnsiTheme="majorHAnsi" w:cstheme="minorHAnsi"/>
                <w:color w:val="262626" w:themeColor="text1" w:themeTint="D9"/>
                <w:sz w:val="18"/>
                <w:szCs w:val="22"/>
              </w:rPr>
            </w:pPr>
            <w:r w:rsidRPr="009D0A4A">
              <w:rPr>
                <w:rStyle w:val="Strong"/>
                <w:rFonts w:asciiTheme="majorHAnsi" w:hAnsiTheme="majorHAnsi" w:cstheme="minorHAnsi"/>
                <w:sz w:val="18"/>
                <w:szCs w:val="22"/>
              </w:rPr>
              <w:t>Employee hourly rate ($)</w:t>
            </w:r>
          </w:p>
        </w:tc>
      </w:tr>
      <w:tr w:rsidR="00105526" w:rsidRPr="009D0A4A" w14:paraId="1E68A6C8" w14:textId="77777777" w:rsidTr="00FA6EE6">
        <w:trPr>
          <w:trHeight w:val="391"/>
        </w:trPr>
        <w:tc>
          <w:tcPr>
            <w:tcW w:w="1148"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18FC6D1E" w14:textId="77777777" w:rsidR="00105526" w:rsidRPr="009D0A4A" w:rsidRDefault="00105526" w:rsidP="007D074A">
            <w:pPr>
              <w:pStyle w:val="EYBulletnoparaspace"/>
              <w:numPr>
                <w:ilvl w:val="0"/>
                <w:numId w:val="0"/>
              </w:numPr>
              <w:spacing w:before="60" w:afterLines="60" w:after="144" w:line="264" w:lineRule="auto"/>
              <w:rPr>
                <w:i/>
                <w:iCs/>
                <w:sz w:val="18"/>
                <w:szCs w:val="18"/>
              </w:rPr>
            </w:pPr>
            <w:r w:rsidRPr="009D0A4A">
              <w:rPr>
                <w:rFonts w:asciiTheme="minorHAnsi" w:hAnsiTheme="minorHAnsi" w:cstheme="minorHAnsi"/>
                <w:i/>
                <w:iCs/>
                <w:sz w:val="18"/>
                <w:szCs w:val="18"/>
              </w:rPr>
              <w:t>Construction</w:t>
            </w:r>
          </w:p>
        </w:tc>
        <w:tc>
          <w:tcPr>
            <w:tcW w:w="1217"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26F2E3E1" w14:textId="36D4C249" w:rsidR="00105526" w:rsidRPr="009D0A4A" w:rsidRDefault="00105526" w:rsidP="007D074A">
            <w:pPr>
              <w:pStyle w:val="BodyText"/>
              <w:spacing w:before="60" w:afterLines="60" w:after="144"/>
              <w:ind w:left="157"/>
              <w:jc w:val="center"/>
              <w:rPr>
                <w:rFonts w:cstheme="minorHAnsi"/>
                <w:sz w:val="18"/>
                <w:szCs w:val="18"/>
              </w:rPr>
            </w:pPr>
            <w:r w:rsidRPr="009D0A4A">
              <w:rPr>
                <w:rFonts w:cstheme="minorHAnsi"/>
                <w:sz w:val="18"/>
                <w:szCs w:val="18"/>
              </w:rPr>
              <w:t>$</w:t>
            </w:r>
            <w:r w:rsidRPr="009D0A4A">
              <w:rPr>
                <w:sz w:val="18"/>
                <w:szCs w:val="18"/>
              </w:rPr>
              <w:t>1</w:t>
            </w:r>
            <w:r w:rsidR="00F102DE" w:rsidRPr="009D0A4A">
              <w:rPr>
                <w:sz w:val="18"/>
                <w:szCs w:val="18"/>
              </w:rPr>
              <w:t>,</w:t>
            </w:r>
            <w:r w:rsidRPr="009D0A4A">
              <w:rPr>
                <w:sz w:val="18"/>
                <w:szCs w:val="18"/>
              </w:rPr>
              <w:t>734.10</w:t>
            </w:r>
          </w:p>
        </w:tc>
        <w:tc>
          <w:tcPr>
            <w:tcW w:w="1233"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4F1CE942" w14:textId="77777777" w:rsidR="00105526" w:rsidRPr="009D0A4A" w:rsidRDefault="00105526" w:rsidP="007D074A">
            <w:pPr>
              <w:pStyle w:val="BodyText"/>
              <w:spacing w:before="60" w:afterLines="60" w:after="144"/>
              <w:ind w:left="157"/>
              <w:jc w:val="center"/>
              <w:rPr>
                <w:rFonts w:cstheme="minorHAnsi"/>
                <w:sz w:val="18"/>
                <w:szCs w:val="18"/>
              </w:rPr>
            </w:pPr>
            <w:r w:rsidRPr="009D0A4A">
              <w:rPr>
                <w:rFonts w:cstheme="minorHAnsi"/>
                <w:sz w:val="18"/>
                <w:szCs w:val="18"/>
              </w:rPr>
              <w:t>3</w:t>
            </w:r>
            <w:r w:rsidRPr="009D0A4A">
              <w:rPr>
                <w:sz w:val="18"/>
                <w:szCs w:val="18"/>
              </w:rPr>
              <w:t>7.5</w:t>
            </w:r>
          </w:p>
        </w:tc>
        <w:tc>
          <w:tcPr>
            <w:tcW w:w="1402"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232D5D7F" w14:textId="77777777" w:rsidR="00105526" w:rsidRPr="009D0A4A" w:rsidRDefault="00105526" w:rsidP="007D074A">
            <w:pPr>
              <w:pStyle w:val="BodyText"/>
              <w:spacing w:before="60" w:afterLines="60" w:after="144"/>
              <w:ind w:left="137"/>
              <w:jc w:val="center"/>
              <w:rPr>
                <w:rFonts w:ascii="Calibri" w:hAnsi="Calibri" w:cs="Calibri"/>
                <w:sz w:val="18"/>
                <w:szCs w:val="18"/>
              </w:rPr>
            </w:pPr>
            <w:r w:rsidRPr="009D0A4A">
              <w:rPr>
                <w:rFonts w:ascii="Calibri" w:hAnsi="Calibri" w:cs="Calibri"/>
                <w:sz w:val="18"/>
                <w:szCs w:val="18"/>
              </w:rPr>
              <w:t>$46.24</w:t>
            </w:r>
          </w:p>
        </w:tc>
      </w:tr>
      <w:tr w:rsidR="00105526" w:rsidRPr="009D0A4A" w14:paraId="3B5F33B1" w14:textId="77777777" w:rsidTr="00FA6EE6">
        <w:trPr>
          <w:trHeight w:val="159"/>
        </w:trPr>
        <w:tc>
          <w:tcPr>
            <w:tcW w:w="1148"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2FD311BC" w14:textId="77777777" w:rsidR="00105526" w:rsidRPr="009D0A4A" w:rsidRDefault="00105526" w:rsidP="007D074A">
            <w:pPr>
              <w:pStyle w:val="EYBulletnoparaspace"/>
              <w:numPr>
                <w:ilvl w:val="0"/>
                <w:numId w:val="0"/>
              </w:numPr>
              <w:spacing w:before="60" w:afterLines="60" w:after="144"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 xml:space="preserve">Manufacturing </w:t>
            </w:r>
          </w:p>
        </w:tc>
        <w:tc>
          <w:tcPr>
            <w:tcW w:w="1217"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4F5C3349" w14:textId="1B2E2E56" w:rsidR="00105526" w:rsidRPr="009D0A4A" w:rsidRDefault="00105526" w:rsidP="007D074A">
            <w:pPr>
              <w:pStyle w:val="BodyText"/>
              <w:spacing w:before="60" w:afterLines="60" w:after="144"/>
              <w:ind w:left="157"/>
              <w:jc w:val="center"/>
              <w:rPr>
                <w:rFonts w:cstheme="minorHAnsi"/>
                <w:sz w:val="18"/>
                <w:szCs w:val="18"/>
              </w:rPr>
            </w:pPr>
            <w:r w:rsidRPr="009D0A4A">
              <w:rPr>
                <w:rFonts w:cstheme="minorHAnsi"/>
                <w:sz w:val="18"/>
                <w:szCs w:val="18"/>
              </w:rPr>
              <w:t>$</w:t>
            </w:r>
            <w:r w:rsidRPr="009D0A4A">
              <w:rPr>
                <w:sz w:val="18"/>
                <w:szCs w:val="18"/>
              </w:rPr>
              <w:t>1</w:t>
            </w:r>
            <w:r w:rsidR="00F102DE" w:rsidRPr="009D0A4A">
              <w:rPr>
                <w:sz w:val="18"/>
                <w:szCs w:val="18"/>
              </w:rPr>
              <w:t>,</w:t>
            </w:r>
            <w:r w:rsidRPr="009D0A4A">
              <w:rPr>
                <w:sz w:val="18"/>
                <w:szCs w:val="18"/>
              </w:rPr>
              <w:t>557.10</w:t>
            </w:r>
          </w:p>
        </w:tc>
        <w:tc>
          <w:tcPr>
            <w:tcW w:w="1233"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1F285721" w14:textId="77777777" w:rsidR="00105526" w:rsidRPr="009D0A4A" w:rsidRDefault="00105526" w:rsidP="007D074A">
            <w:pPr>
              <w:pStyle w:val="BodyText"/>
              <w:spacing w:before="60" w:afterLines="60" w:after="144"/>
              <w:ind w:left="157"/>
              <w:jc w:val="center"/>
              <w:rPr>
                <w:rFonts w:cstheme="minorHAnsi"/>
                <w:sz w:val="18"/>
                <w:szCs w:val="18"/>
              </w:rPr>
            </w:pPr>
            <w:r w:rsidRPr="009D0A4A">
              <w:rPr>
                <w:rFonts w:cstheme="minorHAnsi"/>
                <w:sz w:val="18"/>
                <w:szCs w:val="18"/>
              </w:rPr>
              <w:t>3</w:t>
            </w:r>
            <w:r w:rsidRPr="009D0A4A">
              <w:rPr>
                <w:sz w:val="18"/>
                <w:szCs w:val="18"/>
              </w:rPr>
              <w:t>7.5</w:t>
            </w:r>
          </w:p>
        </w:tc>
        <w:tc>
          <w:tcPr>
            <w:tcW w:w="1402"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69A35E22" w14:textId="77777777" w:rsidR="00105526" w:rsidRPr="009D0A4A" w:rsidRDefault="00105526" w:rsidP="007D074A">
            <w:pPr>
              <w:pStyle w:val="BodyText"/>
              <w:spacing w:before="60" w:afterLines="60" w:after="144"/>
              <w:ind w:left="157"/>
              <w:jc w:val="center"/>
              <w:rPr>
                <w:rFonts w:cstheme="minorHAnsi"/>
                <w:sz w:val="18"/>
                <w:szCs w:val="18"/>
              </w:rPr>
            </w:pPr>
            <w:r w:rsidRPr="009D0A4A">
              <w:rPr>
                <w:rFonts w:ascii="Calibri" w:hAnsi="Calibri" w:cs="Calibri"/>
                <w:sz w:val="18"/>
                <w:szCs w:val="18"/>
              </w:rPr>
              <w:t>$41.52</w:t>
            </w:r>
          </w:p>
        </w:tc>
      </w:tr>
      <w:tr w:rsidR="00105526" w:rsidRPr="009D0A4A" w14:paraId="57114108" w14:textId="77777777" w:rsidTr="00FA6EE6">
        <w:trPr>
          <w:trHeight w:val="159"/>
        </w:trPr>
        <w:tc>
          <w:tcPr>
            <w:tcW w:w="1148"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4E4ED202" w14:textId="77777777" w:rsidR="00105526" w:rsidRPr="009D0A4A" w:rsidRDefault="00105526" w:rsidP="007D074A">
            <w:pPr>
              <w:pStyle w:val="EYBulletnoparaspace"/>
              <w:numPr>
                <w:ilvl w:val="0"/>
                <w:numId w:val="0"/>
              </w:numPr>
              <w:spacing w:before="60" w:afterLines="60" w:after="144"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 xml:space="preserve">Quarrying </w:t>
            </w:r>
          </w:p>
        </w:tc>
        <w:tc>
          <w:tcPr>
            <w:tcW w:w="1217"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40DB8638" w14:textId="55B44C1E" w:rsidR="00105526" w:rsidRPr="009D0A4A" w:rsidRDefault="00105526" w:rsidP="007D074A">
            <w:pPr>
              <w:pStyle w:val="BodyText"/>
              <w:spacing w:before="60" w:afterLines="60" w:after="144"/>
              <w:ind w:left="157"/>
              <w:jc w:val="center"/>
              <w:rPr>
                <w:rFonts w:cstheme="minorHAnsi"/>
                <w:sz w:val="18"/>
                <w:szCs w:val="18"/>
              </w:rPr>
            </w:pPr>
            <w:r w:rsidRPr="009D0A4A">
              <w:rPr>
                <w:rFonts w:cstheme="minorHAnsi"/>
                <w:sz w:val="18"/>
                <w:szCs w:val="18"/>
              </w:rPr>
              <w:t>$</w:t>
            </w:r>
            <w:r w:rsidRPr="009D0A4A">
              <w:rPr>
                <w:sz w:val="18"/>
                <w:szCs w:val="18"/>
              </w:rPr>
              <w:t>2</w:t>
            </w:r>
            <w:r w:rsidR="00F102DE" w:rsidRPr="009D0A4A">
              <w:rPr>
                <w:sz w:val="18"/>
                <w:szCs w:val="18"/>
              </w:rPr>
              <w:t>,</w:t>
            </w:r>
            <w:r w:rsidRPr="009D0A4A">
              <w:rPr>
                <w:sz w:val="18"/>
                <w:szCs w:val="18"/>
              </w:rPr>
              <w:t>656.30</w:t>
            </w:r>
          </w:p>
        </w:tc>
        <w:tc>
          <w:tcPr>
            <w:tcW w:w="1233"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40B8F6F9" w14:textId="77777777" w:rsidR="00105526" w:rsidRPr="009D0A4A" w:rsidRDefault="00105526" w:rsidP="007D074A">
            <w:pPr>
              <w:pStyle w:val="BodyText"/>
              <w:spacing w:before="60" w:afterLines="60" w:after="144"/>
              <w:ind w:left="157"/>
              <w:jc w:val="center"/>
              <w:rPr>
                <w:rFonts w:cstheme="minorHAnsi"/>
                <w:sz w:val="18"/>
                <w:szCs w:val="18"/>
              </w:rPr>
            </w:pPr>
            <w:r w:rsidRPr="009D0A4A">
              <w:rPr>
                <w:rFonts w:cstheme="minorHAnsi"/>
                <w:sz w:val="18"/>
                <w:szCs w:val="18"/>
              </w:rPr>
              <w:t>3</w:t>
            </w:r>
            <w:r w:rsidRPr="009D0A4A">
              <w:rPr>
                <w:sz w:val="18"/>
                <w:szCs w:val="18"/>
              </w:rPr>
              <w:t>7.5</w:t>
            </w:r>
          </w:p>
        </w:tc>
        <w:tc>
          <w:tcPr>
            <w:tcW w:w="1402"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12E78620" w14:textId="77777777" w:rsidR="00105526" w:rsidRPr="009D0A4A" w:rsidRDefault="00105526" w:rsidP="007D074A">
            <w:pPr>
              <w:pStyle w:val="BodyText"/>
              <w:spacing w:before="60" w:afterLines="60" w:after="144"/>
              <w:ind w:left="157"/>
              <w:jc w:val="center"/>
              <w:rPr>
                <w:rFonts w:cstheme="minorHAnsi"/>
                <w:sz w:val="18"/>
                <w:szCs w:val="18"/>
              </w:rPr>
            </w:pPr>
            <w:r w:rsidRPr="009D0A4A">
              <w:rPr>
                <w:rFonts w:ascii="Calibri" w:hAnsi="Calibri" w:cs="Calibri"/>
                <w:sz w:val="18"/>
                <w:szCs w:val="18"/>
              </w:rPr>
              <w:t>$70.83</w:t>
            </w:r>
          </w:p>
        </w:tc>
      </w:tr>
      <w:tr w:rsidR="00105526" w:rsidRPr="009D0A4A" w14:paraId="114F5331" w14:textId="77777777" w:rsidTr="00FA6EE6">
        <w:trPr>
          <w:trHeight w:val="159"/>
        </w:trPr>
        <w:tc>
          <w:tcPr>
            <w:tcW w:w="1148"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4BF8ADB7" w14:textId="77777777" w:rsidR="00105526" w:rsidRPr="009D0A4A" w:rsidRDefault="00105526" w:rsidP="007D074A">
            <w:pPr>
              <w:pStyle w:val="EYBulletnoparaspace"/>
              <w:numPr>
                <w:ilvl w:val="0"/>
                <w:numId w:val="0"/>
              </w:numPr>
              <w:spacing w:before="60" w:afterLines="60" w:after="144"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Mining</w:t>
            </w:r>
          </w:p>
        </w:tc>
        <w:tc>
          <w:tcPr>
            <w:tcW w:w="1217"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1E2D2F35" w14:textId="1FE7F993" w:rsidR="00105526" w:rsidRPr="009D0A4A" w:rsidRDefault="00105526" w:rsidP="007D074A">
            <w:pPr>
              <w:pStyle w:val="BodyText"/>
              <w:spacing w:before="60" w:afterLines="60" w:after="144"/>
              <w:ind w:left="157"/>
              <w:jc w:val="center"/>
              <w:rPr>
                <w:rFonts w:cstheme="minorHAnsi"/>
                <w:sz w:val="18"/>
                <w:szCs w:val="18"/>
              </w:rPr>
            </w:pPr>
            <w:r w:rsidRPr="009D0A4A">
              <w:rPr>
                <w:rFonts w:cstheme="minorHAnsi"/>
                <w:sz w:val="18"/>
                <w:szCs w:val="18"/>
              </w:rPr>
              <w:t>$</w:t>
            </w:r>
            <w:r w:rsidRPr="009D0A4A">
              <w:rPr>
                <w:sz w:val="18"/>
                <w:szCs w:val="18"/>
              </w:rPr>
              <w:t>2</w:t>
            </w:r>
            <w:r w:rsidR="00F102DE" w:rsidRPr="009D0A4A">
              <w:rPr>
                <w:sz w:val="18"/>
                <w:szCs w:val="18"/>
              </w:rPr>
              <w:t>,</w:t>
            </w:r>
            <w:r w:rsidRPr="009D0A4A">
              <w:rPr>
                <w:sz w:val="18"/>
                <w:szCs w:val="18"/>
              </w:rPr>
              <w:t>656.30</w:t>
            </w:r>
          </w:p>
        </w:tc>
        <w:tc>
          <w:tcPr>
            <w:tcW w:w="1233"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4678C30B" w14:textId="77777777" w:rsidR="00105526" w:rsidRPr="009D0A4A" w:rsidRDefault="00105526" w:rsidP="007D074A">
            <w:pPr>
              <w:pStyle w:val="BodyText"/>
              <w:spacing w:before="60" w:afterLines="60" w:after="144"/>
              <w:ind w:left="157"/>
              <w:jc w:val="center"/>
              <w:rPr>
                <w:rFonts w:cstheme="minorHAnsi"/>
                <w:sz w:val="18"/>
                <w:szCs w:val="18"/>
              </w:rPr>
            </w:pPr>
            <w:r w:rsidRPr="009D0A4A">
              <w:rPr>
                <w:rFonts w:cstheme="minorHAnsi"/>
                <w:sz w:val="18"/>
                <w:szCs w:val="18"/>
              </w:rPr>
              <w:t>3</w:t>
            </w:r>
            <w:r w:rsidRPr="009D0A4A">
              <w:rPr>
                <w:sz w:val="18"/>
                <w:szCs w:val="18"/>
              </w:rPr>
              <w:t>7.5</w:t>
            </w:r>
          </w:p>
        </w:tc>
        <w:tc>
          <w:tcPr>
            <w:tcW w:w="1402"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21DF5F14" w14:textId="77777777" w:rsidR="00105526" w:rsidRPr="009D0A4A" w:rsidRDefault="00105526" w:rsidP="007D074A">
            <w:pPr>
              <w:pStyle w:val="BodyText"/>
              <w:spacing w:before="60" w:afterLines="60" w:after="144"/>
              <w:ind w:left="157"/>
              <w:jc w:val="center"/>
              <w:rPr>
                <w:rFonts w:cstheme="minorHAnsi"/>
                <w:sz w:val="18"/>
                <w:szCs w:val="18"/>
              </w:rPr>
            </w:pPr>
            <w:r w:rsidRPr="009D0A4A">
              <w:rPr>
                <w:rFonts w:ascii="Calibri" w:hAnsi="Calibri" w:cs="Calibri"/>
                <w:sz w:val="18"/>
                <w:szCs w:val="18"/>
              </w:rPr>
              <w:t>$70.83</w:t>
            </w:r>
          </w:p>
        </w:tc>
      </w:tr>
      <w:tr w:rsidR="00105526" w:rsidRPr="009D0A4A" w14:paraId="7948FF98" w14:textId="77777777" w:rsidTr="00FA6EE6">
        <w:trPr>
          <w:trHeight w:val="159"/>
        </w:trPr>
        <w:tc>
          <w:tcPr>
            <w:tcW w:w="1148"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2B3738DF" w14:textId="77777777" w:rsidR="00105526" w:rsidRPr="009D0A4A" w:rsidRDefault="00105526" w:rsidP="007D074A">
            <w:pPr>
              <w:pStyle w:val="EYBulletnoparaspace"/>
              <w:numPr>
                <w:ilvl w:val="0"/>
                <w:numId w:val="0"/>
              </w:numPr>
              <w:spacing w:before="60" w:afterLines="60" w:after="144"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Tunnelling</w:t>
            </w:r>
          </w:p>
        </w:tc>
        <w:tc>
          <w:tcPr>
            <w:tcW w:w="1217"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008D9417" w14:textId="215E4978" w:rsidR="00105526" w:rsidRPr="009D0A4A" w:rsidRDefault="00105526" w:rsidP="007D074A">
            <w:pPr>
              <w:pStyle w:val="BodyText"/>
              <w:spacing w:before="60" w:afterLines="60" w:after="144"/>
              <w:ind w:left="157"/>
              <w:jc w:val="center"/>
              <w:rPr>
                <w:rFonts w:cstheme="minorHAnsi"/>
                <w:sz w:val="18"/>
                <w:szCs w:val="18"/>
              </w:rPr>
            </w:pPr>
            <w:r w:rsidRPr="009D0A4A">
              <w:rPr>
                <w:rFonts w:cstheme="minorHAnsi"/>
                <w:sz w:val="18"/>
                <w:szCs w:val="18"/>
              </w:rPr>
              <w:t>$</w:t>
            </w:r>
            <w:r w:rsidRPr="009D0A4A">
              <w:rPr>
                <w:sz w:val="18"/>
                <w:szCs w:val="18"/>
              </w:rPr>
              <w:t>1</w:t>
            </w:r>
            <w:r w:rsidR="00F102DE" w:rsidRPr="009D0A4A">
              <w:rPr>
                <w:sz w:val="18"/>
                <w:szCs w:val="18"/>
              </w:rPr>
              <w:t>,</w:t>
            </w:r>
            <w:r w:rsidRPr="009D0A4A">
              <w:rPr>
                <w:sz w:val="18"/>
                <w:szCs w:val="18"/>
              </w:rPr>
              <w:t>734.10</w:t>
            </w:r>
          </w:p>
        </w:tc>
        <w:tc>
          <w:tcPr>
            <w:tcW w:w="1233"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5276D7FF" w14:textId="77777777" w:rsidR="00105526" w:rsidRPr="009D0A4A" w:rsidRDefault="00105526" w:rsidP="007D074A">
            <w:pPr>
              <w:pStyle w:val="BodyText"/>
              <w:spacing w:before="60" w:afterLines="60" w:after="144"/>
              <w:ind w:left="157"/>
              <w:jc w:val="center"/>
              <w:rPr>
                <w:rFonts w:cstheme="minorHAnsi"/>
                <w:sz w:val="18"/>
                <w:szCs w:val="18"/>
              </w:rPr>
            </w:pPr>
            <w:r w:rsidRPr="009D0A4A">
              <w:rPr>
                <w:rFonts w:cstheme="minorHAnsi"/>
                <w:sz w:val="18"/>
                <w:szCs w:val="18"/>
              </w:rPr>
              <w:t>3</w:t>
            </w:r>
            <w:r w:rsidRPr="009D0A4A">
              <w:rPr>
                <w:sz w:val="18"/>
                <w:szCs w:val="18"/>
              </w:rPr>
              <w:t>7.5</w:t>
            </w:r>
          </w:p>
        </w:tc>
        <w:tc>
          <w:tcPr>
            <w:tcW w:w="1402"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344940D5" w14:textId="77777777" w:rsidR="00105526" w:rsidRPr="009D0A4A" w:rsidRDefault="00105526" w:rsidP="007D074A">
            <w:pPr>
              <w:pStyle w:val="BodyText"/>
              <w:spacing w:before="60" w:afterLines="60" w:after="144"/>
              <w:ind w:left="157"/>
              <w:jc w:val="center"/>
              <w:rPr>
                <w:rFonts w:cstheme="minorHAnsi"/>
                <w:sz w:val="18"/>
                <w:szCs w:val="18"/>
              </w:rPr>
            </w:pPr>
            <w:r w:rsidRPr="009D0A4A">
              <w:rPr>
                <w:rFonts w:ascii="Calibri" w:hAnsi="Calibri" w:cs="Calibri"/>
                <w:sz w:val="18"/>
                <w:szCs w:val="18"/>
              </w:rPr>
              <w:t>$46.24</w:t>
            </w:r>
          </w:p>
        </w:tc>
      </w:tr>
      <w:tr w:rsidR="00105526" w:rsidRPr="009D0A4A" w14:paraId="58EADC41" w14:textId="77777777" w:rsidTr="00FA6EE6">
        <w:trPr>
          <w:trHeight w:val="159"/>
        </w:trPr>
        <w:tc>
          <w:tcPr>
            <w:tcW w:w="1148"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008270B8" w14:textId="77777777" w:rsidR="00105526" w:rsidRPr="009D0A4A" w:rsidRDefault="00105526" w:rsidP="007D074A">
            <w:pPr>
              <w:pStyle w:val="EYBulletnoparaspace"/>
              <w:numPr>
                <w:ilvl w:val="0"/>
                <w:numId w:val="0"/>
              </w:numPr>
              <w:spacing w:before="60" w:afterLines="60" w:after="144"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Demolition</w:t>
            </w:r>
          </w:p>
        </w:tc>
        <w:tc>
          <w:tcPr>
            <w:tcW w:w="1217"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272AF81F" w14:textId="3935403F" w:rsidR="00105526" w:rsidRPr="009D0A4A" w:rsidRDefault="00105526" w:rsidP="007D074A">
            <w:pPr>
              <w:pStyle w:val="BodyText"/>
              <w:spacing w:before="60" w:afterLines="60" w:after="144"/>
              <w:ind w:left="157"/>
              <w:jc w:val="center"/>
              <w:rPr>
                <w:rFonts w:cstheme="minorHAnsi"/>
                <w:sz w:val="18"/>
                <w:szCs w:val="18"/>
              </w:rPr>
            </w:pPr>
            <w:r w:rsidRPr="009D0A4A">
              <w:rPr>
                <w:rFonts w:cstheme="minorHAnsi"/>
                <w:sz w:val="18"/>
                <w:szCs w:val="18"/>
              </w:rPr>
              <w:t>$</w:t>
            </w:r>
            <w:r w:rsidRPr="009D0A4A">
              <w:rPr>
                <w:sz w:val="18"/>
                <w:szCs w:val="18"/>
              </w:rPr>
              <w:t>1</w:t>
            </w:r>
            <w:r w:rsidR="00F102DE" w:rsidRPr="009D0A4A">
              <w:rPr>
                <w:sz w:val="18"/>
                <w:szCs w:val="18"/>
              </w:rPr>
              <w:t>,</w:t>
            </w:r>
            <w:r w:rsidRPr="009D0A4A">
              <w:rPr>
                <w:sz w:val="18"/>
                <w:szCs w:val="18"/>
              </w:rPr>
              <w:t>734.10</w:t>
            </w:r>
          </w:p>
        </w:tc>
        <w:tc>
          <w:tcPr>
            <w:tcW w:w="1233"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367D765C" w14:textId="77777777" w:rsidR="00105526" w:rsidRPr="009D0A4A" w:rsidRDefault="00105526" w:rsidP="007D074A">
            <w:pPr>
              <w:pStyle w:val="BodyText"/>
              <w:spacing w:before="60" w:afterLines="60" w:after="144"/>
              <w:ind w:left="157"/>
              <w:jc w:val="center"/>
              <w:rPr>
                <w:rFonts w:cstheme="minorHAnsi"/>
                <w:sz w:val="18"/>
                <w:szCs w:val="18"/>
              </w:rPr>
            </w:pPr>
            <w:r w:rsidRPr="009D0A4A">
              <w:rPr>
                <w:rFonts w:cstheme="minorHAnsi"/>
                <w:sz w:val="18"/>
                <w:szCs w:val="18"/>
              </w:rPr>
              <w:t>3</w:t>
            </w:r>
            <w:r w:rsidRPr="009D0A4A">
              <w:rPr>
                <w:sz w:val="18"/>
                <w:szCs w:val="18"/>
              </w:rPr>
              <w:t>7.5</w:t>
            </w:r>
          </w:p>
        </w:tc>
        <w:tc>
          <w:tcPr>
            <w:tcW w:w="1402"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06327623" w14:textId="77777777" w:rsidR="00105526" w:rsidRPr="009D0A4A" w:rsidRDefault="00105526" w:rsidP="007D074A">
            <w:pPr>
              <w:pStyle w:val="BodyText"/>
              <w:spacing w:before="60" w:afterLines="60" w:after="144"/>
              <w:ind w:left="157"/>
              <w:jc w:val="center"/>
              <w:rPr>
                <w:rFonts w:cstheme="minorHAnsi"/>
                <w:sz w:val="18"/>
                <w:szCs w:val="18"/>
              </w:rPr>
            </w:pPr>
            <w:r w:rsidRPr="009D0A4A">
              <w:rPr>
                <w:rFonts w:ascii="Calibri" w:hAnsi="Calibri" w:cs="Calibri"/>
                <w:sz w:val="18"/>
                <w:szCs w:val="18"/>
              </w:rPr>
              <w:t>$46.24</w:t>
            </w:r>
          </w:p>
        </w:tc>
      </w:tr>
    </w:tbl>
    <w:p w14:paraId="25BDC8BF" w14:textId="60772DAE" w:rsidR="00105526" w:rsidRDefault="00105526" w:rsidP="00C473F8">
      <w:pPr>
        <w:jc w:val="both"/>
      </w:pPr>
      <w:r w:rsidRPr="009D0A4A">
        <w:t xml:space="preserve">Annual employee wages for SWA staff </w:t>
      </w:r>
      <w:r w:rsidR="007D074A" w:rsidRPr="009D0A4A">
        <w:t>have</w:t>
      </w:r>
      <w:r w:rsidRPr="009D0A4A">
        <w:t xml:space="preserve"> been used to estimate the average annual</w:t>
      </w:r>
      <w:r w:rsidR="00B30612" w:rsidRPr="009D0A4A">
        <w:t xml:space="preserve"> government</w:t>
      </w:r>
      <w:r w:rsidRPr="009D0A4A">
        <w:t xml:space="preserve"> labour cost for each option (as presented in</w:t>
      </w:r>
      <w:r w:rsidR="00C473F8" w:rsidRPr="009D0A4A">
        <w:t xml:space="preserve"> Table 28</w:t>
      </w:r>
      <w:r w:rsidRPr="009D0A4A">
        <w:t xml:space="preserve">). </w:t>
      </w:r>
      <w:bookmarkStart w:id="683" w:name="_Ref103851499"/>
    </w:p>
    <w:p w14:paraId="4792A71E" w14:textId="08F1AB5C" w:rsidR="0007022D" w:rsidRDefault="0007022D" w:rsidP="00C473F8">
      <w:pPr>
        <w:jc w:val="both"/>
      </w:pPr>
    </w:p>
    <w:p w14:paraId="3A478D36" w14:textId="2B838F5A" w:rsidR="0007022D" w:rsidRDefault="0007022D" w:rsidP="00C473F8">
      <w:pPr>
        <w:jc w:val="both"/>
      </w:pPr>
    </w:p>
    <w:p w14:paraId="711F3B25" w14:textId="0BF14C17" w:rsidR="0007022D" w:rsidRDefault="0007022D" w:rsidP="00C473F8">
      <w:pPr>
        <w:jc w:val="both"/>
      </w:pPr>
    </w:p>
    <w:p w14:paraId="4300C37B" w14:textId="77777777" w:rsidR="0007022D" w:rsidRPr="009D0A4A" w:rsidRDefault="0007022D" w:rsidP="00C473F8">
      <w:pPr>
        <w:jc w:val="both"/>
      </w:pPr>
    </w:p>
    <w:p w14:paraId="7CCB0533" w14:textId="70CDAB7E" w:rsidR="00105526" w:rsidRPr="009D0A4A" w:rsidRDefault="00105526" w:rsidP="00105526">
      <w:pPr>
        <w:rPr>
          <w:rFonts w:asciiTheme="majorHAnsi" w:hAnsiTheme="majorHAnsi"/>
          <w:b/>
          <w:iCs/>
          <w:noProof/>
          <w:color w:val="014463" w:themeColor="text2"/>
          <w:szCs w:val="18"/>
        </w:rPr>
      </w:pPr>
      <w:bookmarkStart w:id="684" w:name="_Ref105773225"/>
      <w:r w:rsidRPr="009D0A4A">
        <w:rPr>
          <w:rFonts w:asciiTheme="majorHAnsi" w:hAnsiTheme="majorHAnsi"/>
          <w:b/>
          <w:iCs/>
          <w:noProof/>
          <w:color w:val="014463" w:themeColor="text2"/>
          <w:szCs w:val="18"/>
        </w:rPr>
        <w:lastRenderedPageBreak/>
        <w:t xml:space="preserve">Table </w:t>
      </w:r>
      <w:bookmarkEnd w:id="683"/>
      <w:bookmarkEnd w:id="684"/>
      <w:r w:rsidR="00C473F8" w:rsidRPr="009D0A4A">
        <w:rPr>
          <w:rFonts w:asciiTheme="majorHAnsi" w:hAnsiTheme="majorHAnsi"/>
          <w:b/>
          <w:iCs/>
          <w:noProof/>
          <w:color w:val="014463" w:themeColor="text2"/>
          <w:szCs w:val="18"/>
        </w:rPr>
        <w:t>28</w:t>
      </w:r>
      <w:r w:rsidRPr="009D0A4A">
        <w:rPr>
          <w:rFonts w:asciiTheme="majorHAnsi" w:hAnsiTheme="majorHAnsi"/>
          <w:b/>
          <w:iCs/>
          <w:noProof/>
          <w:color w:val="014463" w:themeColor="text2"/>
          <w:szCs w:val="18"/>
        </w:rPr>
        <w:t xml:space="preserve">: </w:t>
      </w:r>
      <w:r w:rsidR="007C4FA8" w:rsidRPr="009D0A4A">
        <w:rPr>
          <w:rFonts w:asciiTheme="majorHAnsi" w:hAnsiTheme="majorHAnsi"/>
          <w:b/>
          <w:iCs/>
          <w:noProof/>
          <w:color w:val="014463" w:themeColor="text2"/>
          <w:szCs w:val="18"/>
        </w:rPr>
        <w:t>Government e</w:t>
      </w:r>
      <w:r w:rsidRPr="009D0A4A">
        <w:rPr>
          <w:rFonts w:asciiTheme="majorHAnsi" w:hAnsiTheme="majorHAnsi"/>
          <w:b/>
          <w:iCs/>
          <w:noProof/>
          <w:color w:val="014463" w:themeColor="text2"/>
          <w:szCs w:val="18"/>
        </w:rPr>
        <w:t xml:space="preserve">mployee </w:t>
      </w:r>
      <w:r w:rsidR="000D5484" w:rsidRPr="009D0A4A">
        <w:rPr>
          <w:rFonts w:asciiTheme="majorHAnsi" w:hAnsiTheme="majorHAnsi"/>
          <w:b/>
          <w:iCs/>
          <w:noProof/>
          <w:color w:val="014463" w:themeColor="text2"/>
          <w:szCs w:val="18"/>
        </w:rPr>
        <w:t>salaries</w:t>
      </w:r>
      <w:r w:rsidRPr="009D0A4A">
        <w:rPr>
          <w:rFonts w:asciiTheme="majorHAnsi" w:hAnsiTheme="majorHAnsi"/>
          <w:b/>
          <w:iCs/>
          <w:noProof/>
          <w:color w:val="014463" w:themeColor="text2"/>
          <w:szCs w:val="18"/>
        </w:rPr>
        <w:t xml:space="preserve"> </w:t>
      </w:r>
      <w:r w:rsidR="00F21178" w:rsidRPr="009D0A4A">
        <w:rPr>
          <w:rFonts w:asciiTheme="majorHAnsi" w:hAnsiTheme="majorHAnsi"/>
          <w:b/>
          <w:iCs/>
          <w:noProof/>
          <w:color w:val="014463" w:themeColor="text2"/>
          <w:szCs w:val="18"/>
        </w:rPr>
        <w:fldChar w:fldCharType="begin"/>
      </w:r>
      <w:r w:rsidR="004067E3">
        <w:rPr>
          <w:rFonts w:asciiTheme="majorHAnsi" w:hAnsiTheme="majorHAnsi"/>
          <w:b/>
          <w:iCs/>
          <w:noProof/>
          <w:color w:val="014463" w:themeColor="text2"/>
          <w:szCs w:val="18"/>
        </w:rPr>
        <w:instrText xml:space="preserve"> ADDIN ZOTERO_ITEM CSL_CITATION {"citationID":"CGgwE0JG","properties":{"formattedCitation":"(Safe Work Australia 2022d)","plainCitation":"(Safe Work Australia 2022d)","noteIndex":0},"citationItems":[{"id":915,"uris":["http://zotero.org/users/6230888/items/YW9R5HBF"],"itemData":{"id":915,"type":"report","title":"Public Service (Subsection 24(1)—Safe Work Australia Non-SES Employees) Determination 2022","URL":"https://www.safeworkaustralia.gov.au/doc/public-service-subsection-241-safe-work-australia-non-ses-employees-determination-2022","author":[{"literal":"Safe Work Australia"}],"accessed":{"date-parts":[["2022",6,30]]},"issued":{"date-parts":[["2022"]]}}}],"schema":"https://github.com/citation-style-language/schema/raw/master/csl-citation.json"} </w:instrText>
      </w:r>
      <w:r w:rsidR="00F21178" w:rsidRPr="009D0A4A">
        <w:rPr>
          <w:rFonts w:asciiTheme="majorHAnsi" w:hAnsiTheme="majorHAnsi"/>
          <w:b/>
          <w:iCs/>
          <w:noProof/>
          <w:color w:val="014463" w:themeColor="text2"/>
          <w:szCs w:val="18"/>
        </w:rPr>
        <w:fldChar w:fldCharType="separate"/>
      </w:r>
      <w:r w:rsidR="006B4A7D" w:rsidRPr="009D0A4A">
        <w:rPr>
          <w:rFonts w:asciiTheme="majorHAnsi" w:hAnsiTheme="majorHAnsi"/>
          <w:b/>
          <w:iCs/>
          <w:noProof/>
          <w:color w:val="014463" w:themeColor="text2"/>
          <w:szCs w:val="18"/>
        </w:rPr>
        <w:t>(Safe Work Australia 2022d)</w:t>
      </w:r>
      <w:r w:rsidR="00F21178" w:rsidRPr="009D0A4A">
        <w:rPr>
          <w:rFonts w:asciiTheme="majorHAnsi" w:hAnsiTheme="majorHAnsi"/>
          <w:b/>
          <w:iCs/>
          <w:noProof/>
          <w:color w:val="014463" w:themeColor="text2"/>
          <w:szCs w:val="18"/>
        </w:rPr>
        <w:fldChar w:fldCharType="end"/>
      </w:r>
    </w:p>
    <w:tbl>
      <w:tblPr>
        <w:tblW w:w="5000" w:type="pct"/>
        <w:tblBorders>
          <w:left w:val="single" w:sz="8" w:space="0" w:color="D9D9D9"/>
          <w:bottom w:val="single" w:sz="8" w:space="0" w:color="D9D9D9"/>
          <w:right w:val="single" w:sz="8" w:space="0" w:color="D9D9D9"/>
          <w:insideH w:val="single" w:sz="8" w:space="0" w:color="D9D9D9"/>
          <w:insideV w:val="single" w:sz="8" w:space="0" w:color="D9D9D9"/>
        </w:tblBorders>
        <w:tblCellMar>
          <w:left w:w="0" w:type="dxa"/>
          <w:right w:w="0" w:type="dxa"/>
        </w:tblCellMar>
        <w:tblLook w:val="0420" w:firstRow="1" w:lastRow="0" w:firstColumn="0" w:lastColumn="0" w:noHBand="0" w:noVBand="1"/>
      </w:tblPr>
      <w:tblGrid>
        <w:gridCol w:w="4943"/>
        <w:gridCol w:w="5241"/>
      </w:tblGrid>
      <w:tr w:rsidR="00105526" w:rsidRPr="009D0A4A" w14:paraId="416B05E6" w14:textId="77777777" w:rsidTr="005C63D9">
        <w:trPr>
          <w:trHeight w:val="159"/>
          <w:tblHeader/>
        </w:trPr>
        <w:tc>
          <w:tcPr>
            <w:tcW w:w="2427" w:type="pct"/>
            <w:tcBorders>
              <w:top w:val="nil"/>
              <w:left w:val="single" w:sz="8" w:space="0" w:color="D9D9D9"/>
              <w:bottom w:val="single" w:sz="8" w:space="0" w:color="D9D9D9"/>
              <w:right w:val="single" w:sz="8" w:space="0" w:color="D9D9D9"/>
            </w:tcBorders>
            <w:shd w:val="clear" w:color="auto" w:fill="D9D9D9" w:themeFill="background1" w:themeFillShade="D9"/>
            <w:tcMar>
              <w:top w:w="72" w:type="dxa"/>
              <w:left w:w="144" w:type="dxa"/>
              <w:bottom w:w="72" w:type="dxa"/>
              <w:right w:w="144" w:type="dxa"/>
            </w:tcMar>
            <w:vAlign w:val="center"/>
            <w:hideMark/>
          </w:tcPr>
          <w:p w14:paraId="1393701D" w14:textId="77777777" w:rsidR="00105526" w:rsidRPr="009D0A4A" w:rsidRDefault="00105526" w:rsidP="00FA6EE6">
            <w:pPr>
              <w:pStyle w:val="EYBulletnoparaspace"/>
              <w:numPr>
                <w:ilvl w:val="0"/>
                <w:numId w:val="0"/>
              </w:numPr>
              <w:spacing w:after="0" w:line="264" w:lineRule="auto"/>
              <w:rPr>
                <w:rStyle w:val="Strong"/>
                <w:rFonts w:asciiTheme="majorHAnsi" w:hAnsiTheme="majorHAnsi" w:cstheme="minorHAnsi"/>
                <w:color w:val="262626" w:themeColor="text1" w:themeTint="D9"/>
                <w:sz w:val="18"/>
                <w:szCs w:val="22"/>
              </w:rPr>
            </w:pPr>
            <w:r w:rsidRPr="009D0A4A">
              <w:rPr>
                <w:rStyle w:val="Strong"/>
                <w:rFonts w:asciiTheme="majorHAnsi" w:hAnsiTheme="majorHAnsi" w:cstheme="minorHAnsi"/>
                <w:color w:val="262626" w:themeColor="text1" w:themeTint="D9"/>
                <w:sz w:val="18"/>
                <w:szCs w:val="22"/>
              </w:rPr>
              <w:t xml:space="preserve">Industry </w:t>
            </w:r>
            <w:r w:rsidRPr="009D0A4A">
              <w:rPr>
                <w:rStyle w:val="Strong"/>
                <w:rFonts w:asciiTheme="majorHAnsi" w:hAnsiTheme="majorHAnsi" w:cstheme="minorHAnsi"/>
                <w:sz w:val="18"/>
                <w:szCs w:val="22"/>
              </w:rPr>
              <w:t>category</w:t>
            </w:r>
          </w:p>
        </w:tc>
        <w:tc>
          <w:tcPr>
            <w:tcW w:w="2573" w:type="pct"/>
            <w:tcBorders>
              <w:top w:val="nil"/>
              <w:left w:val="single" w:sz="8" w:space="0" w:color="D9D9D9"/>
              <w:bottom w:val="single" w:sz="8" w:space="0" w:color="D9D9D9"/>
              <w:right w:val="single" w:sz="8" w:space="0" w:color="D9D9D9"/>
            </w:tcBorders>
            <w:shd w:val="clear" w:color="auto" w:fill="D9D9D9" w:themeFill="background1" w:themeFillShade="D9"/>
            <w:hideMark/>
          </w:tcPr>
          <w:p w14:paraId="1A40C24F" w14:textId="77777777" w:rsidR="00105526" w:rsidRPr="009D0A4A" w:rsidRDefault="00105526" w:rsidP="00FA6EE6">
            <w:pPr>
              <w:pStyle w:val="EYBulletnoparaspace"/>
              <w:numPr>
                <w:ilvl w:val="0"/>
                <w:numId w:val="0"/>
              </w:numPr>
              <w:spacing w:after="0" w:line="264" w:lineRule="auto"/>
              <w:ind w:left="145"/>
              <w:rPr>
                <w:rStyle w:val="Strong"/>
                <w:rFonts w:asciiTheme="majorHAnsi" w:hAnsiTheme="majorHAnsi" w:cstheme="minorHAnsi"/>
                <w:color w:val="262626" w:themeColor="text1" w:themeTint="D9"/>
                <w:sz w:val="18"/>
                <w:szCs w:val="22"/>
              </w:rPr>
            </w:pPr>
            <w:r w:rsidRPr="009D0A4A">
              <w:rPr>
                <w:rStyle w:val="Strong"/>
                <w:rFonts w:asciiTheme="majorHAnsi" w:hAnsiTheme="majorHAnsi" w:cstheme="minorHAnsi"/>
                <w:sz w:val="18"/>
                <w:szCs w:val="22"/>
              </w:rPr>
              <w:t>Average annual salary ($)</w:t>
            </w:r>
          </w:p>
        </w:tc>
      </w:tr>
      <w:tr w:rsidR="00873A6F" w:rsidRPr="009D0A4A" w14:paraId="1179AD25" w14:textId="77777777" w:rsidTr="005C63D9">
        <w:trPr>
          <w:trHeight w:val="391"/>
        </w:trPr>
        <w:tc>
          <w:tcPr>
            <w:tcW w:w="2427"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41CE210C" w14:textId="12B21A87" w:rsidR="00873A6F" w:rsidRPr="009D0A4A" w:rsidRDefault="00873A6F" w:rsidP="00873A6F">
            <w:pPr>
              <w:pStyle w:val="EYBulletnoparaspace"/>
              <w:numPr>
                <w:ilvl w:val="0"/>
                <w:numId w:val="0"/>
              </w:numPr>
              <w:spacing w:before="60" w:afterLines="60" w:after="144" w:line="264" w:lineRule="auto"/>
              <w:rPr>
                <w:i/>
                <w:iCs/>
                <w:sz w:val="18"/>
                <w:szCs w:val="18"/>
              </w:rPr>
            </w:pPr>
            <w:r w:rsidRPr="009D0A4A">
              <w:rPr>
                <w:rFonts w:asciiTheme="minorHAnsi" w:hAnsiTheme="minorHAnsi" w:cstheme="minorHAnsi"/>
                <w:i/>
                <w:iCs/>
                <w:sz w:val="18"/>
                <w:szCs w:val="18"/>
              </w:rPr>
              <w:t>APS 6 or equivalent</w:t>
            </w:r>
          </w:p>
        </w:tc>
        <w:tc>
          <w:tcPr>
            <w:tcW w:w="2573"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1BD690B2" w14:textId="6D8EC331" w:rsidR="00873A6F" w:rsidRPr="009D0A4A" w:rsidRDefault="00873A6F" w:rsidP="00873A6F">
            <w:pPr>
              <w:pStyle w:val="BodyText"/>
              <w:spacing w:before="60" w:afterLines="60" w:after="144"/>
              <w:ind w:left="157"/>
              <w:jc w:val="center"/>
              <w:rPr>
                <w:rFonts w:cstheme="minorHAnsi"/>
                <w:sz w:val="18"/>
                <w:szCs w:val="18"/>
              </w:rPr>
            </w:pPr>
            <w:r w:rsidRPr="009D0A4A">
              <w:rPr>
                <w:rFonts w:cstheme="minorHAnsi"/>
                <w:sz w:val="18"/>
                <w:szCs w:val="18"/>
              </w:rPr>
              <w:t>$94,966</w:t>
            </w:r>
          </w:p>
        </w:tc>
      </w:tr>
      <w:tr w:rsidR="00873A6F" w:rsidRPr="009D0A4A" w14:paraId="18E94432" w14:textId="77777777" w:rsidTr="005C63D9">
        <w:trPr>
          <w:trHeight w:val="159"/>
        </w:trPr>
        <w:tc>
          <w:tcPr>
            <w:tcW w:w="2427"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03F42BED" w14:textId="06B23BDC" w:rsidR="00873A6F" w:rsidRPr="009D0A4A" w:rsidRDefault="00873A6F" w:rsidP="00873A6F">
            <w:pPr>
              <w:pStyle w:val="EYBulletnoparaspace"/>
              <w:numPr>
                <w:ilvl w:val="0"/>
                <w:numId w:val="0"/>
              </w:numPr>
              <w:spacing w:before="60" w:afterLines="60" w:after="144"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EL1 or equivalent</w:t>
            </w:r>
          </w:p>
        </w:tc>
        <w:tc>
          <w:tcPr>
            <w:tcW w:w="2573"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4945E183" w14:textId="13689283" w:rsidR="00873A6F" w:rsidRPr="009D0A4A" w:rsidRDefault="00873A6F" w:rsidP="00873A6F">
            <w:pPr>
              <w:pStyle w:val="BodyText"/>
              <w:spacing w:before="60" w:afterLines="60" w:after="144"/>
              <w:ind w:left="157"/>
              <w:jc w:val="center"/>
              <w:rPr>
                <w:rFonts w:cstheme="minorHAnsi"/>
                <w:sz w:val="18"/>
                <w:szCs w:val="18"/>
              </w:rPr>
            </w:pPr>
            <w:r w:rsidRPr="009D0A4A">
              <w:rPr>
                <w:rFonts w:cstheme="minorHAnsi"/>
                <w:sz w:val="18"/>
                <w:szCs w:val="18"/>
              </w:rPr>
              <w:t>$118,733</w:t>
            </w:r>
          </w:p>
        </w:tc>
      </w:tr>
      <w:tr w:rsidR="00873A6F" w:rsidRPr="009D0A4A" w14:paraId="37487595" w14:textId="77777777" w:rsidTr="005C63D9">
        <w:trPr>
          <w:trHeight w:val="159"/>
        </w:trPr>
        <w:tc>
          <w:tcPr>
            <w:tcW w:w="2427" w:type="pct"/>
            <w:tcBorders>
              <w:top w:val="single" w:sz="8" w:space="0" w:color="D9D9D9"/>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47E9F154" w14:textId="21604C87" w:rsidR="00873A6F" w:rsidRPr="009D0A4A" w:rsidRDefault="00873A6F" w:rsidP="00873A6F">
            <w:pPr>
              <w:pStyle w:val="EYBulletnoparaspace"/>
              <w:numPr>
                <w:ilvl w:val="0"/>
                <w:numId w:val="0"/>
              </w:numPr>
              <w:spacing w:before="60" w:afterLines="60" w:after="144"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EL2 or equivalent</w:t>
            </w:r>
          </w:p>
        </w:tc>
        <w:tc>
          <w:tcPr>
            <w:tcW w:w="2573" w:type="pct"/>
            <w:tcBorders>
              <w:top w:val="single" w:sz="8" w:space="0" w:color="D9D9D9"/>
              <w:left w:val="single" w:sz="8" w:space="0" w:color="D9D9D9"/>
              <w:bottom w:val="single" w:sz="8" w:space="0" w:color="D9D9D9"/>
              <w:right w:val="single" w:sz="8" w:space="0" w:color="D9D9D9"/>
            </w:tcBorders>
            <w:shd w:val="clear" w:color="auto" w:fill="FFFFFF" w:themeFill="background1"/>
            <w:hideMark/>
          </w:tcPr>
          <w:p w14:paraId="74DC0212" w14:textId="2DC96FB3" w:rsidR="00873A6F" w:rsidRPr="009D0A4A" w:rsidRDefault="00873A6F" w:rsidP="00873A6F">
            <w:pPr>
              <w:pStyle w:val="BodyText"/>
              <w:spacing w:before="60" w:afterLines="60" w:after="144"/>
              <w:ind w:left="157"/>
              <w:jc w:val="center"/>
              <w:rPr>
                <w:rFonts w:cstheme="minorHAnsi"/>
                <w:sz w:val="18"/>
                <w:szCs w:val="18"/>
              </w:rPr>
            </w:pPr>
            <w:r w:rsidRPr="009D0A4A">
              <w:rPr>
                <w:rFonts w:cstheme="minorHAnsi"/>
                <w:sz w:val="18"/>
                <w:szCs w:val="18"/>
              </w:rPr>
              <w:t>$149,595</w:t>
            </w:r>
          </w:p>
        </w:tc>
      </w:tr>
    </w:tbl>
    <w:p w14:paraId="71D3B782" w14:textId="666FA40D" w:rsidR="00105526" w:rsidRPr="009D0A4A" w:rsidRDefault="00B73109" w:rsidP="00B73109">
      <w:pPr>
        <w:pStyle w:val="Heading3"/>
        <w:numPr>
          <w:ilvl w:val="0"/>
          <w:numId w:val="0"/>
        </w:numPr>
        <w:ind w:left="1021" w:hanging="1021"/>
      </w:pPr>
      <w:r w:rsidRPr="009D0A4A">
        <w:t>M</w:t>
      </w:r>
      <w:r w:rsidR="00105526" w:rsidRPr="009D0A4A">
        <w:t>ethodology</w:t>
      </w:r>
    </w:p>
    <w:p w14:paraId="1A089FDC" w14:textId="6711CBD1" w:rsidR="00105526" w:rsidRPr="009D0A4A" w:rsidRDefault="00105526" w:rsidP="00145349">
      <w:pPr>
        <w:pStyle w:val="BodyText"/>
        <w:jc w:val="both"/>
        <w:rPr>
          <w:rFonts w:cstheme="minorHAnsi"/>
        </w:rPr>
      </w:pPr>
      <w:r w:rsidRPr="009D0A4A">
        <w:t xml:space="preserve">The methodology and underlying assumptions used to estimate the total costs to industry and government for each option are presented in </w:t>
      </w:r>
      <w:r w:rsidR="00C64F37" w:rsidRPr="009D0A4A">
        <w:t xml:space="preserve">Tables </w:t>
      </w:r>
      <w:r w:rsidR="00C473F8" w:rsidRPr="009D0A4A">
        <w:t xml:space="preserve">29 </w:t>
      </w:r>
      <w:r w:rsidR="00C64F37" w:rsidRPr="009D0A4A">
        <w:t xml:space="preserve">and </w:t>
      </w:r>
      <w:r w:rsidR="00C473F8" w:rsidRPr="009D0A4A">
        <w:t>30</w:t>
      </w:r>
      <w:r w:rsidRPr="009D0A4A">
        <w:t xml:space="preserve">.  </w:t>
      </w:r>
    </w:p>
    <w:p w14:paraId="71B397C7" w14:textId="05F9F785" w:rsidR="00105526" w:rsidRPr="009D0A4A" w:rsidRDefault="00105526" w:rsidP="00105526">
      <w:pPr>
        <w:pStyle w:val="Caption"/>
      </w:pPr>
      <w:bookmarkStart w:id="685" w:name="_Ref105771895"/>
      <w:r w:rsidRPr="009D0A4A">
        <w:t xml:space="preserve">Table </w:t>
      </w:r>
      <w:bookmarkEnd w:id="685"/>
      <w:r w:rsidR="00C473F8" w:rsidRPr="009D0A4A">
        <w:t>29</w:t>
      </w:r>
      <w:r w:rsidRPr="009D0A4A">
        <w:t>: Additional cost to industry</w:t>
      </w:r>
      <w:r w:rsidR="00D14CC1" w:rsidRPr="009D0A4A">
        <w:t>:</w:t>
      </w:r>
      <w:r w:rsidRPr="009D0A4A">
        <w:t xml:space="preserve"> key assumptions and cost estimate methodology </w:t>
      </w:r>
    </w:p>
    <w:tbl>
      <w:tblPr>
        <w:tblW w:w="4980" w:type="pct"/>
        <w:tblBorders>
          <w:left w:val="single" w:sz="8" w:space="0" w:color="D9D9D9"/>
          <w:bottom w:val="single" w:sz="8" w:space="0" w:color="D9D9D9"/>
          <w:right w:val="single" w:sz="8" w:space="0" w:color="D9D9D9"/>
          <w:insideH w:val="single" w:sz="8" w:space="0" w:color="D9D9D9"/>
          <w:insideV w:val="single" w:sz="8" w:space="0" w:color="D9D9D9"/>
        </w:tblBorders>
        <w:tblCellMar>
          <w:left w:w="0" w:type="dxa"/>
          <w:right w:w="0" w:type="dxa"/>
        </w:tblCellMar>
        <w:tblLook w:val="0420" w:firstRow="1" w:lastRow="0" w:firstColumn="0" w:lastColumn="0" w:noHBand="0" w:noVBand="1"/>
      </w:tblPr>
      <w:tblGrid>
        <w:gridCol w:w="1372"/>
        <w:gridCol w:w="1413"/>
        <w:gridCol w:w="1649"/>
        <w:gridCol w:w="686"/>
        <w:gridCol w:w="907"/>
        <w:gridCol w:w="1357"/>
        <w:gridCol w:w="2759"/>
      </w:tblGrid>
      <w:tr w:rsidR="00105526" w:rsidRPr="009D0A4A" w14:paraId="0C8129D7" w14:textId="77777777" w:rsidTr="00722B43">
        <w:trPr>
          <w:trHeight w:val="87"/>
          <w:tblHeader/>
        </w:trPr>
        <w:tc>
          <w:tcPr>
            <w:tcW w:w="676" w:type="pct"/>
            <w:tcBorders>
              <w:top w:val="nil"/>
              <w:left w:val="single" w:sz="8" w:space="0" w:color="D9D9D9"/>
              <w:bottom w:val="single" w:sz="8" w:space="0" w:color="D9D9D9"/>
              <w:right w:val="single" w:sz="8" w:space="0" w:color="D9D9D9"/>
            </w:tcBorders>
            <w:shd w:val="clear" w:color="auto" w:fill="D9D9D9" w:themeFill="background1" w:themeFillShade="D9"/>
            <w:tcMar>
              <w:top w:w="72" w:type="dxa"/>
              <w:left w:w="144" w:type="dxa"/>
              <w:bottom w:w="72" w:type="dxa"/>
              <w:right w:w="144" w:type="dxa"/>
            </w:tcMar>
            <w:vAlign w:val="center"/>
            <w:hideMark/>
          </w:tcPr>
          <w:p w14:paraId="11D29991" w14:textId="77777777" w:rsidR="00105526" w:rsidRPr="009D0A4A" w:rsidRDefault="00105526" w:rsidP="00FA6EE6">
            <w:pPr>
              <w:pStyle w:val="EYBulletnoparaspace"/>
              <w:numPr>
                <w:ilvl w:val="0"/>
                <w:numId w:val="0"/>
              </w:numPr>
              <w:spacing w:after="0" w:line="264" w:lineRule="auto"/>
              <w:rPr>
                <w:rStyle w:val="Strong"/>
                <w:rFonts w:asciiTheme="majorHAnsi" w:hAnsiTheme="majorHAnsi" w:cstheme="minorHAnsi"/>
                <w:color w:val="262626" w:themeColor="text1" w:themeTint="D9"/>
                <w:sz w:val="18"/>
                <w:szCs w:val="18"/>
              </w:rPr>
            </w:pPr>
            <w:r w:rsidRPr="009D0A4A">
              <w:rPr>
                <w:rStyle w:val="Strong"/>
                <w:rFonts w:asciiTheme="majorHAnsi" w:hAnsiTheme="majorHAnsi" w:cstheme="minorHAnsi"/>
                <w:color w:val="262626" w:themeColor="text1" w:themeTint="D9"/>
                <w:sz w:val="18"/>
                <w:szCs w:val="18"/>
              </w:rPr>
              <w:t>Cost assumption</w:t>
            </w:r>
          </w:p>
        </w:tc>
        <w:tc>
          <w:tcPr>
            <w:tcW w:w="697" w:type="pct"/>
            <w:tcBorders>
              <w:top w:val="nil"/>
              <w:left w:val="single" w:sz="8" w:space="0" w:color="D9D9D9"/>
              <w:bottom w:val="single" w:sz="8" w:space="0" w:color="D9D9D9"/>
              <w:right w:val="single" w:sz="8" w:space="0" w:color="D9D9D9"/>
            </w:tcBorders>
            <w:shd w:val="clear" w:color="auto" w:fill="D9D9D9" w:themeFill="background1" w:themeFillShade="D9"/>
            <w:vAlign w:val="center"/>
            <w:hideMark/>
          </w:tcPr>
          <w:p w14:paraId="575A1548" w14:textId="77777777" w:rsidR="00105526" w:rsidRPr="009D0A4A" w:rsidRDefault="00105526" w:rsidP="00FA6EE6">
            <w:pPr>
              <w:pStyle w:val="EYBulletnoparaspace"/>
              <w:numPr>
                <w:ilvl w:val="0"/>
                <w:numId w:val="0"/>
              </w:numPr>
              <w:spacing w:after="0" w:line="264" w:lineRule="auto"/>
              <w:ind w:left="425" w:hanging="425"/>
              <w:jc w:val="center"/>
              <w:rPr>
                <w:rStyle w:val="Strong"/>
                <w:rFonts w:asciiTheme="majorHAnsi" w:hAnsiTheme="majorHAnsi" w:cstheme="minorHAnsi"/>
                <w:color w:val="262626" w:themeColor="text1" w:themeTint="D9"/>
                <w:sz w:val="18"/>
                <w:szCs w:val="18"/>
              </w:rPr>
            </w:pPr>
            <w:r w:rsidRPr="009D0A4A">
              <w:rPr>
                <w:rStyle w:val="Strong"/>
                <w:rFonts w:asciiTheme="majorHAnsi" w:hAnsiTheme="majorHAnsi" w:cstheme="minorHAnsi"/>
                <w:sz w:val="18"/>
                <w:szCs w:val="18"/>
              </w:rPr>
              <w:t>Description</w:t>
            </w:r>
          </w:p>
        </w:tc>
        <w:tc>
          <w:tcPr>
            <w:tcW w:w="813" w:type="pct"/>
            <w:tcBorders>
              <w:top w:val="nil"/>
              <w:left w:val="single" w:sz="8" w:space="0" w:color="D9D9D9"/>
              <w:bottom w:val="single" w:sz="8" w:space="0" w:color="D9D9D9"/>
              <w:right w:val="single" w:sz="8" w:space="0" w:color="D9D9D9"/>
            </w:tcBorders>
            <w:shd w:val="clear" w:color="auto" w:fill="D9D9D9" w:themeFill="background1" w:themeFillShade="D9"/>
            <w:vAlign w:val="center"/>
          </w:tcPr>
          <w:p w14:paraId="35EF618B" w14:textId="77777777" w:rsidR="00105526" w:rsidRPr="009D0A4A" w:rsidRDefault="00105526" w:rsidP="00FA6EE6">
            <w:pPr>
              <w:pStyle w:val="EYBulletnoparaspace"/>
              <w:numPr>
                <w:ilvl w:val="0"/>
                <w:numId w:val="0"/>
              </w:numPr>
              <w:spacing w:after="0" w:line="264" w:lineRule="auto"/>
              <w:ind w:left="144"/>
              <w:jc w:val="center"/>
              <w:rPr>
                <w:rStyle w:val="Strong"/>
                <w:rFonts w:asciiTheme="majorHAnsi" w:hAnsiTheme="majorHAnsi" w:cstheme="minorHAnsi"/>
                <w:sz w:val="18"/>
                <w:szCs w:val="18"/>
              </w:rPr>
            </w:pPr>
            <w:r w:rsidRPr="009D0A4A">
              <w:rPr>
                <w:rStyle w:val="Strong"/>
                <w:rFonts w:asciiTheme="majorHAnsi" w:hAnsiTheme="majorHAnsi" w:cstheme="minorHAnsi"/>
                <w:sz w:val="18"/>
                <w:szCs w:val="18"/>
              </w:rPr>
              <w:t>Variable</w:t>
            </w:r>
          </w:p>
        </w:tc>
        <w:tc>
          <w:tcPr>
            <w:tcW w:w="1454" w:type="pct"/>
            <w:gridSpan w:val="3"/>
            <w:tcBorders>
              <w:top w:val="nil"/>
              <w:left w:val="single" w:sz="8" w:space="0" w:color="D9D9D9"/>
              <w:bottom w:val="single" w:sz="8" w:space="0" w:color="D9D9D9"/>
              <w:right w:val="single" w:sz="8" w:space="0" w:color="D9D9D9"/>
            </w:tcBorders>
            <w:shd w:val="clear" w:color="auto" w:fill="D9D9D9" w:themeFill="background1" w:themeFillShade="D9"/>
            <w:vAlign w:val="center"/>
          </w:tcPr>
          <w:p w14:paraId="3B7DEB09" w14:textId="77777777" w:rsidR="00105526" w:rsidRPr="009D0A4A" w:rsidRDefault="00105526" w:rsidP="00FA6EE6">
            <w:pPr>
              <w:pStyle w:val="EYBulletnoparaspace"/>
              <w:numPr>
                <w:ilvl w:val="0"/>
                <w:numId w:val="0"/>
              </w:numPr>
              <w:spacing w:after="0" w:line="264" w:lineRule="auto"/>
              <w:ind w:left="144"/>
              <w:jc w:val="center"/>
              <w:rPr>
                <w:rStyle w:val="Strong"/>
                <w:rFonts w:asciiTheme="majorHAnsi" w:hAnsiTheme="majorHAnsi" w:cstheme="minorHAnsi"/>
                <w:sz w:val="18"/>
                <w:szCs w:val="18"/>
              </w:rPr>
            </w:pPr>
            <w:r w:rsidRPr="009D0A4A">
              <w:rPr>
                <w:rStyle w:val="Strong"/>
                <w:rFonts w:asciiTheme="majorHAnsi" w:hAnsiTheme="majorHAnsi" w:cstheme="minorHAnsi"/>
                <w:sz w:val="18"/>
                <w:szCs w:val="18"/>
              </w:rPr>
              <w:t>Input/assumption</w:t>
            </w:r>
          </w:p>
        </w:tc>
        <w:tc>
          <w:tcPr>
            <w:tcW w:w="1360" w:type="pct"/>
            <w:tcBorders>
              <w:top w:val="nil"/>
              <w:left w:val="single" w:sz="8" w:space="0" w:color="D9D9D9"/>
              <w:bottom w:val="single" w:sz="8" w:space="0" w:color="D9D9D9"/>
              <w:right w:val="single" w:sz="8" w:space="0" w:color="D9D9D9"/>
            </w:tcBorders>
            <w:shd w:val="clear" w:color="auto" w:fill="D9D9D9" w:themeFill="background1" w:themeFillShade="D9"/>
            <w:vAlign w:val="center"/>
            <w:hideMark/>
          </w:tcPr>
          <w:p w14:paraId="68AE946E" w14:textId="3A0BF0BD" w:rsidR="00105526" w:rsidRPr="009D0A4A" w:rsidRDefault="00E8481C" w:rsidP="00FA6EE6">
            <w:pPr>
              <w:pStyle w:val="EYBulletnoparaspace"/>
              <w:numPr>
                <w:ilvl w:val="0"/>
                <w:numId w:val="0"/>
              </w:numPr>
              <w:spacing w:after="0" w:line="264" w:lineRule="auto"/>
              <w:ind w:left="144"/>
              <w:jc w:val="center"/>
              <w:rPr>
                <w:rStyle w:val="Strong"/>
                <w:rFonts w:asciiTheme="majorHAnsi" w:hAnsiTheme="majorHAnsi" w:cstheme="minorHAnsi"/>
                <w:color w:val="262626" w:themeColor="text1" w:themeTint="D9"/>
                <w:sz w:val="18"/>
                <w:szCs w:val="18"/>
              </w:rPr>
            </w:pPr>
            <w:r w:rsidRPr="009D0A4A">
              <w:rPr>
                <w:rStyle w:val="Strong"/>
                <w:rFonts w:asciiTheme="majorHAnsi" w:hAnsiTheme="majorHAnsi" w:cstheme="minorHAnsi"/>
                <w:sz w:val="18"/>
                <w:szCs w:val="18"/>
              </w:rPr>
              <w:t>Formula</w:t>
            </w:r>
          </w:p>
        </w:tc>
      </w:tr>
      <w:tr w:rsidR="00105526" w:rsidRPr="009D0A4A" w14:paraId="670DAC6E" w14:textId="77777777" w:rsidTr="00FA6EE6">
        <w:trPr>
          <w:trHeight w:val="275"/>
        </w:trPr>
        <w:tc>
          <w:tcPr>
            <w:tcW w:w="5000" w:type="pct"/>
            <w:gridSpan w:val="7"/>
            <w:tcBorders>
              <w:top w:val="single" w:sz="8" w:space="0" w:color="D9D9D9"/>
              <w:left w:val="single" w:sz="8" w:space="0" w:color="D9D9D9"/>
              <w:bottom w:val="single" w:sz="8" w:space="0" w:color="D9D9D9"/>
              <w:right w:val="single" w:sz="8" w:space="0" w:color="D9D9D9"/>
            </w:tcBorders>
            <w:shd w:val="clear" w:color="auto" w:fill="BFBFBF" w:themeFill="background1" w:themeFillShade="BF"/>
            <w:tcMar>
              <w:top w:w="72" w:type="dxa"/>
              <w:left w:w="144" w:type="dxa"/>
              <w:bottom w:w="72" w:type="dxa"/>
              <w:right w:w="144" w:type="dxa"/>
            </w:tcMar>
            <w:vAlign w:val="center"/>
            <w:hideMark/>
          </w:tcPr>
          <w:p w14:paraId="522EC378" w14:textId="77777777" w:rsidR="00105526" w:rsidRPr="009D0A4A" w:rsidRDefault="00105526" w:rsidP="00FA6EE6">
            <w:pPr>
              <w:pStyle w:val="EYBulletnoparaspace"/>
              <w:numPr>
                <w:ilvl w:val="0"/>
                <w:numId w:val="0"/>
              </w:numPr>
              <w:spacing w:after="120" w:line="264" w:lineRule="auto"/>
              <w:ind w:left="425" w:right="130" w:hanging="425"/>
              <w:rPr>
                <w:rFonts w:asciiTheme="majorHAnsi" w:hAnsiTheme="majorHAnsi" w:cstheme="minorHAnsi"/>
                <w:sz w:val="18"/>
                <w:szCs w:val="18"/>
              </w:rPr>
            </w:pPr>
            <w:r w:rsidRPr="009D0A4A">
              <w:rPr>
                <w:rFonts w:asciiTheme="majorHAnsi" w:hAnsiTheme="majorHAnsi" w:cstheme="minorHAnsi"/>
                <w:b/>
                <w:bCs/>
                <w:i/>
                <w:iCs/>
                <w:sz w:val="18"/>
                <w:szCs w:val="18"/>
              </w:rPr>
              <w:t>Option 4</w:t>
            </w:r>
          </w:p>
        </w:tc>
      </w:tr>
      <w:tr w:rsidR="00105526" w:rsidRPr="009D0A4A" w14:paraId="3D749235" w14:textId="77777777" w:rsidTr="00722B43">
        <w:trPr>
          <w:trHeight w:val="20"/>
        </w:trPr>
        <w:tc>
          <w:tcPr>
            <w:tcW w:w="676"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129CF000" w14:textId="3B6FBA39" w:rsidR="00105526" w:rsidRPr="009D0A4A" w:rsidRDefault="00105526" w:rsidP="00FA6EE6">
            <w:pPr>
              <w:pStyle w:val="EYBulletnoparaspace"/>
              <w:numPr>
                <w:ilvl w:val="0"/>
                <w:numId w:val="0"/>
              </w:numPr>
              <w:spacing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Licen</w:t>
            </w:r>
            <w:r w:rsidR="007C706E" w:rsidRPr="009D0A4A">
              <w:rPr>
                <w:rFonts w:asciiTheme="minorHAnsi" w:hAnsiTheme="minorHAnsi" w:cstheme="minorHAnsi"/>
                <w:i/>
                <w:iCs/>
                <w:sz w:val="18"/>
                <w:szCs w:val="18"/>
              </w:rPr>
              <w:t>c</w:t>
            </w:r>
            <w:r w:rsidRPr="009D0A4A">
              <w:rPr>
                <w:rFonts w:asciiTheme="minorHAnsi" w:hAnsiTheme="minorHAnsi" w:cstheme="minorHAnsi"/>
                <w:i/>
                <w:iCs/>
                <w:sz w:val="18"/>
                <w:szCs w:val="18"/>
              </w:rPr>
              <w:t xml:space="preserve">e application  </w:t>
            </w:r>
          </w:p>
        </w:tc>
        <w:tc>
          <w:tcPr>
            <w:tcW w:w="697" w:type="pct"/>
            <w:vMerge w:val="restart"/>
            <w:tcBorders>
              <w:top w:val="single" w:sz="8" w:space="0" w:color="D9D9D9"/>
              <w:left w:val="single" w:sz="8" w:space="0" w:color="D9D9D9"/>
              <w:right w:val="single" w:sz="8" w:space="0" w:color="D9D9D9"/>
            </w:tcBorders>
            <w:shd w:val="clear" w:color="auto" w:fill="FFFFFF" w:themeFill="background1"/>
            <w:hideMark/>
          </w:tcPr>
          <w:p w14:paraId="29AFE307" w14:textId="4847F306" w:rsidR="00105526" w:rsidRPr="009D0A4A" w:rsidRDefault="00105526" w:rsidP="00FA6EE6">
            <w:pPr>
              <w:pStyle w:val="BodyText"/>
              <w:ind w:left="157"/>
              <w:rPr>
                <w:rFonts w:cstheme="minorHAnsi"/>
                <w:color w:val="auto"/>
                <w:sz w:val="18"/>
                <w:szCs w:val="18"/>
              </w:rPr>
            </w:pPr>
            <w:r w:rsidRPr="009D0A4A">
              <w:rPr>
                <w:rFonts w:cstheme="minorHAnsi"/>
                <w:color w:val="auto"/>
                <w:sz w:val="18"/>
                <w:szCs w:val="18"/>
              </w:rPr>
              <w:t>Labour to prepare a licen</w:t>
            </w:r>
            <w:r w:rsidR="007C706E" w:rsidRPr="009D0A4A">
              <w:rPr>
                <w:rFonts w:cstheme="minorHAnsi"/>
                <w:color w:val="auto"/>
                <w:sz w:val="18"/>
                <w:szCs w:val="18"/>
              </w:rPr>
              <w:t>c</w:t>
            </w:r>
            <w:r w:rsidRPr="009D0A4A">
              <w:rPr>
                <w:rFonts w:cstheme="minorHAnsi"/>
                <w:color w:val="auto"/>
                <w:sz w:val="18"/>
                <w:szCs w:val="18"/>
              </w:rPr>
              <w:t>e application for PCBUs working with engineered stone</w:t>
            </w:r>
          </w:p>
        </w:tc>
        <w:tc>
          <w:tcPr>
            <w:tcW w:w="813" w:type="pct"/>
            <w:tcBorders>
              <w:top w:val="single" w:sz="8" w:space="0" w:color="D9D9D9"/>
              <w:left w:val="single" w:sz="8" w:space="0" w:color="D9D9D9"/>
              <w:right w:val="single" w:sz="8" w:space="0" w:color="D9D9D9"/>
            </w:tcBorders>
            <w:shd w:val="clear" w:color="auto" w:fill="FFFFFF" w:themeFill="background1"/>
            <w:vAlign w:val="center"/>
          </w:tcPr>
          <w:p w14:paraId="5BA551C4" w14:textId="0B43109D" w:rsidR="00105526" w:rsidRPr="009D0A4A" w:rsidRDefault="00105526" w:rsidP="00FA6EE6">
            <w:pPr>
              <w:pStyle w:val="EYBulletnoparaspace"/>
              <w:numPr>
                <w:ilvl w:val="0"/>
                <w:numId w:val="0"/>
              </w:numPr>
              <w:spacing w:line="264" w:lineRule="auto"/>
              <w:ind w:right="130"/>
              <w:rPr>
                <w:rFonts w:asciiTheme="minorHAnsi" w:hAnsiTheme="minorHAnsi" w:cstheme="minorHAnsi"/>
                <w:b/>
                <w:bCs/>
                <w:sz w:val="18"/>
                <w:szCs w:val="18"/>
              </w:rPr>
            </w:pPr>
            <w:r w:rsidRPr="009D0A4A">
              <w:rPr>
                <w:rFonts w:asciiTheme="minorHAnsi" w:hAnsiTheme="minorHAnsi" w:cstheme="minorHAnsi"/>
                <w:sz w:val="18"/>
                <w:szCs w:val="18"/>
              </w:rPr>
              <w:t>Number of hours to prepare licen</w:t>
            </w:r>
            <w:r w:rsidR="007C706E" w:rsidRPr="009D0A4A">
              <w:rPr>
                <w:rFonts w:asciiTheme="minorHAnsi" w:hAnsiTheme="minorHAnsi" w:cstheme="minorHAnsi"/>
                <w:sz w:val="18"/>
                <w:szCs w:val="18"/>
              </w:rPr>
              <w:t>c</w:t>
            </w:r>
            <w:r w:rsidRPr="009D0A4A">
              <w:rPr>
                <w:rFonts w:asciiTheme="minorHAnsi" w:hAnsiTheme="minorHAnsi" w:cstheme="minorHAnsi"/>
                <w:sz w:val="18"/>
                <w:szCs w:val="18"/>
              </w:rPr>
              <w:t>e application (hours)</w:t>
            </w:r>
          </w:p>
        </w:tc>
        <w:tc>
          <w:tcPr>
            <w:tcW w:w="1454" w:type="pct"/>
            <w:gridSpan w:val="3"/>
            <w:tcBorders>
              <w:top w:val="single" w:sz="8" w:space="0" w:color="D9D9D9"/>
              <w:left w:val="single" w:sz="8" w:space="0" w:color="D9D9D9"/>
              <w:right w:val="single" w:sz="8" w:space="0" w:color="D9D9D9"/>
            </w:tcBorders>
            <w:shd w:val="clear" w:color="auto" w:fill="FFFFFF" w:themeFill="background1"/>
            <w:vAlign w:val="center"/>
          </w:tcPr>
          <w:p w14:paraId="703EBE51" w14:textId="6986ACCF"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r w:rsidRPr="009D0A4A">
              <w:rPr>
                <w:rFonts w:asciiTheme="minorHAnsi" w:hAnsiTheme="minorHAnsi" w:cstheme="minorHAnsi"/>
                <w:sz w:val="18"/>
                <w:szCs w:val="18"/>
              </w:rPr>
              <w:t>18.75</w:t>
            </w:r>
            <w:r w:rsidR="001E6D84" w:rsidRPr="009D0A4A">
              <w:rPr>
                <w:rFonts w:asciiTheme="minorHAnsi" w:hAnsiTheme="minorHAnsi" w:cstheme="minorHAnsi"/>
                <w:sz w:val="18"/>
                <w:szCs w:val="18"/>
              </w:rPr>
              <w:t xml:space="preserve"> </w:t>
            </w:r>
            <w:r w:rsidR="001E6D84"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{"citationID":"16exxXBj","properties":{"formattedCitation":"(Deloitte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001E6D84" w:rsidRPr="009D0A4A">
              <w:rPr>
                <w:rFonts w:asciiTheme="minorHAnsi" w:hAnsiTheme="minorHAnsi" w:cstheme="minorHAnsi"/>
                <w:sz w:val="18"/>
                <w:szCs w:val="18"/>
              </w:rPr>
              <w:fldChar w:fldCharType="separate"/>
            </w:r>
            <w:r w:rsidR="006B4A7D" w:rsidRPr="009D0A4A">
              <w:rPr>
                <w:rFonts w:ascii="Calibri" w:hAnsi="Calibri" w:cs="Calibri"/>
                <w:sz w:val="18"/>
              </w:rPr>
              <w:t>(Deloitte 2021)</w:t>
            </w:r>
            <w:r w:rsidR="001E6D84" w:rsidRPr="009D0A4A">
              <w:rPr>
                <w:rFonts w:asciiTheme="minorHAnsi" w:hAnsiTheme="minorHAnsi" w:cstheme="minorHAnsi"/>
                <w:sz w:val="18"/>
                <w:szCs w:val="18"/>
              </w:rPr>
              <w:fldChar w:fldCharType="end"/>
            </w:r>
          </w:p>
        </w:tc>
        <w:tc>
          <w:tcPr>
            <w:tcW w:w="1360" w:type="pct"/>
            <w:vMerge w:val="restart"/>
            <w:tcBorders>
              <w:top w:val="single" w:sz="8" w:space="0" w:color="D9D9D9"/>
              <w:left w:val="single" w:sz="8" w:space="0" w:color="D9D9D9"/>
              <w:right w:val="single" w:sz="8" w:space="0" w:color="D9D9D9"/>
            </w:tcBorders>
            <w:shd w:val="clear" w:color="auto" w:fill="FFFFFF" w:themeFill="background1"/>
            <w:vAlign w:val="center"/>
            <w:hideMark/>
          </w:tcPr>
          <w:p w14:paraId="32181BC4" w14:textId="26E10BF0"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Total licen</w:t>
            </w:r>
            <w:r w:rsidR="007C706E" w:rsidRPr="009D0A4A">
              <w:rPr>
                <w:rFonts w:asciiTheme="minorHAnsi" w:hAnsiTheme="minorHAnsi" w:cstheme="minorHAnsi"/>
                <w:b/>
                <w:bCs/>
                <w:sz w:val="18"/>
                <w:szCs w:val="18"/>
              </w:rPr>
              <w:t>c</w:t>
            </w:r>
            <w:r w:rsidRPr="009D0A4A">
              <w:rPr>
                <w:rFonts w:asciiTheme="minorHAnsi" w:hAnsiTheme="minorHAnsi" w:cstheme="minorHAnsi"/>
                <w:b/>
                <w:bCs/>
                <w:sz w:val="18"/>
                <w:szCs w:val="18"/>
              </w:rPr>
              <w:t>e application cost</w:t>
            </w:r>
          </w:p>
          <w:p w14:paraId="61EE0F3C"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w:t>
            </w:r>
          </w:p>
          <w:p w14:paraId="04CB5342" w14:textId="173F60A8"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 xml:space="preserve">Number of hours to prepare </w:t>
            </w:r>
            <w:r w:rsidR="007C706E" w:rsidRPr="009D0A4A">
              <w:rPr>
                <w:rFonts w:asciiTheme="minorHAnsi" w:hAnsiTheme="minorHAnsi" w:cstheme="minorHAnsi"/>
                <w:sz w:val="18"/>
                <w:szCs w:val="18"/>
              </w:rPr>
              <w:t>licence</w:t>
            </w:r>
            <w:r w:rsidR="00C073B3" w:rsidRPr="009D0A4A">
              <w:rPr>
                <w:rFonts w:asciiTheme="minorHAnsi" w:hAnsiTheme="minorHAnsi" w:cstheme="minorHAnsi"/>
                <w:sz w:val="18"/>
                <w:szCs w:val="18"/>
              </w:rPr>
              <w:t xml:space="preserve"> </w:t>
            </w:r>
            <w:r w:rsidRPr="009D0A4A">
              <w:rPr>
                <w:rFonts w:asciiTheme="minorHAnsi" w:hAnsiTheme="minorHAnsi" w:cstheme="minorHAnsi"/>
                <w:sz w:val="18"/>
                <w:szCs w:val="18"/>
              </w:rPr>
              <w:t>application</w:t>
            </w:r>
          </w:p>
          <w:p w14:paraId="0745B205"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17CB0F49"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 xml:space="preserve">Average wage/hour </w:t>
            </w:r>
            <w:r w:rsidRPr="009D0A4A">
              <w:rPr>
                <w:rFonts w:asciiTheme="minorHAnsi" w:hAnsiTheme="minorHAnsi" w:cstheme="minorHAnsi"/>
                <w:sz w:val="18"/>
                <w:szCs w:val="18"/>
              </w:rPr>
              <w:br/>
              <w:t>×</w:t>
            </w:r>
          </w:p>
          <w:p w14:paraId="6416101A" w14:textId="77777777" w:rsidR="00105526" w:rsidRPr="009D0A4A" w:rsidRDefault="00105526" w:rsidP="00FA6EE6">
            <w:pPr>
              <w:pStyle w:val="EYBulletnoparaspace"/>
              <w:numPr>
                <w:ilvl w:val="0"/>
                <w:numId w:val="0"/>
              </w:numPr>
              <w:spacing w:after="0"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Number of PCBUs working with engineered stone in Australia</w:t>
            </w:r>
          </w:p>
        </w:tc>
      </w:tr>
      <w:tr w:rsidR="00105526" w:rsidRPr="009D0A4A" w14:paraId="3DB69C66" w14:textId="77777777" w:rsidTr="00722B43">
        <w:trPr>
          <w:trHeight w:val="2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3C19D026"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right w:val="single" w:sz="8" w:space="0" w:color="D9D9D9"/>
            </w:tcBorders>
            <w:shd w:val="clear" w:color="auto" w:fill="FFFFFF" w:themeFill="background1"/>
          </w:tcPr>
          <w:p w14:paraId="455313ED" w14:textId="77777777" w:rsidR="00105526" w:rsidRPr="009D0A4A" w:rsidRDefault="00105526" w:rsidP="00FA6EE6">
            <w:pPr>
              <w:pStyle w:val="BodyText"/>
              <w:ind w:left="157"/>
              <w:rPr>
                <w:rFonts w:cstheme="minorHAnsi"/>
                <w:color w:val="auto"/>
                <w:sz w:val="18"/>
                <w:szCs w:val="18"/>
              </w:rPr>
            </w:pPr>
          </w:p>
        </w:tc>
        <w:tc>
          <w:tcPr>
            <w:tcW w:w="813" w:type="pct"/>
            <w:tcBorders>
              <w:left w:val="single" w:sz="8" w:space="0" w:color="D9D9D9"/>
              <w:right w:val="single" w:sz="8" w:space="0" w:color="D9D9D9"/>
            </w:tcBorders>
            <w:shd w:val="clear" w:color="auto" w:fill="FFFFFF" w:themeFill="background1"/>
            <w:vAlign w:val="center"/>
          </w:tcPr>
          <w:p w14:paraId="1F3047F0" w14:textId="77777777" w:rsidR="00105526" w:rsidRPr="009D0A4A" w:rsidRDefault="00105526" w:rsidP="00FA6EE6">
            <w:pPr>
              <w:pStyle w:val="EYBulletnoparaspace"/>
              <w:numPr>
                <w:ilvl w:val="0"/>
                <w:numId w:val="0"/>
              </w:numPr>
              <w:spacing w:line="264" w:lineRule="auto"/>
              <w:ind w:left="425" w:right="130" w:hanging="425"/>
              <w:rPr>
                <w:rFonts w:asciiTheme="minorHAnsi" w:hAnsiTheme="minorHAnsi" w:cstheme="minorHAnsi"/>
                <w:b/>
                <w:bCs/>
                <w:sz w:val="18"/>
                <w:szCs w:val="18"/>
              </w:rPr>
            </w:pPr>
            <w:r w:rsidRPr="009D0A4A">
              <w:rPr>
                <w:rFonts w:asciiTheme="minorHAnsi" w:hAnsiTheme="minorHAnsi" w:cstheme="minorHAnsi"/>
                <w:sz w:val="18"/>
                <w:szCs w:val="18"/>
              </w:rPr>
              <w:t>Average wage / hour ($)</w:t>
            </w:r>
          </w:p>
        </w:tc>
        <w:tc>
          <w:tcPr>
            <w:tcW w:w="1454" w:type="pct"/>
            <w:gridSpan w:val="3"/>
            <w:tcBorders>
              <w:left w:val="single" w:sz="8" w:space="0" w:color="D9D9D9"/>
              <w:right w:val="single" w:sz="8" w:space="0" w:color="D9D9D9"/>
            </w:tcBorders>
            <w:shd w:val="clear" w:color="auto" w:fill="FFFFFF" w:themeFill="background1"/>
            <w:vAlign w:val="center"/>
          </w:tcPr>
          <w:p w14:paraId="1A4477B0" w14:textId="6ACE89CF"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r w:rsidRPr="009D0A4A">
              <w:rPr>
                <w:rFonts w:asciiTheme="minorHAnsi" w:hAnsiTheme="minorHAnsi" w:cstheme="minorHAnsi"/>
                <w:sz w:val="18"/>
                <w:szCs w:val="18"/>
              </w:rPr>
              <w:t>$46.24</w:t>
            </w:r>
            <w:r w:rsidR="001E6D84" w:rsidRPr="009D0A4A">
              <w:rPr>
                <w:rFonts w:asciiTheme="minorHAnsi" w:hAnsiTheme="minorHAnsi" w:cstheme="minorHAnsi"/>
                <w:sz w:val="18"/>
                <w:szCs w:val="18"/>
              </w:rPr>
              <w:t xml:space="preserve"> </w:t>
            </w:r>
            <w:r w:rsidR="001E6D84"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{"citationID":"LxwYWaWD","properties":{"formattedCitation":"(Australian Bureau of Statistics 2021c)","plainCitation":"(Australian Bureau of Statistics 2021c)","noteIndex":0},"citationItems":[{"id":913,"uris":["http://zotero.org/users/6230888/items/YWAVMKLE"],"itemData":{"id":913,"type":"webpage","abstract":"Estimates of weekly earnings classified by industry, sector, state and territory","language":"en","title":"Average Weekly Earnings, Australia, November 2021","URL":"https://www.abs.gov.au/statistics/labour/earnings-and-working-conditions/average-weekly-earnings-australia/latest-release","author":[{"literal":"Australian Bureau of Statistics"}],"accessed":{"date-parts":[["2022",6,30]]},"issued":{"date-parts":[["2021"]]}}}],"schema":"https://github.com/citation-style-language/schema/raw/master/csl-citation.json"} </w:instrText>
            </w:r>
            <w:r w:rsidR="001E6D84" w:rsidRPr="009D0A4A">
              <w:rPr>
                <w:rFonts w:asciiTheme="minorHAnsi" w:hAnsiTheme="minorHAnsi" w:cstheme="minorHAnsi"/>
                <w:sz w:val="18"/>
                <w:szCs w:val="18"/>
              </w:rPr>
              <w:fldChar w:fldCharType="separate"/>
            </w:r>
            <w:r w:rsidR="006B4A7D" w:rsidRPr="009D0A4A">
              <w:rPr>
                <w:rFonts w:ascii="Calibri" w:hAnsi="Calibri" w:cs="Calibri"/>
                <w:sz w:val="18"/>
              </w:rPr>
              <w:t>(Australian Bureau of Statistics 2021c)</w:t>
            </w:r>
            <w:r w:rsidR="001E6D84" w:rsidRPr="009D0A4A">
              <w:rPr>
                <w:rFonts w:asciiTheme="minorHAnsi" w:hAnsiTheme="minorHAnsi" w:cstheme="minorHAnsi"/>
                <w:sz w:val="18"/>
                <w:szCs w:val="18"/>
              </w:rPr>
              <w:fldChar w:fldCharType="end"/>
            </w:r>
          </w:p>
        </w:tc>
        <w:tc>
          <w:tcPr>
            <w:tcW w:w="1360" w:type="pct"/>
            <w:vMerge/>
            <w:tcBorders>
              <w:left w:val="single" w:sz="8" w:space="0" w:color="D9D9D9"/>
              <w:right w:val="single" w:sz="8" w:space="0" w:color="D9D9D9"/>
            </w:tcBorders>
            <w:shd w:val="clear" w:color="auto" w:fill="FFFFFF" w:themeFill="background1"/>
            <w:vAlign w:val="center"/>
          </w:tcPr>
          <w:p w14:paraId="4FB068F0"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p>
        </w:tc>
      </w:tr>
      <w:tr w:rsidR="00105526" w:rsidRPr="009D0A4A" w14:paraId="464670F4" w14:textId="77777777" w:rsidTr="00722B43">
        <w:trPr>
          <w:trHeight w:val="20"/>
        </w:trPr>
        <w:tc>
          <w:tcPr>
            <w:tcW w:w="676" w:type="pct"/>
            <w:vMerge/>
            <w:tcBorders>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219ACD66"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bottom w:val="single" w:sz="8" w:space="0" w:color="D9D9D9"/>
              <w:right w:val="single" w:sz="8" w:space="0" w:color="D9D9D9"/>
            </w:tcBorders>
            <w:shd w:val="clear" w:color="auto" w:fill="FFFFFF" w:themeFill="background1"/>
          </w:tcPr>
          <w:p w14:paraId="4AC67B73" w14:textId="77777777" w:rsidR="00105526" w:rsidRPr="009D0A4A" w:rsidRDefault="00105526" w:rsidP="00FA6EE6">
            <w:pPr>
              <w:pStyle w:val="BodyText"/>
              <w:ind w:left="157"/>
              <w:rPr>
                <w:rFonts w:cstheme="minorHAnsi"/>
                <w:color w:val="auto"/>
                <w:sz w:val="18"/>
                <w:szCs w:val="18"/>
              </w:rPr>
            </w:pPr>
          </w:p>
        </w:tc>
        <w:tc>
          <w:tcPr>
            <w:tcW w:w="813" w:type="pct"/>
            <w:tcBorders>
              <w:left w:val="single" w:sz="8" w:space="0" w:color="D9D9D9"/>
              <w:bottom w:val="single" w:sz="8" w:space="0" w:color="D9D9D9"/>
              <w:right w:val="single" w:sz="8" w:space="0" w:color="D9D9D9"/>
            </w:tcBorders>
            <w:shd w:val="clear" w:color="auto" w:fill="FFFFFF" w:themeFill="background1"/>
            <w:vAlign w:val="center"/>
          </w:tcPr>
          <w:p w14:paraId="3B7AC9DD" w14:textId="77777777" w:rsidR="00105526" w:rsidRPr="009D0A4A" w:rsidRDefault="00105526" w:rsidP="00FA6EE6">
            <w:pPr>
              <w:pStyle w:val="EYBulletnoparaspace"/>
              <w:numPr>
                <w:ilvl w:val="0"/>
                <w:numId w:val="0"/>
              </w:numPr>
              <w:spacing w:line="264" w:lineRule="auto"/>
              <w:ind w:right="130"/>
              <w:rPr>
                <w:rFonts w:asciiTheme="minorHAnsi" w:hAnsiTheme="minorHAnsi" w:cstheme="minorHAnsi"/>
                <w:b/>
                <w:bCs/>
                <w:sz w:val="18"/>
                <w:szCs w:val="18"/>
              </w:rPr>
            </w:pPr>
            <w:r w:rsidRPr="009D0A4A">
              <w:rPr>
                <w:rFonts w:asciiTheme="minorHAnsi" w:hAnsiTheme="minorHAnsi" w:cstheme="minorHAnsi"/>
                <w:sz w:val="18"/>
                <w:szCs w:val="18"/>
              </w:rPr>
              <w:t>Number of PCBUs working with engineered stone in Australia (#)</w:t>
            </w:r>
          </w:p>
        </w:tc>
        <w:tc>
          <w:tcPr>
            <w:tcW w:w="1454" w:type="pct"/>
            <w:gridSpan w:val="3"/>
            <w:tcBorders>
              <w:left w:val="single" w:sz="8" w:space="0" w:color="D9D9D9"/>
              <w:bottom w:val="single" w:sz="8" w:space="0" w:color="D9D9D9"/>
              <w:right w:val="single" w:sz="8" w:space="0" w:color="D9D9D9"/>
            </w:tcBorders>
            <w:shd w:val="clear" w:color="auto" w:fill="FFFFFF" w:themeFill="background1"/>
            <w:vAlign w:val="center"/>
          </w:tcPr>
          <w:p w14:paraId="709EEA04" w14:textId="4545AB84"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r w:rsidRPr="009D0A4A">
              <w:rPr>
                <w:rFonts w:asciiTheme="minorHAnsi" w:hAnsiTheme="minorHAnsi" w:cstheme="minorHAnsi"/>
                <w:sz w:val="18"/>
                <w:szCs w:val="18"/>
              </w:rPr>
              <w:t>1,000</w:t>
            </w:r>
            <w:r w:rsidR="005E3E32" w:rsidRPr="009D0A4A">
              <w:rPr>
                <w:rFonts w:asciiTheme="minorHAnsi" w:hAnsiTheme="minorHAnsi" w:cstheme="minorHAnsi"/>
                <w:sz w:val="18"/>
                <w:szCs w:val="18"/>
              </w:rPr>
              <w:t xml:space="preserve"> </w:t>
            </w:r>
            <w:r w:rsidR="005E3E32"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{"citationID":"yKxJtM6s","properties":{"formattedCitation":"(Australian Engineered Stone Advisory Group 2019)","plainCitation":"(Australian Engineered Stone Advisory Group 2019)","noteIndex":0},"citationItems":[{"id":918,"uris":["http://zotero.org/users/6230888/items/4WCCIQ5J"],"itemData":{"id":918,"type":"report","page":"102","title":"Members of the Australian Engineered Stone Advisory Group (AESAG) Application for authorisation to the Australian Competition and Consumer Commission (ACCC)","URL":"https://www.accc.gov.au/system/files/public-registers/documents/Australian%20Engineered%20Stone%20Advisory%20Group%20%28AESAG%29%20-%20Application%20Received%20-%2029.11.19%20-%20PR%20VERSION.pdf","author":[{"literal":"Australian Engineered Stone Advisory Group"}],"accessed":{"date-parts":[["2022",6,30]]},"issued":{"date-parts":[["2019"]]}}}],"schema":"https://github.com/citation-style-language/schema/raw/master/csl-citation.json"} </w:instrText>
            </w:r>
            <w:r w:rsidR="005E3E32" w:rsidRPr="009D0A4A">
              <w:rPr>
                <w:rFonts w:asciiTheme="minorHAnsi" w:hAnsiTheme="minorHAnsi" w:cstheme="minorHAnsi"/>
                <w:sz w:val="18"/>
                <w:szCs w:val="18"/>
              </w:rPr>
              <w:fldChar w:fldCharType="separate"/>
            </w:r>
            <w:r w:rsidR="006B4A7D" w:rsidRPr="009D0A4A">
              <w:rPr>
                <w:rFonts w:ascii="Calibri" w:hAnsi="Calibri" w:cs="Calibri"/>
                <w:sz w:val="18"/>
              </w:rPr>
              <w:t>(Australian Engineered Stone Advisory Group 2019)</w:t>
            </w:r>
            <w:r w:rsidR="005E3E32" w:rsidRPr="009D0A4A">
              <w:rPr>
                <w:rFonts w:asciiTheme="minorHAnsi" w:hAnsiTheme="minorHAnsi" w:cstheme="minorHAnsi"/>
                <w:sz w:val="18"/>
                <w:szCs w:val="18"/>
              </w:rPr>
              <w:fldChar w:fldCharType="end"/>
            </w:r>
          </w:p>
        </w:tc>
        <w:tc>
          <w:tcPr>
            <w:tcW w:w="1360" w:type="pct"/>
            <w:vMerge/>
            <w:tcBorders>
              <w:left w:val="single" w:sz="8" w:space="0" w:color="D9D9D9"/>
              <w:bottom w:val="single" w:sz="8" w:space="0" w:color="D9D9D9"/>
              <w:right w:val="single" w:sz="8" w:space="0" w:color="D9D9D9"/>
            </w:tcBorders>
            <w:shd w:val="clear" w:color="auto" w:fill="FFFFFF" w:themeFill="background1"/>
            <w:vAlign w:val="center"/>
          </w:tcPr>
          <w:p w14:paraId="1B848747"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p>
        </w:tc>
      </w:tr>
      <w:tr w:rsidR="00105526" w:rsidRPr="009D0A4A" w14:paraId="0A94E2C3" w14:textId="77777777" w:rsidTr="00722B43">
        <w:trPr>
          <w:trHeight w:val="20"/>
        </w:trPr>
        <w:tc>
          <w:tcPr>
            <w:tcW w:w="676"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17682965" w14:textId="756BBC02" w:rsidR="00105526" w:rsidRPr="009D0A4A" w:rsidRDefault="00105526" w:rsidP="00FA6EE6">
            <w:pPr>
              <w:pStyle w:val="EYBulletnoparaspace"/>
              <w:numPr>
                <w:ilvl w:val="0"/>
                <w:numId w:val="0"/>
              </w:numPr>
              <w:spacing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Licen</w:t>
            </w:r>
            <w:r w:rsidR="007C706E" w:rsidRPr="009D0A4A">
              <w:rPr>
                <w:rFonts w:asciiTheme="minorHAnsi" w:hAnsiTheme="minorHAnsi" w:cstheme="minorHAnsi"/>
                <w:i/>
                <w:iCs/>
                <w:sz w:val="18"/>
                <w:szCs w:val="18"/>
              </w:rPr>
              <w:t>c</w:t>
            </w:r>
            <w:r w:rsidRPr="009D0A4A">
              <w:rPr>
                <w:rFonts w:asciiTheme="minorHAnsi" w:hAnsiTheme="minorHAnsi" w:cstheme="minorHAnsi"/>
                <w:i/>
                <w:iCs/>
                <w:sz w:val="18"/>
                <w:szCs w:val="18"/>
              </w:rPr>
              <w:t xml:space="preserve">e fee </w:t>
            </w:r>
          </w:p>
        </w:tc>
        <w:tc>
          <w:tcPr>
            <w:tcW w:w="697" w:type="pct"/>
            <w:vMerge w:val="restart"/>
            <w:tcBorders>
              <w:top w:val="single" w:sz="8" w:space="0" w:color="D9D9D9"/>
              <w:left w:val="single" w:sz="8" w:space="0" w:color="D9D9D9"/>
              <w:right w:val="single" w:sz="8" w:space="0" w:color="D9D9D9"/>
            </w:tcBorders>
            <w:shd w:val="clear" w:color="auto" w:fill="FFFFFF" w:themeFill="background1"/>
            <w:hideMark/>
          </w:tcPr>
          <w:p w14:paraId="1208B89F" w14:textId="411894A9" w:rsidR="00105526" w:rsidRPr="009D0A4A" w:rsidRDefault="007C706E" w:rsidP="00FA6EE6">
            <w:pPr>
              <w:pStyle w:val="BodyText"/>
              <w:ind w:left="157"/>
              <w:rPr>
                <w:rFonts w:cstheme="minorHAnsi"/>
                <w:color w:val="auto"/>
                <w:sz w:val="18"/>
                <w:szCs w:val="18"/>
              </w:rPr>
            </w:pPr>
            <w:r w:rsidRPr="009D0A4A">
              <w:rPr>
                <w:rFonts w:cstheme="minorHAnsi"/>
                <w:color w:val="auto"/>
                <w:sz w:val="18"/>
                <w:szCs w:val="18"/>
              </w:rPr>
              <w:t xml:space="preserve">Licence </w:t>
            </w:r>
            <w:r w:rsidR="00105526" w:rsidRPr="009D0A4A">
              <w:rPr>
                <w:rFonts w:cstheme="minorHAnsi"/>
                <w:color w:val="auto"/>
                <w:sz w:val="18"/>
                <w:szCs w:val="18"/>
              </w:rPr>
              <w:t>fee paid by PBCUs to work with engineered stone</w:t>
            </w:r>
          </w:p>
        </w:tc>
        <w:tc>
          <w:tcPr>
            <w:tcW w:w="813" w:type="pct"/>
            <w:tcBorders>
              <w:top w:val="single" w:sz="8" w:space="0" w:color="D9D9D9"/>
              <w:left w:val="single" w:sz="8" w:space="0" w:color="D9D9D9"/>
              <w:right w:val="single" w:sz="8" w:space="0" w:color="D9D9D9"/>
            </w:tcBorders>
            <w:shd w:val="clear" w:color="auto" w:fill="FFFFFF" w:themeFill="background1"/>
            <w:vAlign w:val="center"/>
          </w:tcPr>
          <w:p w14:paraId="739F76B0" w14:textId="670BDBA7" w:rsidR="00105526" w:rsidRPr="009D0A4A" w:rsidRDefault="007C706E" w:rsidP="00FA6EE6">
            <w:pPr>
              <w:pStyle w:val="BodyText"/>
              <w:rPr>
                <w:rFonts w:cstheme="minorHAnsi"/>
                <w:b/>
                <w:bCs/>
                <w:sz w:val="18"/>
                <w:szCs w:val="18"/>
              </w:rPr>
            </w:pPr>
            <w:r w:rsidRPr="009D0A4A">
              <w:rPr>
                <w:rFonts w:cstheme="minorHAnsi"/>
                <w:sz w:val="18"/>
                <w:szCs w:val="18"/>
              </w:rPr>
              <w:t xml:space="preserve">Licence </w:t>
            </w:r>
            <w:r w:rsidR="00105526" w:rsidRPr="009D0A4A">
              <w:rPr>
                <w:rFonts w:cstheme="minorHAnsi"/>
                <w:sz w:val="18"/>
                <w:szCs w:val="18"/>
              </w:rPr>
              <w:t>fee ($)</w:t>
            </w:r>
          </w:p>
        </w:tc>
        <w:tc>
          <w:tcPr>
            <w:tcW w:w="1454" w:type="pct"/>
            <w:gridSpan w:val="3"/>
            <w:tcBorders>
              <w:top w:val="single" w:sz="8" w:space="0" w:color="D9D9D9"/>
              <w:left w:val="single" w:sz="8" w:space="0" w:color="D9D9D9"/>
              <w:right w:val="single" w:sz="8" w:space="0" w:color="D9D9D9"/>
            </w:tcBorders>
            <w:shd w:val="clear" w:color="auto" w:fill="FFFFFF" w:themeFill="background1"/>
            <w:vAlign w:val="center"/>
          </w:tcPr>
          <w:p w14:paraId="4799305A" w14:textId="244907E9"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r w:rsidRPr="009D0A4A">
              <w:rPr>
                <w:rFonts w:asciiTheme="minorHAnsi" w:hAnsiTheme="minorHAnsi" w:cstheme="minorHAnsi"/>
                <w:sz w:val="18"/>
                <w:szCs w:val="18"/>
              </w:rPr>
              <w:t>$302</w:t>
            </w:r>
            <w:r w:rsidR="005E3E32" w:rsidRPr="009D0A4A">
              <w:rPr>
                <w:rFonts w:asciiTheme="minorHAnsi" w:hAnsiTheme="minorHAnsi" w:cstheme="minorHAnsi"/>
                <w:sz w:val="18"/>
                <w:szCs w:val="18"/>
                <w:vertAlign w:val="superscript"/>
              </w:rPr>
              <w:t xml:space="preserve"> </w:t>
            </w:r>
            <w:r w:rsidR="005E3E32"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{"citationID":"Kdtq1eSI","properties":{"formattedCitation":"(Deloitte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005E3E32" w:rsidRPr="009D0A4A">
              <w:rPr>
                <w:rFonts w:asciiTheme="minorHAnsi" w:hAnsiTheme="minorHAnsi" w:cstheme="minorHAnsi"/>
                <w:sz w:val="18"/>
                <w:szCs w:val="18"/>
              </w:rPr>
              <w:fldChar w:fldCharType="separate"/>
            </w:r>
            <w:r w:rsidR="006B4A7D" w:rsidRPr="009D0A4A">
              <w:rPr>
                <w:rFonts w:ascii="Calibri" w:hAnsi="Calibri" w:cs="Calibri"/>
                <w:sz w:val="18"/>
              </w:rPr>
              <w:t>(Deloitte 2021)</w:t>
            </w:r>
            <w:r w:rsidR="005E3E32" w:rsidRPr="009D0A4A">
              <w:rPr>
                <w:rFonts w:asciiTheme="minorHAnsi" w:hAnsiTheme="minorHAnsi" w:cstheme="minorHAnsi"/>
                <w:sz w:val="18"/>
                <w:szCs w:val="18"/>
              </w:rPr>
              <w:fldChar w:fldCharType="end"/>
            </w:r>
          </w:p>
        </w:tc>
        <w:tc>
          <w:tcPr>
            <w:tcW w:w="1360" w:type="pct"/>
            <w:vMerge w:val="restart"/>
            <w:tcBorders>
              <w:top w:val="single" w:sz="8" w:space="0" w:color="D9D9D9"/>
              <w:left w:val="single" w:sz="8" w:space="0" w:color="D9D9D9"/>
              <w:right w:val="single" w:sz="8" w:space="0" w:color="D9D9D9"/>
            </w:tcBorders>
            <w:shd w:val="clear" w:color="auto" w:fill="FFFFFF" w:themeFill="background1"/>
            <w:vAlign w:val="center"/>
            <w:hideMark/>
          </w:tcPr>
          <w:p w14:paraId="5AE0D49F" w14:textId="4CF681B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 xml:space="preserve">Total </w:t>
            </w:r>
            <w:r w:rsidR="007C706E" w:rsidRPr="009D0A4A">
              <w:rPr>
                <w:rFonts w:asciiTheme="minorHAnsi" w:hAnsiTheme="minorHAnsi" w:cstheme="minorHAnsi"/>
                <w:b/>
                <w:bCs/>
                <w:sz w:val="18"/>
                <w:szCs w:val="18"/>
              </w:rPr>
              <w:t xml:space="preserve">licence </w:t>
            </w:r>
            <w:r w:rsidRPr="009D0A4A">
              <w:rPr>
                <w:rFonts w:asciiTheme="minorHAnsi" w:hAnsiTheme="minorHAnsi" w:cstheme="minorHAnsi"/>
                <w:b/>
                <w:bCs/>
                <w:sz w:val="18"/>
                <w:szCs w:val="18"/>
              </w:rPr>
              <w:t xml:space="preserve">fee </w:t>
            </w:r>
            <w:r w:rsidR="00AC71B6" w:rsidRPr="009D0A4A">
              <w:rPr>
                <w:rFonts w:asciiTheme="minorHAnsi" w:hAnsiTheme="minorHAnsi" w:cstheme="minorHAnsi"/>
                <w:b/>
                <w:bCs/>
                <w:sz w:val="18"/>
                <w:szCs w:val="18"/>
              </w:rPr>
              <w:t>cost</w:t>
            </w:r>
          </w:p>
          <w:p w14:paraId="7E49AF20"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6BD056E2" w14:textId="27DB2079" w:rsidR="00105526" w:rsidRPr="009D0A4A" w:rsidRDefault="007C706E" w:rsidP="00FA6EE6">
            <w:pPr>
              <w:pStyle w:val="EYBulletnoparaspace"/>
              <w:numPr>
                <w:ilvl w:val="0"/>
                <w:numId w:val="0"/>
              </w:numPr>
              <w:spacing w:line="264" w:lineRule="auto"/>
              <w:ind w:left="425" w:right="130" w:hanging="425"/>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 xml:space="preserve">Licence </w:t>
            </w:r>
            <w:r w:rsidR="00105526" w:rsidRPr="009D0A4A">
              <w:rPr>
                <w:rFonts w:asciiTheme="minorHAnsi" w:hAnsiTheme="minorHAnsi" w:cstheme="minorHAnsi"/>
                <w:sz w:val="18"/>
                <w:szCs w:val="18"/>
              </w:rPr>
              <w:t>fee</w:t>
            </w:r>
          </w:p>
          <w:p w14:paraId="32A20A79"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0D788CDE" w14:textId="1C799761" w:rsidR="00105526" w:rsidRPr="009D0A4A" w:rsidRDefault="00105526" w:rsidP="00C073B3">
            <w:pPr>
              <w:pStyle w:val="EYBulletnoparaspace"/>
              <w:numPr>
                <w:ilvl w:val="0"/>
                <w:numId w:val="0"/>
              </w:numPr>
              <w:tabs>
                <w:tab w:val="left" w:pos="1274"/>
              </w:tabs>
              <w:spacing w:line="264" w:lineRule="auto"/>
              <w:ind w:left="425" w:right="130" w:hanging="425"/>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 xml:space="preserve">Frequency of </w:t>
            </w:r>
            <w:r w:rsidR="007C706E" w:rsidRPr="009D0A4A">
              <w:rPr>
                <w:rFonts w:asciiTheme="minorHAnsi" w:hAnsiTheme="minorHAnsi" w:cstheme="minorHAnsi"/>
                <w:sz w:val="18"/>
                <w:szCs w:val="18"/>
              </w:rPr>
              <w:t xml:space="preserve">licence </w:t>
            </w:r>
            <w:r w:rsidRPr="009D0A4A">
              <w:rPr>
                <w:rFonts w:asciiTheme="minorHAnsi" w:hAnsiTheme="minorHAnsi" w:cstheme="minorHAnsi"/>
                <w:sz w:val="18"/>
                <w:szCs w:val="18"/>
              </w:rPr>
              <w:t>fee payment</w:t>
            </w:r>
          </w:p>
          <w:p w14:paraId="64C0CA02"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x</w:t>
            </w:r>
          </w:p>
          <w:p w14:paraId="531292C1" w14:textId="77777777" w:rsidR="00105526" w:rsidRPr="009D0A4A" w:rsidRDefault="00105526" w:rsidP="00FA6EE6">
            <w:pPr>
              <w:pStyle w:val="EYBulletnoparaspace"/>
              <w:numPr>
                <w:ilvl w:val="0"/>
                <w:numId w:val="0"/>
              </w:numPr>
              <w:spacing w:after="0" w:line="264" w:lineRule="auto"/>
              <w:ind w:right="130"/>
              <w:jc w:val="center"/>
              <w:rPr>
                <w:rFonts w:asciiTheme="minorHAnsi" w:hAnsiTheme="minorHAnsi" w:cstheme="minorHAnsi"/>
                <w:b/>
                <w:bCs/>
                <w:color w:val="262626" w:themeColor="text1" w:themeTint="D9"/>
                <w:sz w:val="18"/>
                <w:szCs w:val="18"/>
              </w:rPr>
            </w:pPr>
            <w:r w:rsidRPr="009D0A4A">
              <w:rPr>
                <w:rFonts w:asciiTheme="minorHAnsi" w:hAnsiTheme="minorHAnsi" w:cstheme="minorHAnsi"/>
                <w:sz w:val="18"/>
                <w:szCs w:val="18"/>
              </w:rPr>
              <w:t xml:space="preserve">Number of PCBUs working with engineered stone in Australia </w:t>
            </w:r>
          </w:p>
        </w:tc>
      </w:tr>
      <w:tr w:rsidR="00105526" w:rsidRPr="009D0A4A" w14:paraId="446DFDEB" w14:textId="77777777" w:rsidTr="00722B43">
        <w:trPr>
          <w:trHeight w:val="2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0CCC14DB"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right w:val="single" w:sz="8" w:space="0" w:color="D9D9D9"/>
            </w:tcBorders>
            <w:shd w:val="clear" w:color="auto" w:fill="FFFFFF" w:themeFill="background1"/>
          </w:tcPr>
          <w:p w14:paraId="0C48CA03" w14:textId="77777777" w:rsidR="00105526" w:rsidRPr="009D0A4A" w:rsidRDefault="00105526" w:rsidP="00FA6EE6">
            <w:pPr>
              <w:pStyle w:val="BodyText"/>
              <w:ind w:left="157"/>
              <w:rPr>
                <w:rFonts w:cstheme="minorHAnsi"/>
                <w:color w:val="auto"/>
                <w:sz w:val="18"/>
                <w:szCs w:val="18"/>
              </w:rPr>
            </w:pPr>
          </w:p>
        </w:tc>
        <w:tc>
          <w:tcPr>
            <w:tcW w:w="813" w:type="pct"/>
            <w:tcBorders>
              <w:left w:val="single" w:sz="8" w:space="0" w:color="D9D9D9"/>
              <w:right w:val="single" w:sz="8" w:space="0" w:color="D9D9D9"/>
            </w:tcBorders>
            <w:shd w:val="clear" w:color="auto" w:fill="FFFFFF" w:themeFill="background1"/>
            <w:vAlign w:val="center"/>
          </w:tcPr>
          <w:p w14:paraId="5F7A8E42" w14:textId="7FB11A68" w:rsidR="00105526" w:rsidRPr="009D0A4A" w:rsidRDefault="00105526" w:rsidP="00FA6EE6">
            <w:pPr>
              <w:pStyle w:val="BodyText"/>
              <w:rPr>
                <w:rFonts w:cstheme="minorHAnsi"/>
                <w:b/>
                <w:bCs/>
                <w:sz w:val="18"/>
                <w:szCs w:val="18"/>
              </w:rPr>
            </w:pPr>
            <w:r w:rsidRPr="009D0A4A">
              <w:rPr>
                <w:rFonts w:cstheme="minorHAnsi"/>
                <w:sz w:val="18"/>
                <w:szCs w:val="18"/>
              </w:rPr>
              <w:t xml:space="preserve">Frequency of </w:t>
            </w:r>
            <w:r w:rsidR="007C706E" w:rsidRPr="009D0A4A">
              <w:rPr>
                <w:rFonts w:cstheme="minorHAnsi"/>
                <w:sz w:val="18"/>
                <w:szCs w:val="18"/>
              </w:rPr>
              <w:t xml:space="preserve">licence </w:t>
            </w:r>
            <w:r w:rsidRPr="009D0A4A">
              <w:rPr>
                <w:rFonts w:cstheme="minorHAnsi"/>
                <w:sz w:val="18"/>
                <w:szCs w:val="18"/>
              </w:rPr>
              <w:t>fee (years)</w:t>
            </w:r>
          </w:p>
        </w:tc>
        <w:tc>
          <w:tcPr>
            <w:tcW w:w="1454" w:type="pct"/>
            <w:gridSpan w:val="3"/>
            <w:tcBorders>
              <w:left w:val="single" w:sz="8" w:space="0" w:color="D9D9D9"/>
              <w:right w:val="single" w:sz="8" w:space="0" w:color="D9D9D9"/>
            </w:tcBorders>
            <w:shd w:val="clear" w:color="auto" w:fill="FFFFFF" w:themeFill="background1"/>
            <w:vAlign w:val="center"/>
          </w:tcPr>
          <w:p w14:paraId="7BB06A84" w14:textId="548CD02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r w:rsidRPr="009D0A4A">
              <w:rPr>
                <w:rFonts w:asciiTheme="minorHAnsi" w:hAnsiTheme="minorHAnsi" w:cstheme="minorHAnsi"/>
                <w:sz w:val="18"/>
                <w:szCs w:val="18"/>
              </w:rPr>
              <w:t>5 year</w:t>
            </w:r>
            <w:r w:rsidR="005E3E32" w:rsidRPr="009D0A4A">
              <w:rPr>
                <w:rFonts w:asciiTheme="minorHAnsi" w:hAnsiTheme="minorHAnsi" w:cstheme="minorHAnsi"/>
                <w:sz w:val="18"/>
                <w:szCs w:val="18"/>
              </w:rPr>
              <w:t xml:space="preserve">s </w:t>
            </w:r>
            <w:r w:rsidR="005E3E32"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{"citationID":"vPo3HSLT","properties":{"formattedCitation":"(Deloitte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005E3E32" w:rsidRPr="009D0A4A">
              <w:rPr>
                <w:rFonts w:asciiTheme="minorHAnsi" w:hAnsiTheme="minorHAnsi" w:cstheme="minorHAnsi"/>
                <w:sz w:val="18"/>
                <w:szCs w:val="18"/>
              </w:rPr>
              <w:fldChar w:fldCharType="separate"/>
            </w:r>
            <w:r w:rsidR="006B4A7D" w:rsidRPr="009D0A4A">
              <w:rPr>
                <w:rFonts w:ascii="Calibri" w:hAnsi="Calibri" w:cs="Calibri"/>
                <w:sz w:val="18"/>
              </w:rPr>
              <w:t>(Deloitte 2021)</w:t>
            </w:r>
            <w:r w:rsidR="005E3E32" w:rsidRPr="009D0A4A">
              <w:rPr>
                <w:rFonts w:asciiTheme="minorHAnsi" w:hAnsiTheme="minorHAnsi" w:cstheme="minorHAnsi"/>
                <w:sz w:val="18"/>
                <w:szCs w:val="18"/>
              </w:rPr>
              <w:fldChar w:fldCharType="end"/>
            </w:r>
          </w:p>
        </w:tc>
        <w:tc>
          <w:tcPr>
            <w:tcW w:w="1360" w:type="pct"/>
            <w:vMerge/>
            <w:tcBorders>
              <w:left w:val="single" w:sz="8" w:space="0" w:color="D9D9D9"/>
              <w:right w:val="single" w:sz="8" w:space="0" w:color="D9D9D9"/>
            </w:tcBorders>
            <w:shd w:val="clear" w:color="auto" w:fill="FFFFFF" w:themeFill="background1"/>
            <w:vAlign w:val="center"/>
          </w:tcPr>
          <w:p w14:paraId="39F3436A"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p>
        </w:tc>
      </w:tr>
      <w:tr w:rsidR="00105526" w:rsidRPr="009D0A4A" w14:paraId="42598FC3" w14:textId="77777777" w:rsidTr="00722B43">
        <w:trPr>
          <w:trHeight w:val="20"/>
        </w:trPr>
        <w:tc>
          <w:tcPr>
            <w:tcW w:w="676" w:type="pct"/>
            <w:vMerge/>
            <w:tcBorders>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4AB2F3FE"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bottom w:val="single" w:sz="8" w:space="0" w:color="D9D9D9"/>
              <w:right w:val="single" w:sz="8" w:space="0" w:color="D9D9D9"/>
            </w:tcBorders>
            <w:shd w:val="clear" w:color="auto" w:fill="FFFFFF" w:themeFill="background1"/>
          </w:tcPr>
          <w:p w14:paraId="4E472606" w14:textId="77777777" w:rsidR="00105526" w:rsidRPr="009D0A4A" w:rsidRDefault="00105526" w:rsidP="00FA6EE6">
            <w:pPr>
              <w:pStyle w:val="BodyText"/>
              <w:ind w:left="157"/>
              <w:rPr>
                <w:rFonts w:cstheme="minorHAnsi"/>
                <w:color w:val="auto"/>
                <w:sz w:val="18"/>
                <w:szCs w:val="18"/>
              </w:rPr>
            </w:pPr>
          </w:p>
        </w:tc>
        <w:tc>
          <w:tcPr>
            <w:tcW w:w="813" w:type="pct"/>
            <w:tcBorders>
              <w:left w:val="single" w:sz="8" w:space="0" w:color="D9D9D9"/>
              <w:bottom w:val="single" w:sz="8" w:space="0" w:color="D9D9D9"/>
              <w:right w:val="single" w:sz="8" w:space="0" w:color="D9D9D9"/>
            </w:tcBorders>
            <w:shd w:val="clear" w:color="auto" w:fill="FFFFFF" w:themeFill="background1"/>
            <w:vAlign w:val="center"/>
          </w:tcPr>
          <w:p w14:paraId="1A8A8A5A" w14:textId="77777777" w:rsidR="00105526" w:rsidRPr="009D0A4A" w:rsidRDefault="00105526" w:rsidP="00FA6EE6">
            <w:pPr>
              <w:pStyle w:val="BodyText"/>
              <w:rPr>
                <w:rFonts w:cstheme="minorHAnsi"/>
                <w:b/>
                <w:bCs/>
                <w:sz w:val="18"/>
                <w:szCs w:val="18"/>
              </w:rPr>
            </w:pPr>
            <w:r w:rsidRPr="009D0A4A">
              <w:rPr>
                <w:rFonts w:cstheme="minorHAnsi"/>
                <w:sz w:val="18"/>
                <w:szCs w:val="18"/>
              </w:rPr>
              <w:t>Number of PCBUs working with engineered stone in Australia (#)</w:t>
            </w:r>
          </w:p>
        </w:tc>
        <w:tc>
          <w:tcPr>
            <w:tcW w:w="1454" w:type="pct"/>
            <w:gridSpan w:val="3"/>
            <w:tcBorders>
              <w:left w:val="single" w:sz="8" w:space="0" w:color="D9D9D9"/>
              <w:bottom w:val="single" w:sz="8" w:space="0" w:color="D9D9D9"/>
              <w:right w:val="single" w:sz="8" w:space="0" w:color="D9D9D9"/>
            </w:tcBorders>
            <w:shd w:val="clear" w:color="auto" w:fill="FFFFFF" w:themeFill="background1"/>
            <w:vAlign w:val="center"/>
          </w:tcPr>
          <w:p w14:paraId="4FEA4DD3" w14:textId="61D5C656"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r w:rsidRPr="009D0A4A">
              <w:rPr>
                <w:rFonts w:asciiTheme="minorHAnsi" w:hAnsiTheme="minorHAnsi" w:cstheme="minorHAnsi"/>
                <w:sz w:val="18"/>
                <w:szCs w:val="18"/>
              </w:rPr>
              <w:t>1,00</w:t>
            </w:r>
            <w:r w:rsidR="005E3E32" w:rsidRPr="009D0A4A">
              <w:rPr>
                <w:rFonts w:asciiTheme="minorHAnsi" w:hAnsiTheme="minorHAnsi" w:cstheme="minorHAnsi"/>
                <w:sz w:val="18"/>
                <w:szCs w:val="18"/>
              </w:rPr>
              <w:t xml:space="preserve">0 </w:t>
            </w:r>
            <w:r w:rsidR="005E3E32"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{"citationID":"kLE8vf9i","properties":{"formattedCitation":"(Australian Engineered Stone Advisory Group 2019)","plainCitation":"(Australian Engineered Stone Advisory Group 2019)","noteIndex":0},"citationItems":[{"id":918,"uris":["http://zotero.org/users/6230888/items/4WCCIQ5J"],"itemData":{"id":918,"type":"report","page":"102","title":"Members of the Australian Engineered Stone Advisory Group (AESAG) Application for authorisation to the Australian Competition and Consumer Commission (ACCC)","URL":"https://www.accc.gov.au/system/files/public-registers/documents/Australian%20Engineered%20Stone%20Advisory%20Group%20%28AESAG%29%20-%20Application%20Received%20-%2029.11.19%20-%20PR%20VERSION.pdf","author":[{"literal":"Australian Engineered Stone Advisory Group"}],"accessed":{"date-parts":[["2022",6,30]]},"issued":{"date-parts":[["2019"]]}}}],"schema":"https://github.com/citation-style-language/schema/raw/master/csl-citation.json"} </w:instrText>
            </w:r>
            <w:r w:rsidR="005E3E32" w:rsidRPr="009D0A4A">
              <w:rPr>
                <w:rFonts w:asciiTheme="minorHAnsi" w:hAnsiTheme="minorHAnsi" w:cstheme="minorHAnsi"/>
                <w:sz w:val="18"/>
                <w:szCs w:val="18"/>
              </w:rPr>
              <w:fldChar w:fldCharType="separate"/>
            </w:r>
            <w:r w:rsidR="006B4A7D" w:rsidRPr="009D0A4A">
              <w:rPr>
                <w:rFonts w:ascii="Calibri" w:hAnsi="Calibri" w:cs="Calibri"/>
                <w:sz w:val="18"/>
              </w:rPr>
              <w:t>(Australian Engineered Stone Advisory Group 2019)</w:t>
            </w:r>
            <w:r w:rsidR="005E3E32" w:rsidRPr="009D0A4A">
              <w:rPr>
                <w:rFonts w:asciiTheme="minorHAnsi" w:hAnsiTheme="minorHAnsi" w:cstheme="minorHAnsi"/>
                <w:sz w:val="18"/>
                <w:szCs w:val="18"/>
              </w:rPr>
              <w:fldChar w:fldCharType="end"/>
            </w:r>
          </w:p>
        </w:tc>
        <w:tc>
          <w:tcPr>
            <w:tcW w:w="1360" w:type="pct"/>
            <w:vMerge/>
            <w:tcBorders>
              <w:left w:val="single" w:sz="8" w:space="0" w:color="D9D9D9"/>
              <w:bottom w:val="single" w:sz="8" w:space="0" w:color="D9D9D9"/>
              <w:right w:val="single" w:sz="8" w:space="0" w:color="D9D9D9"/>
            </w:tcBorders>
            <w:shd w:val="clear" w:color="auto" w:fill="FFFFFF" w:themeFill="background1"/>
            <w:vAlign w:val="center"/>
          </w:tcPr>
          <w:p w14:paraId="6AB87B28"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p>
        </w:tc>
      </w:tr>
      <w:tr w:rsidR="00105526" w:rsidRPr="009D0A4A" w14:paraId="5BF021A5" w14:textId="77777777" w:rsidTr="00722B43">
        <w:trPr>
          <w:trHeight w:val="20"/>
        </w:trPr>
        <w:tc>
          <w:tcPr>
            <w:tcW w:w="676"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00ED0AB4"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Engineered stone suppliers – retention of records</w:t>
            </w:r>
          </w:p>
        </w:tc>
        <w:tc>
          <w:tcPr>
            <w:tcW w:w="697" w:type="pct"/>
            <w:vMerge w:val="restart"/>
            <w:tcBorders>
              <w:top w:val="single" w:sz="8" w:space="0" w:color="D9D9D9"/>
              <w:left w:val="single" w:sz="8" w:space="0" w:color="D9D9D9"/>
              <w:right w:val="single" w:sz="8" w:space="0" w:color="D9D9D9"/>
            </w:tcBorders>
            <w:shd w:val="clear" w:color="auto" w:fill="FFFFFF" w:themeFill="background1"/>
            <w:hideMark/>
          </w:tcPr>
          <w:p w14:paraId="20C04D38" w14:textId="77777777" w:rsidR="00105526" w:rsidRPr="009D0A4A" w:rsidRDefault="00105526" w:rsidP="00FA6EE6">
            <w:pPr>
              <w:pStyle w:val="BodyText"/>
              <w:ind w:left="157"/>
              <w:rPr>
                <w:rFonts w:cstheme="minorHAnsi"/>
                <w:color w:val="auto"/>
                <w:sz w:val="18"/>
                <w:szCs w:val="18"/>
              </w:rPr>
            </w:pPr>
            <w:r w:rsidRPr="009D0A4A">
              <w:rPr>
                <w:rFonts w:cstheme="minorHAnsi"/>
                <w:sz w:val="18"/>
                <w:szCs w:val="18"/>
              </w:rPr>
              <w:t xml:space="preserve">Labour for suppliers of engineered stone </w:t>
            </w:r>
            <w:r w:rsidRPr="009D0A4A">
              <w:rPr>
                <w:rFonts w:cstheme="minorHAnsi"/>
                <w:color w:val="191919"/>
                <w:sz w:val="18"/>
                <w:szCs w:val="18"/>
              </w:rPr>
              <w:t xml:space="preserve">to retain records of PCBUs who have </w:t>
            </w:r>
            <w:r w:rsidRPr="009D0A4A">
              <w:rPr>
                <w:rFonts w:cstheme="minorHAnsi"/>
                <w:color w:val="191919"/>
                <w:sz w:val="18"/>
                <w:szCs w:val="18"/>
              </w:rPr>
              <w:lastRenderedPageBreak/>
              <w:t xml:space="preserve">been supplied engineered stone for a period of 5 years. </w:t>
            </w: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0C5F2F2C" w14:textId="4B43D4E4" w:rsidR="00105526" w:rsidRPr="009D0A4A" w:rsidRDefault="00105526" w:rsidP="00FA6EE6">
            <w:pPr>
              <w:pStyle w:val="BodyText"/>
              <w:rPr>
                <w:rFonts w:cstheme="minorHAnsi"/>
                <w:b/>
                <w:bCs/>
                <w:sz w:val="18"/>
                <w:szCs w:val="18"/>
              </w:rPr>
            </w:pPr>
            <w:r w:rsidRPr="009D0A4A">
              <w:rPr>
                <w:rFonts w:cstheme="minorHAnsi"/>
                <w:sz w:val="18"/>
                <w:szCs w:val="18"/>
              </w:rPr>
              <w:lastRenderedPageBreak/>
              <w:t xml:space="preserve">Number of hours </w:t>
            </w:r>
            <w:r w:rsidR="00455BE6" w:rsidRPr="009D0A4A">
              <w:rPr>
                <w:rFonts w:cstheme="minorHAnsi"/>
                <w:sz w:val="18"/>
                <w:szCs w:val="18"/>
              </w:rPr>
              <w:t xml:space="preserve">per year </w:t>
            </w:r>
            <w:r w:rsidRPr="009D0A4A">
              <w:rPr>
                <w:rFonts w:cstheme="minorHAnsi"/>
                <w:sz w:val="18"/>
                <w:szCs w:val="18"/>
              </w:rPr>
              <w:t>to retain records on an annual basis</w:t>
            </w:r>
          </w:p>
        </w:tc>
        <w:tc>
          <w:tcPr>
            <w:tcW w:w="1454" w:type="pct"/>
            <w:gridSpan w:val="3"/>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3AA15116"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r w:rsidRPr="009D0A4A">
              <w:rPr>
                <w:rFonts w:asciiTheme="minorHAnsi" w:hAnsiTheme="minorHAnsi" w:cstheme="minorHAnsi"/>
                <w:sz w:val="18"/>
                <w:szCs w:val="18"/>
              </w:rPr>
              <w:t>2</w:t>
            </w:r>
            <w:bookmarkStart w:id="686" w:name="_Ref105064181"/>
            <w:r w:rsidRPr="009D0A4A">
              <w:rPr>
                <w:rStyle w:val="FootnoteReference"/>
                <w:rFonts w:asciiTheme="minorHAnsi" w:hAnsiTheme="minorHAnsi" w:cstheme="minorHAnsi"/>
                <w:sz w:val="18"/>
                <w:szCs w:val="18"/>
              </w:rPr>
              <w:footnoteReference w:id="29"/>
            </w:r>
            <w:bookmarkEnd w:id="686"/>
          </w:p>
        </w:tc>
        <w:tc>
          <w:tcPr>
            <w:tcW w:w="1360" w:type="pct"/>
            <w:vMerge w:val="restart"/>
            <w:tcBorders>
              <w:top w:val="single" w:sz="8" w:space="0" w:color="D9D9D9"/>
              <w:left w:val="single" w:sz="8" w:space="0" w:color="D9D9D9"/>
              <w:right w:val="single" w:sz="8" w:space="0" w:color="D9D9D9"/>
            </w:tcBorders>
            <w:shd w:val="clear" w:color="auto" w:fill="FFFFFF" w:themeFill="background1"/>
            <w:vAlign w:val="center"/>
            <w:hideMark/>
          </w:tcPr>
          <w:p w14:paraId="59B08D9F"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 xml:space="preserve">Total cost for retention of records </w:t>
            </w:r>
          </w:p>
          <w:p w14:paraId="65360000"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w:t>
            </w:r>
          </w:p>
          <w:p w14:paraId="63AAE7C6"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Number of hours to prepare application</w:t>
            </w:r>
          </w:p>
          <w:p w14:paraId="2E8A86B9"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sz w:val="18"/>
                <w:szCs w:val="18"/>
              </w:rPr>
            </w:pPr>
            <w:r w:rsidRPr="009D0A4A">
              <w:rPr>
                <w:rFonts w:asciiTheme="minorHAnsi" w:hAnsiTheme="minorHAnsi" w:cstheme="minorHAnsi"/>
                <w:sz w:val="18"/>
                <w:szCs w:val="18"/>
              </w:rPr>
              <w:t>×</w:t>
            </w:r>
          </w:p>
          <w:p w14:paraId="135F4159"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sz w:val="18"/>
                <w:szCs w:val="18"/>
              </w:rPr>
            </w:pPr>
            <w:r w:rsidRPr="009D0A4A">
              <w:rPr>
                <w:rFonts w:asciiTheme="minorHAnsi" w:hAnsiTheme="minorHAnsi" w:cstheme="minorHAnsi"/>
                <w:sz w:val="18"/>
                <w:szCs w:val="18"/>
              </w:rPr>
              <w:t>Average wage/hour</w:t>
            </w:r>
          </w:p>
          <w:p w14:paraId="485ABA84"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lastRenderedPageBreak/>
              <w:t>x</w:t>
            </w:r>
          </w:p>
          <w:p w14:paraId="5BB222DB" w14:textId="77777777" w:rsidR="00105526" w:rsidRPr="009D0A4A" w:rsidRDefault="00105526" w:rsidP="00FA6EE6">
            <w:pPr>
              <w:pStyle w:val="EYBulletnoparaspace"/>
              <w:numPr>
                <w:ilvl w:val="0"/>
                <w:numId w:val="0"/>
              </w:numPr>
              <w:spacing w:after="120"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Number of businesses supplying engineered stone in Australia</w:t>
            </w:r>
          </w:p>
        </w:tc>
      </w:tr>
      <w:tr w:rsidR="00105526" w:rsidRPr="009D0A4A" w14:paraId="02336984" w14:textId="77777777" w:rsidTr="00722B43">
        <w:trPr>
          <w:trHeight w:val="2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26479AF9"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right w:val="single" w:sz="8" w:space="0" w:color="D9D9D9"/>
            </w:tcBorders>
            <w:shd w:val="clear" w:color="auto" w:fill="FFFFFF" w:themeFill="background1"/>
          </w:tcPr>
          <w:p w14:paraId="241108BE" w14:textId="77777777" w:rsidR="00105526" w:rsidRPr="009D0A4A" w:rsidRDefault="00105526" w:rsidP="00FA6EE6">
            <w:pPr>
              <w:pStyle w:val="BodyText"/>
              <w:ind w:left="157"/>
              <w:rPr>
                <w:rFonts w:cstheme="minorHAnsi"/>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3C892309" w14:textId="77777777" w:rsidR="00105526" w:rsidRPr="009D0A4A" w:rsidRDefault="00105526" w:rsidP="00FA6EE6">
            <w:pPr>
              <w:pStyle w:val="BodyText"/>
              <w:rPr>
                <w:rFonts w:cstheme="minorHAnsi"/>
                <w:b/>
                <w:bCs/>
                <w:sz w:val="18"/>
                <w:szCs w:val="18"/>
              </w:rPr>
            </w:pPr>
            <w:r w:rsidRPr="009D0A4A">
              <w:rPr>
                <w:rFonts w:cstheme="minorHAnsi"/>
                <w:sz w:val="18"/>
                <w:szCs w:val="18"/>
              </w:rPr>
              <w:t>Average wage / hour ($)</w:t>
            </w:r>
          </w:p>
        </w:tc>
        <w:tc>
          <w:tcPr>
            <w:tcW w:w="1454" w:type="pct"/>
            <w:gridSpan w:val="3"/>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7411EB14" w14:textId="538042F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r w:rsidRPr="009D0A4A">
              <w:rPr>
                <w:rFonts w:asciiTheme="minorHAnsi" w:hAnsiTheme="minorHAnsi" w:cstheme="minorHAnsi"/>
                <w:sz w:val="18"/>
                <w:szCs w:val="18"/>
              </w:rPr>
              <w:t>$46.24</w:t>
            </w:r>
            <w:r w:rsidR="005E3E32" w:rsidRPr="009D0A4A">
              <w:rPr>
                <w:rFonts w:asciiTheme="minorHAnsi" w:hAnsiTheme="minorHAnsi" w:cstheme="minorHAnsi"/>
                <w:sz w:val="18"/>
                <w:szCs w:val="18"/>
              </w:rPr>
              <w:t xml:space="preserve"> </w:t>
            </w:r>
            <w:r w:rsidR="005E3E32"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{"citationID":"Ce9sPwBU","properties":{"formattedCitation":"(Australian Bureau of Statistics 2021c)","plainCitation":"(Australian Bureau of Statistics 2021c)","noteIndex":0},"citationItems":[{"id":913,"uris":["http://zotero.org/users/6230888/items/YWAVMKLE"],"itemData":{"id":913,"type":"webpage","abstract":"Estimates of weekly earnings classified by industry, sector, state and territory","language":"en","title":"Average Weekly Earnings, Australia, November 2021","URL":"https://www.abs.gov.au/statistics/labour/earnings-and-working-conditions/average-weekly-earnings-australia/latest-release","author":[{"literal":"Australian Bureau of Statistics"}],"accessed":{"date-parts":[["2022",6,30]]},"issued":{"date-parts":[["2021"]]}}}],"schema":"https://github.com/citation-style-language/schema/raw/master/csl-citation.json"} </w:instrText>
            </w:r>
            <w:r w:rsidR="005E3E32" w:rsidRPr="009D0A4A">
              <w:rPr>
                <w:rFonts w:asciiTheme="minorHAnsi" w:hAnsiTheme="minorHAnsi" w:cstheme="minorHAnsi"/>
                <w:sz w:val="18"/>
                <w:szCs w:val="18"/>
              </w:rPr>
              <w:fldChar w:fldCharType="separate"/>
            </w:r>
            <w:r w:rsidR="006B4A7D" w:rsidRPr="009D0A4A">
              <w:rPr>
                <w:rFonts w:ascii="Calibri" w:hAnsi="Calibri" w:cs="Calibri"/>
                <w:sz w:val="18"/>
              </w:rPr>
              <w:t>(Australian Bureau of Statistics 2021c)</w:t>
            </w:r>
            <w:r w:rsidR="005E3E32" w:rsidRPr="009D0A4A">
              <w:rPr>
                <w:rFonts w:asciiTheme="minorHAnsi" w:hAnsiTheme="minorHAnsi" w:cstheme="minorHAnsi"/>
                <w:sz w:val="18"/>
                <w:szCs w:val="18"/>
              </w:rPr>
              <w:fldChar w:fldCharType="end"/>
            </w:r>
          </w:p>
        </w:tc>
        <w:tc>
          <w:tcPr>
            <w:tcW w:w="1360" w:type="pct"/>
            <w:vMerge/>
            <w:tcBorders>
              <w:left w:val="single" w:sz="8" w:space="0" w:color="D9D9D9"/>
              <w:right w:val="single" w:sz="8" w:space="0" w:color="D9D9D9"/>
            </w:tcBorders>
            <w:shd w:val="clear" w:color="auto" w:fill="FFFFFF" w:themeFill="background1"/>
            <w:vAlign w:val="center"/>
          </w:tcPr>
          <w:p w14:paraId="6E746429"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p>
        </w:tc>
      </w:tr>
      <w:tr w:rsidR="00105526" w:rsidRPr="009D0A4A" w14:paraId="4D858AFB" w14:textId="77777777" w:rsidTr="00722B43">
        <w:trPr>
          <w:trHeight w:val="20"/>
        </w:trPr>
        <w:tc>
          <w:tcPr>
            <w:tcW w:w="676" w:type="pct"/>
            <w:vMerge/>
            <w:tcBorders>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0963A0BB"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bottom w:val="single" w:sz="8" w:space="0" w:color="D9D9D9"/>
              <w:right w:val="single" w:sz="8" w:space="0" w:color="D9D9D9"/>
            </w:tcBorders>
            <w:shd w:val="clear" w:color="auto" w:fill="FFFFFF" w:themeFill="background1"/>
          </w:tcPr>
          <w:p w14:paraId="4E19ED1E" w14:textId="77777777" w:rsidR="00105526" w:rsidRPr="009D0A4A" w:rsidRDefault="00105526" w:rsidP="00FA6EE6">
            <w:pPr>
              <w:pStyle w:val="BodyText"/>
              <w:ind w:left="157"/>
              <w:rPr>
                <w:rFonts w:cstheme="minorHAnsi"/>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53AA77CC" w14:textId="77777777" w:rsidR="00105526" w:rsidRPr="009D0A4A" w:rsidRDefault="00105526" w:rsidP="00FA6EE6">
            <w:pPr>
              <w:pStyle w:val="BodyText"/>
              <w:rPr>
                <w:rFonts w:cstheme="minorHAnsi"/>
                <w:b/>
                <w:bCs/>
                <w:sz w:val="18"/>
                <w:szCs w:val="18"/>
              </w:rPr>
            </w:pPr>
            <w:r w:rsidRPr="009D0A4A">
              <w:rPr>
                <w:rFonts w:cstheme="minorHAnsi"/>
                <w:sz w:val="18"/>
                <w:szCs w:val="18"/>
              </w:rPr>
              <w:t>Number of businesses supplying engineered stone in Australia (#)</w:t>
            </w:r>
          </w:p>
        </w:tc>
        <w:tc>
          <w:tcPr>
            <w:tcW w:w="1454" w:type="pct"/>
            <w:gridSpan w:val="3"/>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DC2AAD8" w14:textId="669C08CA"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r w:rsidRPr="009D0A4A">
              <w:rPr>
                <w:rFonts w:asciiTheme="minorHAnsi" w:hAnsiTheme="minorHAnsi" w:cstheme="minorHAnsi"/>
                <w:sz w:val="18"/>
                <w:szCs w:val="18"/>
              </w:rPr>
              <w:t>50</w:t>
            </w:r>
            <w:r w:rsidR="00447277">
              <w:rPr>
                <w:rStyle w:val="FootnoteReference"/>
                <w:rFonts w:asciiTheme="minorHAnsi" w:hAnsiTheme="minorHAnsi" w:cstheme="minorHAnsi"/>
                <w:sz w:val="18"/>
                <w:szCs w:val="18"/>
              </w:rPr>
              <w:footnoteReference w:id="30"/>
            </w:r>
          </w:p>
        </w:tc>
        <w:tc>
          <w:tcPr>
            <w:tcW w:w="1360" w:type="pct"/>
            <w:vMerge/>
            <w:tcBorders>
              <w:left w:val="single" w:sz="8" w:space="0" w:color="D9D9D9"/>
              <w:bottom w:val="single" w:sz="8" w:space="0" w:color="D9D9D9"/>
              <w:right w:val="single" w:sz="8" w:space="0" w:color="D9D9D9"/>
            </w:tcBorders>
            <w:shd w:val="clear" w:color="auto" w:fill="FFFFFF" w:themeFill="background1"/>
            <w:vAlign w:val="center"/>
          </w:tcPr>
          <w:p w14:paraId="40210339"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p>
        </w:tc>
      </w:tr>
      <w:tr w:rsidR="00105526" w:rsidRPr="009D0A4A" w14:paraId="6B2D1CA6" w14:textId="77777777" w:rsidTr="00722B43">
        <w:trPr>
          <w:trHeight w:val="20"/>
        </w:trPr>
        <w:tc>
          <w:tcPr>
            <w:tcW w:w="676"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1731A0E5" w14:textId="43A8D92C" w:rsidR="00105526" w:rsidRPr="009D0A4A" w:rsidRDefault="00105526" w:rsidP="00FA6EE6">
            <w:pPr>
              <w:pStyle w:val="EYBulletnoparaspace"/>
              <w:numPr>
                <w:ilvl w:val="0"/>
                <w:numId w:val="0"/>
              </w:numPr>
              <w:spacing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 xml:space="preserve">Engineered stone control plan </w:t>
            </w:r>
          </w:p>
        </w:tc>
        <w:tc>
          <w:tcPr>
            <w:tcW w:w="697" w:type="pct"/>
            <w:vMerge w:val="restart"/>
            <w:tcBorders>
              <w:top w:val="single" w:sz="8" w:space="0" w:color="D9D9D9"/>
              <w:left w:val="single" w:sz="8" w:space="0" w:color="D9D9D9"/>
              <w:right w:val="single" w:sz="8" w:space="0" w:color="D9D9D9"/>
            </w:tcBorders>
            <w:shd w:val="clear" w:color="auto" w:fill="FFFFFF" w:themeFill="background1"/>
          </w:tcPr>
          <w:p w14:paraId="65F61F45" w14:textId="3FA038D0" w:rsidR="00105526" w:rsidRPr="009D0A4A" w:rsidRDefault="00105526" w:rsidP="00FA6EE6">
            <w:pPr>
              <w:pStyle w:val="BodyText"/>
              <w:ind w:left="157"/>
              <w:rPr>
                <w:rFonts w:cstheme="minorHAnsi"/>
                <w:color w:val="auto"/>
                <w:sz w:val="18"/>
                <w:szCs w:val="18"/>
              </w:rPr>
            </w:pPr>
            <w:r w:rsidRPr="009D0A4A">
              <w:rPr>
                <w:rFonts w:cstheme="minorHAnsi"/>
                <w:color w:val="auto"/>
                <w:sz w:val="18"/>
                <w:szCs w:val="18"/>
              </w:rPr>
              <w:t>Labour costs to prepare an engineered stone control and implementation plan</w:t>
            </w:r>
          </w:p>
          <w:p w14:paraId="2E1A8F1B" w14:textId="77777777" w:rsidR="00105526" w:rsidRPr="009D0A4A" w:rsidRDefault="00105526" w:rsidP="00FA6EE6">
            <w:pPr>
              <w:pStyle w:val="EYBulletnoparaspace"/>
              <w:numPr>
                <w:ilvl w:val="0"/>
                <w:numId w:val="0"/>
              </w:numPr>
              <w:spacing w:line="264" w:lineRule="auto"/>
              <w:ind w:left="134"/>
              <w:rPr>
                <w:rFonts w:asciiTheme="minorHAnsi" w:hAnsiTheme="minorHAnsi" w:cstheme="minorHAnsi"/>
                <w:color w:val="262626" w:themeColor="text1" w:themeTint="D9"/>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BF0CE02" w14:textId="00B05683" w:rsidR="00105526" w:rsidRPr="009D0A4A" w:rsidRDefault="00105526" w:rsidP="00FA6EE6">
            <w:pPr>
              <w:pStyle w:val="BodyText"/>
              <w:rPr>
                <w:rFonts w:cstheme="minorHAnsi"/>
                <w:b/>
                <w:bCs/>
                <w:sz w:val="18"/>
                <w:szCs w:val="18"/>
              </w:rPr>
            </w:pPr>
            <w:r w:rsidRPr="009D0A4A">
              <w:rPr>
                <w:rFonts w:cstheme="minorHAnsi"/>
                <w:sz w:val="18"/>
                <w:szCs w:val="18"/>
              </w:rPr>
              <w:t xml:space="preserve">Number of hours </w:t>
            </w:r>
            <w:r w:rsidR="00455BE6" w:rsidRPr="009D0A4A">
              <w:rPr>
                <w:rFonts w:cstheme="minorHAnsi"/>
                <w:sz w:val="18"/>
                <w:szCs w:val="18"/>
              </w:rPr>
              <w:t xml:space="preserve">per year </w:t>
            </w:r>
            <w:r w:rsidRPr="009D0A4A">
              <w:rPr>
                <w:rFonts w:cstheme="minorHAnsi"/>
                <w:sz w:val="18"/>
                <w:szCs w:val="18"/>
              </w:rPr>
              <w:t>to prepare engineered stone control plan (hours</w:t>
            </w:r>
            <w:r w:rsidR="00E94CFF" w:rsidRPr="009D0A4A">
              <w:rPr>
                <w:rFonts w:cstheme="minorHAnsi"/>
                <w:sz w:val="18"/>
                <w:szCs w:val="18"/>
              </w:rPr>
              <w:t>/year)</w:t>
            </w:r>
          </w:p>
        </w:tc>
        <w:tc>
          <w:tcPr>
            <w:tcW w:w="1454" w:type="pct"/>
            <w:gridSpan w:val="3"/>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701BFC57" w14:textId="7B947030" w:rsidR="00105526" w:rsidRPr="009D0A4A" w:rsidRDefault="00105526" w:rsidP="00FA6EE6">
            <w:pPr>
              <w:pStyle w:val="EYBulletnoparaspace"/>
              <w:numPr>
                <w:ilvl w:val="0"/>
                <w:numId w:val="0"/>
              </w:numPr>
              <w:spacing w:line="264" w:lineRule="auto"/>
              <w:ind w:left="134" w:right="130"/>
              <w:jc w:val="center"/>
              <w:rPr>
                <w:rFonts w:asciiTheme="minorHAnsi" w:hAnsiTheme="minorHAnsi" w:cstheme="minorHAnsi"/>
                <w:b/>
                <w:bCs/>
                <w:sz w:val="18"/>
                <w:szCs w:val="18"/>
              </w:rPr>
            </w:pPr>
            <w:r w:rsidRPr="009D0A4A">
              <w:rPr>
                <w:rFonts w:asciiTheme="minorHAnsi" w:hAnsiTheme="minorHAnsi" w:cstheme="minorHAnsi"/>
                <w:sz w:val="18"/>
                <w:szCs w:val="18"/>
              </w:rPr>
              <w:t>2</w:t>
            </w:r>
            <w:r w:rsidR="005E3E32" w:rsidRPr="009D0A4A">
              <w:t xml:space="preserve"> </w:t>
            </w:r>
            <w:r w:rsidR="005E3E32"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{"citationID":"56liYdVZ","properties":{"formattedCitation":"(Deloitte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005E3E32" w:rsidRPr="009D0A4A">
              <w:rPr>
                <w:rFonts w:asciiTheme="minorHAnsi" w:hAnsiTheme="minorHAnsi" w:cstheme="minorHAnsi"/>
                <w:sz w:val="18"/>
                <w:szCs w:val="18"/>
              </w:rPr>
              <w:fldChar w:fldCharType="separate"/>
            </w:r>
            <w:r w:rsidR="006B4A7D" w:rsidRPr="009D0A4A">
              <w:rPr>
                <w:rFonts w:ascii="Calibri" w:hAnsi="Calibri" w:cs="Calibri"/>
                <w:sz w:val="18"/>
              </w:rPr>
              <w:t>(Deloitte 2021)</w:t>
            </w:r>
            <w:r w:rsidR="005E3E32" w:rsidRPr="009D0A4A">
              <w:rPr>
                <w:rFonts w:asciiTheme="minorHAnsi" w:hAnsiTheme="minorHAnsi" w:cstheme="minorHAnsi"/>
                <w:sz w:val="18"/>
                <w:szCs w:val="18"/>
              </w:rPr>
              <w:fldChar w:fldCharType="end"/>
            </w:r>
          </w:p>
        </w:tc>
        <w:tc>
          <w:tcPr>
            <w:tcW w:w="1360" w:type="pct"/>
            <w:vMerge w:val="restart"/>
            <w:tcBorders>
              <w:top w:val="single" w:sz="8" w:space="0" w:color="D9D9D9"/>
              <w:left w:val="single" w:sz="8" w:space="0" w:color="D9D9D9"/>
              <w:right w:val="single" w:sz="8" w:space="0" w:color="D9D9D9"/>
            </w:tcBorders>
            <w:shd w:val="clear" w:color="auto" w:fill="FFFFFF" w:themeFill="background1"/>
            <w:vAlign w:val="center"/>
            <w:hideMark/>
          </w:tcPr>
          <w:p w14:paraId="7CAC78BB" w14:textId="07F395FE" w:rsidR="00105526" w:rsidRPr="009D0A4A" w:rsidRDefault="00105526" w:rsidP="00FA6EE6">
            <w:pPr>
              <w:pStyle w:val="EYBulletnoparaspace"/>
              <w:numPr>
                <w:ilvl w:val="0"/>
                <w:numId w:val="0"/>
              </w:numPr>
              <w:spacing w:line="264" w:lineRule="auto"/>
              <w:ind w:left="134" w:right="130"/>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Cost of engineered stone control plan</w:t>
            </w:r>
          </w:p>
          <w:p w14:paraId="7FA0AA1F" w14:textId="77777777" w:rsidR="00105526" w:rsidRPr="009D0A4A" w:rsidRDefault="00105526" w:rsidP="00FA6EE6">
            <w:pPr>
              <w:pStyle w:val="EYBulletnoparaspace"/>
              <w:numPr>
                <w:ilvl w:val="0"/>
                <w:numId w:val="0"/>
              </w:numPr>
              <w:spacing w:line="264" w:lineRule="auto"/>
              <w:ind w:left="134"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51AB61C5" w14:textId="26CDDFCF"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Number of hours to prepare an engineered stone control plan</w:t>
            </w:r>
          </w:p>
          <w:p w14:paraId="36D29BCF"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 xml:space="preserve"> ×</w:t>
            </w:r>
          </w:p>
          <w:p w14:paraId="48B0147D"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 xml:space="preserve">Average wage/hour </w:t>
            </w:r>
          </w:p>
          <w:p w14:paraId="260ED368"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21D10803" w14:textId="77777777" w:rsidR="00105526" w:rsidRPr="009D0A4A" w:rsidRDefault="00105526" w:rsidP="00FA6EE6">
            <w:pPr>
              <w:pStyle w:val="EYBulletnoparaspace"/>
              <w:numPr>
                <w:ilvl w:val="0"/>
                <w:numId w:val="0"/>
              </w:numPr>
              <w:spacing w:after="120"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Number of PCBUs working with engineered stone in Australia</w:t>
            </w:r>
          </w:p>
        </w:tc>
      </w:tr>
      <w:tr w:rsidR="00105526" w:rsidRPr="009D0A4A" w14:paraId="296FE3F7" w14:textId="77777777" w:rsidTr="00722B43">
        <w:trPr>
          <w:trHeight w:val="2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3CB10A09"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right w:val="single" w:sz="8" w:space="0" w:color="D9D9D9"/>
            </w:tcBorders>
            <w:shd w:val="clear" w:color="auto" w:fill="FFFFFF" w:themeFill="background1"/>
          </w:tcPr>
          <w:p w14:paraId="6EDACD50" w14:textId="77777777" w:rsidR="00105526" w:rsidRPr="009D0A4A" w:rsidRDefault="00105526" w:rsidP="00FA6EE6">
            <w:pPr>
              <w:pStyle w:val="BodyText"/>
              <w:ind w:left="157"/>
              <w:rPr>
                <w:rFonts w:cstheme="minorHAnsi"/>
                <w:color w:val="auto"/>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5B03724B" w14:textId="77777777" w:rsidR="00105526" w:rsidRPr="009D0A4A" w:rsidRDefault="00105526" w:rsidP="00FA6EE6">
            <w:pPr>
              <w:pStyle w:val="BodyText"/>
              <w:rPr>
                <w:rFonts w:cstheme="minorHAnsi"/>
                <w:b/>
                <w:bCs/>
                <w:sz w:val="18"/>
                <w:szCs w:val="18"/>
              </w:rPr>
            </w:pPr>
            <w:r w:rsidRPr="009D0A4A">
              <w:rPr>
                <w:rFonts w:cstheme="minorHAnsi"/>
                <w:color w:val="auto"/>
                <w:sz w:val="18"/>
                <w:szCs w:val="18"/>
              </w:rPr>
              <w:t>Average wage/hour ($)</w:t>
            </w:r>
          </w:p>
        </w:tc>
        <w:tc>
          <w:tcPr>
            <w:tcW w:w="1454" w:type="pct"/>
            <w:gridSpan w:val="3"/>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2E448761" w14:textId="5B6878DF" w:rsidR="00105526" w:rsidRPr="009D0A4A" w:rsidRDefault="00105526" w:rsidP="00FA6EE6">
            <w:pPr>
              <w:pStyle w:val="EYBulletnoparaspace"/>
              <w:numPr>
                <w:ilvl w:val="0"/>
                <w:numId w:val="0"/>
              </w:numPr>
              <w:spacing w:line="264" w:lineRule="auto"/>
              <w:ind w:left="134" w:right="130"/>
              <w:jc w:val="center"/>
              <w:rPr>
                <w:rFonts w:asciiTheme="minorHAnsi" w:hAnsiTheme="minorHAnsi" w:cstheme="minorHAnsi"/>
                <w:b/>
                <w:bCs/>
                <w:sz w:val="18"/>
                <w:szCs w:val="18"/>
              </w:rPr>
            </w:pPr>
            <w:r w:rsidRPr="009D0A4A">
              <w:rPr>
                <w:rFonts w:asciiTheme="minorHAnsi" w:hAnsiTheme="minorHAnsi" w:cstheme="minorHAnsi"/>
                <w:sz w:val="18"/>
                <w:szCs w:val="18"/>
              </w:rPr>
              <w:t>$46.24</w:t>
            </w:r>
            <w:r w:rsidR="005E3E32" w:rsidRPr="009D0A4A">
              <w:rPr>
                <w:rFonts w:asciiTheme="minorHAnsi" w:hAnsiTheme="minorHAnsi" w:cstheme="minorHAnsi"/>
                <w:sz w:val="18"/>
                <w:szCs w:val="18"/>
              </w:rPr>
              <w:t xml:space="preserve"> </w:t>
            </w:r>
            <w:r w:rsidR="005E3E32"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{"citationID":"VwpVGo67","properties":{"formattedCitation":"(Australian Bureau of Statistics 2021c)","plainCitation":"(Australian Bureau of Statistics 2021c)","noteIndex":0},"citationItems":[{"id":913,"uris":["http://zotero.org/users/6230888/items/YWAVMKLE"],"itemData":{"id":913,"type":"webpage","abstract":"Estimates of weekly earnings classified by industry, sector, state and territory","language":"en","title":"Average Weekly Earnings, Australia, November 2021","URL":"https://www.abs.gov.au/statistics/labour/earnings-and-working-conditions/average-weekly-earnings-australia/latest-release","author":[{"literal":"Australian Bureau of Statistics"}],"accessed":{"date-parts":[["2022",6,30]]},"issued":{"date-parts":[["2021"]]}}}],"schema":"https://github.com/citation-style-language/schema/raw/master/csl-citation.json"} </w:instrText>
            </w:r>
            <w:r w:rsidR="005E3E32" w:rsidRPr="009D0A4A">
              <w:rPr>
                <w:rFonts w:asciiTheme="minorHAnsi" w:hAnsiTheme="minorHAnsi" w:cstheme="minorHAnsi"/>
                <w:sz w:val="18"/>
                <w:szCs w:val="18"/>
              </w:rPr>
              <w:fldChar w:fldCharType="separate"/>
            </w:r>
            <w:r w:rsidR="006B4A7D" w:rsidRPr="009D0A4A">
              <w:rPr>
                <w:rFonts w:ascii="Calibri" w:hAnsi="Calibri" w:cs="Calibri"/>
                <w:sz w:val="18"/>
              </w:rPr>
              <w:t>(Australian Bureau of Statistics 2021c)</w:t>
            </w:r>
            <w:r w:rsidR="005E3E32" w:rsidRPr="009D0A4A">
              <w:rPr>
                <w:rFonts w:asciiTheme="minorHAnsi" w:hAnsiTheme="minorHAnsi" w:cstheme="minorHAnsi"/>
                <w:sz w:val="18"/>
                <w:szCs w:val="18"/>
              </w:rPr>
              <w:fldChar w:fldCharType="end"/>
            </w:r>
          </w:p>
        </w:tc>
        <w:tc>
          <w:tcPr>
            <w:tcW w:w="1360" w:type="pct"/>
            <w:vMerge/>
            <w:tcBorders>
              <w:left w:val="single" w:sz="8" w:space="0" w:color="D9D9D9"/>
              <w:right w:val="single" w:sz="8" w:space="0" w:color="D9D9D9"/>
            </w:tcBorders>
            <w:shd w:val="clear" w:color="auto" w:fill="FFFFFF" w:themeFill="background1"/>
            <w:vAlign w:val="center"/>
          </w:tcPr>
          <w:p w14:paraId="160A6FCE" w14:textId="77777777" w:rsidR="00105526" w:rsidRPr="009D0A4A" w:rsidRDefault="00105526" w:rsidP="00FA6EE6">
            <w:pPr>
              <w:pStyle w:val="EYBulletnoparaspace"/>
              <w:numPr>
                <w:ilvl w:val="0"/>
                <w:numId w:val="0"/>
              </w:numPr>
              <w:spacing w:line="264" w:lineRule="auto"/>
              <w:ind w:left="134" w:right="130"/>
              <w:jc w:val="center"/>
              <w:rPr>
                <w:rFonts w:asciiTheme="minorHAnsi" w:hAnsiTheme="minorHAnsi" w:cstheme="minorHAnsi"/>
                <w:b/>
                <w:bCs/>
                <w:sz w:val="18"/>
                <w:szCs w:val="18"/>
              </w:rPr>
            </w:pPr>
          </w:p>
        </w:tc>
      </w:tr>
      <w:tr w:rsidR="00105526" w:rsidRPr="009D0A4A" w14:paraId="5D2BEA47" w14:textId="77777777" w:rsidTr="00722B43">
        <w:trPr>
          <w:trHeight w:val="20"/>
        </w:trPr>
        <w:tc>
          <w:tcPr>
            <w:tcW w:w="676" w:type="pct"/>
            <w:vMerge/>
            <w:tcBorders>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44894210"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bottom w:val="single" w:sz="8" w:space="0" w:color="D9D9D9"/>
              <w:right w:val="single" w:sz="8" w:space="0" w:color="D9D9D9"/>
            </w:tcBorders>
            <w:shd w:val="clear" w:color="auto" w:fill="FFFFFF" w:themeFill="background1"/>
          </w:tcPr>
          <w:p w14:paraId="60B836A7" w14:textId="77777777" w:rsidR="00105526" w:rsidRPr="009D0A4A" w:rsidRDefault="00105526" w:rsidP="00FA6EE6">
            <w:pPr>
              <w:pStyle w:val="BodyText"/>
              <w:ind w:left="157"/>
              <w:rPr>
                <w:rFonts w:cstheme="minorHAnsi"/>
                <w:color w:val="auto"/>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16159284" w14:textId="77777777" w:rsidR="00105526" w:rsidRPr="009D0A4A" w:rsidRDefault="00105526" w:rsidP="00FA6EE6">
            <w:pPr>
              <w:pStyle w:val="BodyText"/>
              <w:rPr>
                <w:rFonts w:cstheme="minorHAnsi"/>
                <w:b/>
                <w:bCs/>
                <w:sz w:val="18"/>
                <w:szCs w:val="18"/>
              </w:rPr>
            </w:pPr>
            <w:r w:rsidRPr="009D0A4A">
              <w:rPr>
                <w:rFonts w:cstheme="minorHAnsi"/>
                <w:color w:val="auto"/>
                <w:sz w:val="18"/>
                <w:szCs w:val="18"/>
              </w:rPr>
              <w:t>Number of PCBUs working with engineered stone in Australia (#)</w:t>
            </w:r>
          </w:p>
        </w:tc>
        <w:tc>
          <w:tcPr>
            <w:tcW w:w="1454" w:type="pct"/>
            <w:gridSpan w:val="3"/>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54A2905E" w14:textId="7180CF1D" w:rsidR="00105526" w:rsidRPr="009D0A4A" w:rsidRDefault="00105526" w:rsidP="00FA6EE6">
            <w:pPr>
              <w:pStyle w:val="EYBulletnoparaspace"/>
              <w:numPr>
                <w:ilvl w:val="0"/>
                <w:numId w:val="0"/>
              </w:numPr>
              <w:spacing w:line="264" w:lineRule="auto"/>
              <w:ind w:left="134" w:right="130"/>
              <w:jc w:val="center"/>
              <w:rPr>
                <w:rFonts w:asciiTheme="minorHAnsi" w:hAnsiTheme="minorHAnsi" w:cstheme="minorHAnsi"/>
                <w:b/>
                <w:bCs/>
                <w:sz w:val="18"/>
                <w:szCs w:val="18"/>
              </w:rPr>
            </w:pPr>
            <w:r w:rsidRPr="009D0A4A">
              <w:rPr>
                <w:rFonts w:asciiTheme="minorHAnsi" w:hAnsiTheme="minorHAnsi" w:cstheme="minorHAnsi"/>
                <w:sz w:val="18"/>
                <w:szCs w:val="18"/>
              </w:rPr>
              <w:t>1,000</w:t>
            </w:r>
            <w:r w:rsidR="005E3E32" w:rsidRPr="009D0A4A">
              <w:rPr>
                <w:rStyle w:val="FootnoteReference"/>
              </w:rPr>
              <w:t xml:space="preserve"> </w:t>
            </w:r>
            <w:r w:rsidR="005E3E32"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{"citationID":"AplO61ru","properties":{"formattedCitation":"(Australian Engineered Stone Advisory Group 2019)","plainCitation":"(Australian Engineered Stone Advisory Group 2019)","noteIndex":0},"citationItems":[{"id":918,"uris":["http://zotero.org/users/6230888/items/4WCCIQ5J"],"itemData":{"id":918,"type":"report","page":"102","title":"Members of the Australian Engineered Stone Advisory Group (AESAG) Application for authorisation to the Australian Competition and Consumer Commission (ACCC)","URL":"https://www.accc.gov.au/system/files/public-registers/documents/Australian%20Engineered%20Stone%20Advisory%20Group%20%28AESAG%29%20-%20Application%20Received%20-%2029.11.19%20-%20PR%20VERSION.pdf","author":[{"literal":"Australian Engineered Stone Advisory Group"}],"accessed":{"date-parts":[["2022",6,30]]},"issued":{"date-parts":[["2019"]]}}}],"schema":"https://github.com/citation-style-language/schema/raw/master/csl-citation.json"} </w:instrText>
            </w:r>
            <w:r w:rsidR="005E3E32" w:rsidRPr="009D0A4A">
              <w:rPr>
                <w:rFonts w:asciiTheme="minorHAnsi" w:hAnsiTheme="minorHAnsi" w:cstheme="minorHAnsi"/>
                <w:sz w:val="18"/>
                <w:szCs w:val="18"/>
              </w:rPr>
              <w:fldChar w:fldCharType="separate"/>
            </w:r>
            <w:r w:rsidR="006B4A7D" w:rsidRPr="009D0A4A">
              <w:rPr>
                <w:rFonts w:ascii="Calibri" w:hAnsi="Calibri" w:cs="Calibri"/>
                <w:sz w:val="18"/>
              </w:rPr>
              <w:t>(Australian Engineered Stone Advisory Group 2019)</w:t>
            </w:r>
            <w:r w:rsidR="005E3E32" w:rsidRPr="009D0A4A">
              <w:rPr>
                <w:rFonts w:asciiTheme="minorHAnsi" w:hAnsiTheme="minorHAnsi" w:cstheme="minorHAnsi"/>
                <w:sz w:val="18"/>
                <w:szCs w:val="18"/>
              </w:rPr>
              <w:fldChar w:fldCharType="end"/>
            </w:r>
          </w:p>
        </w:tc>
        <w:tc>
          <w:tcPr>
            <w:tcW w:w="1360" w:type="pct"/>
            <w:vMerge/>
            <w:tcBorders>
              <w:left w:val="single" w:sz="8" w:space="0" w:color="D9D9D9"/>
              <w:bottom w:val="single" w:sz="8" w:space="0" w:color="D9D9D9"/>
              <w:right w:val="single" w:sz="8" w:space="0" w:color="D9D9D9"/>
            </w:tcBorders>
            <w:shd w:val="clear" w:color="auto" w:fill="FFFFFF" w:themeFill="background1"/>
            <w:vAlign w:val="center"/>
          </w:tcPr>
          <w:p w14:paraId="7B894BBF" w14:textId="77777777" w:rsidR="00105526" w:rsidRPr="009D0A4A" w:rsidRDefault="00105526" w:rsidP="00FA6EE6">
            <w:pPr>
              <w:pStyle w:val="EYBulletnoparaspace"/>
              <w:numPr>
                <w:ilvl w:val="0"/>
                <w:numId w:val="0"/>
              </w:numPr>
              <w:spacing w:line="264" w:lineRule="auto"/>
              <w:ind w:left="134" w:right="130"/>
              <w:jc w:val="center"/>
              <w:rPr>
                <w:rFonts w:asciiTheme="minorHAnsi" w:hAnsiTheme="minorHAnsi" w:cstheme="minorHAnsi"/>
                <w:b/>
                <w:bCs/>
                <w:sz w:val="18"/>
                <w:szCs w:val="18"/>
              </w:rPr>
            </w:pPr>
          </w:p>
        </w:tc>
      </w:tr>
      <w:tr w:rsidR="00105526" w:rsidRPr="009D0A4A" w14:paraId="50C29A5D" w14:textId="77777777" w:rsidTr="00722B43">
        <w:trPr>
          <w:trHeight w:val="20"/>
        </w:trPr>
        <w:tc>
          <w:tcPr>
            <w:tcW w:w="676"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78C7846D"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 xml:space="preserve">Health monitoring – provision of report to regulators </w:t>
            </w:r>
          </w:p>
        </w:tc>
        <w:tc>
          <w:tcPr>
            <w:tcW w:w="697" w:type="pct"/>
            <w:vMerge w:val="restart"/>
            <w:tcBorders>
              <w:top w:val="single" w:sz="8" w:space="0" w:color="D9D9D9"/>
              <w:left w:val="single" w:sz="8" w:space="0" w:color="D9D9D9"/>
              <w:right w:val="single" w:sz="8" w:space="0" w:color="D9D9D9"/>
            </w:tcBorders>
            <w:shd w:val="clear" w:color="auto" w:fill="FFFFFF" w:themeFill="background1"/>
          </w:tcPr>
          <w:p w14:paraId="19303340" w14:textId="77777777" w:rsidR="00105526" w:rsidRPr="009D0A4A" w:rsidRDefault="00105526" w:rsidP="00FA6EE6">
            <w:pPr>
              <w:pStyle w:val="BodyText"/>
              <w:ind w:left="157"/>
              <w:rPr>
                <w:rFonts w:cstheme="minorHAnsi"/>
                <w:color w:val="auto"/>
                <w:sz w:val="18"/>
                <w:szCs w:val="18"/>
              </w:rPr>
            </w:pPr>
            <w:r w:rsidRPr="009D0A4A">
              <w:rPr>
                <w:rFonts w:cstheme="minorHAnsi"/>
                <w:color w:val="auto"/>
                <w:sz w:val="18"/>
                <w:szCs w:val="18"/>
              </w:rPr>
              <w:t>Additional labour costs for the preparation of health monitoring reports for submission to WHS regulators in each jurisdiction.</w:t>
            </w:r>
          </w:p>
          <w:p w14:paraId="692AD638" w14:textId="77777777" w:rsidR="00105526" w:rsidRPr="009D0A4A" w:rsidRDefault="00105526" w:rsidP="00FA6EE6">
            <w:pPr>
              <w:pStyle w:val="BodyText"/>
              <w:ind w:left="157"/>
              <w:rPr>
                <w:rFonts w:cstheme="minorHAnsi"/>
                <w:color w:val="auto"/>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2B69167C" w14:textId="22871B35" w:rsidR="00105526" w:rsidRPr="009D0A4A" w:rsidRDefault="00105526" w:rsidP="00FA6EE6">
            <w:pPr>
              <w:pStyle w:val="BodyText"/>
              <w:rPr>
                <w:rFonts w:cstheme="minorHAnsi"/>
                <w:b/>
                <w:bCs/>
                <w:sz w:val="18"/>
                <w:szCs w:val="18"/>
              </w:rPr>
            </w:pPr>
            <w:r w:rsidRPr="009D0A4A">
              <w:rPr>
                <w:rFonts w:cstheme="minorHAnsi"/>
                <w:sz w:val="18"/>
                <w:szCs w:val="18"/>
              </w:rPr>
              <w:t xml:space="preserve">Number of hours </w:t>
            </w:r>
            <w:r w:rsidR="00455BE6" w:rsidRPr="009D0A4A">
              <w:rPr>
                <w:rFonts w:cstheme="minorHAnsi"/>
                <w:sz w:val="18"/>
                <w:szCs w:val="18"/>
              </w:rPr>
              <w:t xml:space="preserve">per year </w:t>
            </w:r>
            <w:r w:rsidRPr="009D0A4A">
              <w:rPr>
                <w:rFonts w:cstheme="minorHAnsi"/>
                <w:sz w:val="18"/>
                <w:szCs w:val="18"/>
              </w:rPr>
              <w:t>to prepare health monitoring report for submission (hours</w:t>
            </w:r>
            <w:r w:rsidR="00E94CFF" w:rsidRPr="009D0A4A">
              <w:rPr>
                <w:rFonts w:cstheme="minorHAnsi"/>
                <w:sz w:val="18"/>
                <w:szCs w:val="18"/>
              </w:rPr>
              <w:t>/year</w:t>
            </w:r>
            <w:r w:rsidRPr="009D0A4A">
              <w:rPr>
                <w:rFonts w:cstheme="minorHAnsi"/>
                <w:sz w:val="18"/>
                <w:szCs w:val="18"/>
              </w:rPr>
              <w:t>)</w:t>
            </w:r>
          </w:p>
        </w:tc>
        <w:tc>
          <w:tcPr>
            <w:tcW w:w="1454" w:type="pct"/>
            <w:gridSpan w:val="3"/>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79905B59" w14:textId="7E71883E" w:rsidR="00105526" w:rsidRPr="009D0A4A" w:rsidRDefault="005E3E32" w:rsidP="00FA6EE6">
            <w:pPr>
              <w:pStyle w:val="EYBulletnoparaspace"/>
              <w:numPr>
                <w:ilvl w:val="0"/>
                <w:numId w:val="0"/>
              </w:numPr>
              <w:spacing w:line="264" w:lineRule="auto"/>
              <w:ind w:left="134" w:right="269"/>
              <w:jc w:val="center"/>
              <w:rPr>
                <w:rFonts w:asciiTheme="minorHAnsi" w:hAnsiTheme="minorHAnsi" w:cstheme="minorHAnsi"/>
                <w:b/>
                <w:bCs/>
                <w:sz w:val="18"/>
                <w:szCs w:val="18"/>
              </w:rPr>
            </w:pPr>
            <w:r w:rsidRPr="009D0A4A">
              <w:rPr>
                <w:rFonts w:asciiTheme="minorHAnsi" w:hAnsiTheme="minorHAnsi" w:cstheme="minorHAnsi"/>
                <w:sz w:val="18"/>
                <w:szCs w:val="18"/>
              </w:rPr>
              <w:t>2</w:t>
            </w:r>
            <w:r w:rsidRPr="009D0A4A">
              <w:t xml:space="preserve"> </w:t>
            </w:r>
            <w:r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{"citationID":"c5uKqFOF","properties":{"formattedCitation":"(Deloitte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Pr="009D0A4A">
              <w:rPr>
                <w:rFonts w:asciiTheme="minorHAnsi" w:hAnsiTheme="minorHAnsi" w:cstheme="minorHAnsi"/>
                <w:sz w:val="18"/>
                <w:szCs w:val="18"/>
              </w:rPr>
              <w:fldChar w:fldCharType="separate"/>
            </w:r>
            <w:r w:rsidR="006B4A7D" w:rsidRPr="009D0A4A">
              <w:rPr>
                <w:rFonts w:ascii="Calibri" w:hAnsi="Calibri" w:cs="Calibri"/>
                <w:sz w:val="18"/>
              </w:rPr>
              <w:t>(Deloitte 2021)</w:t>
            </w:r>
            <w:r w:rsidRPr="009D0A4A">
              <w:rPr>
                <w:rFonts w:asciiTheme="minorHAnsi" w:hAnsiTheme="minorHAnsi" w:cstheme="minorHAnsi"/>
                <w:sz w:val="18"/>
                <w:szCs w:val="18"/>
              </w:rPr>
              <w:fldChar w:fldCharType="end"/>
            </w:r>
          </w:p>
        </w:tc>
        <w:tc>
          <w:tcPr>
            <w:tcW w:w="1360" w:type="pct"/>
            <w:vMerge w:val="restart"/>
            <w:tcBorders>
              <w:top w:val="single" w:sz="8" w:space="0" w:color="D9D9D9"/>
              <w:left w:val="single" w:sz="8" w:space="0" w:color="D9D9D9"/>
              <w:right w:val="single" w:sz="8" w:space="0" w:color="D9D9D9"/>
            </w:tcBorders>
            <w:shd w:val="clear" w:color="auto" w:fill="FFFFFF" w:themeFill="background1"/>
            <w:vAlign w:val="center"/>
            <w:hideMark/>
          </w:tcPr>
          <w:p w14:paraId="320D7066" w14:textId="77777777" w:rsidR="00105526" w:rsidRPr="009D0A4A" w:rsidRDefault="00105526" w:rsidP="00FA6EE6">
            <w:pPr>
              <w:pStyle w:val="EYBulletnoparaspace"/>
              <w:numPr>
                <w:ilvl w:val="0"/>
                <w:numId w:val="0"/>
              </w:numPr>
              <w:spacing w:line="264" w:lineRule="auto"/>
              <w:ind w:left="134" w:right="269"/>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 xml:space="preserve">Cost of health monitoring - provision of report to regulators </w:t>
            </w:r>
          </w:p>
          <w:p w14:paraId="489DD7B0" w14:textId="77777777" w:rsidR="00105526" w:rsidRPr="009D0A4A" w:rsidRDefault="00105526" w:rsidP="00FA6EE6">
            <w:pPr>
              <w:pStyle w:val="EYBulletnoparaspace"/>
              <w:numPr>
                <w:ilvl w:val="0"/>
                <w:numId w:val="0"/>
              </w:numPr>
              <w:spacing w:line="264" w:lineRule="auto"/>
              <w:ind w:left="134" w:right="269"/>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w:t>
            </w:r>
          </w:p>
          <w:p w14:paraId="6A686496"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Number of hours to prepare health monitoring report for submission</w:t>
            </w:r>
          </w:p>
          <w:p w14:paraId="41E7ACAD"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6FD84F0C"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 xml:space="preserve">Average wage/hour </w:t>
            </w:r>
          </w:p>
          <w:p w14:paraId="585D7645"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148F1919" w14:textId="77777777" w:rsidR="00105526" w:rsidRPr="009D0A4A" w:rsidRDefault="00105526" w:rsidP="00FA6EE6">
            <w:pPr>
              <w:pStyle w:val="EYBulletnoparaspace"/>
              <w:numPr>
                <w:ilvl w:val="0"/>
                <w:numId w:val="0"/>
              </w:numPr>
              <w:spacing w:after="120" w:line="264" w:lineRule="auto"/>
              <w:ind w:right="130"/>
              <w:jc w:val="center"/>
              <w:rPr>
                <w:rFonts w:asciiTheme="minorHAnsi" w:hAnsiTheme="minorHAnsi" w:cstheme="minorHAnsi"/>
                <w:color w:val="262626" w:themeColor="text1" w:themeTint="D9"/>
                <w:sz w:val="18"/>
                <w:szCs w:val="18"/>
                <w:u w:val="single"/>
              </w:rPr>
            </w:pPr>
            <w:r w:rsidRPr="009D0A4A">
              <w:rPr>
                <w:rFonts w:asciiTheme="minorHAnsi" w:hAnsiTheme="minorHAnsi" w:cstheme="minorHAnsi"/>
                <w:sz w:val="18"/>
                <w:szCs w:val="18"/>
              </w:rPr>
              <w:t>Number of PCBUs working with engineered stone in Australia</w:t>
            </w:r>
          </w:p>
        </w:tc>
      </w:tr>
      <w:tr w:rsidR="00105526" w:rsidRPr="009D0A4A" w14:paraId="2B99DC0E" w14:textId="77777777" w:rsidTr="00722B43">
        <w:trPr>
          <w:trHeight w:val="2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54A8CA29"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right w:val="single" w:sz="8" w:space="0" w:color="D9D9D9"/>
            </w:tcBorders>
            <w:shd w:val="clear" w:color="auto" w:fill="FFFFFF" w:themeFill="background1"/>
            <w:vAlign w:val="center"/>
          </w:tcPr>
          <w:p w14:paraId="6A6061B5" w14:textId="77777777" w:rsidR="00105526" w:rsidRPr="009D0A4A" w:rsidRDefault="00105526" w:rsidP="00FA6EE6">
            <w:pPr>
              <w:pStyle w:val="BodyText"/>
              <w:ind w:left="157"/>
              <w:rPr>
                <w:rFonts w:cstheme="minorHAnsi"/>
                <w:color w:val="auto"/>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0E913C4A" w14:textId="77777777" w:rsidR="00105526" w:rsidRPr="009D0A4A" w:rsidRDefault="00105526" w:rsidP="00FA6EE6">
            <w:pPr>
              <w:pStyle w:val="BodyText"/>
              <w:rPr>
                <w:rFonts w:cstheme="minorHAnsi"/>
                <w:b/>
                <w:bCs/>
                <w:sz w:val="18"/>
                <w:szCs w:val="18"/>
              </w:rPr>
            </w:pPr>
            <w:r w:rsidRPr="009D0A4A">
              <w:rPr>
                <w:rFonts w:cstheme="minorHAnsi"/>
                <w:sz w:val="18"/>
                <w:szCs w:val="18"/>
              </w:rPr>
              <w:t>Average wage/hour ($)</w:t>
            </w:r>
          </w:p>
        </w:tc>
        <w:tc>
          <w:tcPr>
            <w:tcW w:w="1454" w:type="pct"/>
            <w:gridSpan w:val="3"/>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74C2AD0F" w14:textId="52D47142" w:rsidR="00105526" w:rsidRPr="009D0A4A" w:rsidRDefault="00105526" w:rsidP="00FA6EE6">
            <w:pPr>
              <w:pStyle w:val="EYBulletnoparaspace"/>
              <w:numPr>
                <w:ilvl w:val="0"/>
                <w:numId w:val="0"/>
              </w:numPr>
              <w:spacing w:line="264" w:lineRule="auto"/>
              <w:ind w:left="134" w:right="269"/>
              <w:jc w:val="center"/>
              <w:rPr>
                <w:rFonts w:asciiTheme="minorHAnsi" w:hAnsiTheme="minorHAnsi" w:cstheme="minorHAnsi"/>
                <w:b/>
                <w:bCs/>
                <w:sz w:val="18"/>
                <w:szCs w:val="18"/>
              </w:rPr>
            </w:pPr>
            <w:r w:rsidRPr="009D0A4A">
              <w:rPr>
                <w:rFonts w:asciiTheme="minorHAnsi" w:hAnsiTheme="minorHAnsi" w:cstheme="minorHAnsi"/>
                <w:sz w:val="18"/>
                <w:szCs w:val="18"/>
              </w:rPr>
              <w:t>$46.24</w:t>
            </w:r>
            <w:r w:rsidR="005E3E32" w:rsidRPr="009D0A4A">
              <w:t xml:space="preserve"> </w:t>
            </w:r>
            <w:r w:rsidR="005E3E32"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{"citationID":"TNUDYFSA","properties":{"formattedCitation":"(Australian Bureau of Statistics 2021c)","plainCitation":"(Australian Bureau of Statistics 2021c)","noteIndex":0},"citationItems":[{"id":913,"uris":["http://zotero.org/users/6230888/items/YWAVMKLE"],"itemData":{"id":913,"type":"webpage","abstract":"Estimates of weekly earnings classified by industry, sector, state and territory","language":"en","title":"Average Weekly Earnings, Australia, November 2021","URL":"https://www.abs.gov.au/statistics/labour/earnings-and-working-conditions/average-weekly-earnings-australia/latest-release","author":[{"literal":"Australian Bureau of Statistics"}],"accessed":{"date-parts":[["2022",6,30]]},"issued":{"date-parts":[["2021"]]}}}],"schema":"https://github.com/citation-style-language/schema/raw/master/csl-citation.json"} </w:instrText>
            </w:r>
            <w:r w:rsidR="005E3E32" w:rsidRPr="009D0A4A">
              <w:rPr>
                <w:rFonts w:asciiTheme="minorHAnsi" w:hAnsiTheme="minorHAnsi" w:cstheme="minorHAnsi"/>
                <w:sz w:val="18"/>
                <w:szCs w:val="18"/>
              </w:rPr>
              <w:fldChar w:fldCharType="separate"/>
            </w:r>
            <w:r w:rsidR="006B4A7D" w:rsidRPr="009D0A4A">
              <w:rPr>
                <w:rFonts w:ascii="Calibri" w:hAnsi="Calibri" w:cs="Calibri"/>
                <w:sz w:val="18"/>
              </w:rPr>
              <w:t>(Australian Bureau of Statistics 2021c)</w:t>
            </w:r>
            <w:r w:rsidR="005E3E32" w:rsidRPr="009D0A4A">
              <w:rPr>
                <w:rFonts w:asciiTheme="minorHAnsi" w:hAnsiTheme="minorHAnsi" w:cstheme="minorHAnsi"/>
                <w:sz w:val="18"/>
                <w:szCs w:val="18"/>
              </w:rPr>
              <w:fldChar w:fldCharType="end"/>
            </w:r>
          </w:p>
        </w:tc>
        <w:tc>
          <w:tcPr>
            <w:tcW w:w="1360" w:type="pct"/>
            <w:vMerge/>
            <w:tcBorders>
              <w:left w:val="single" w:sz="8" w:space="0" w:color="D9D9D9"/>
              <w:right w:val="single" w:sz="8" w:space="0" w:color="D9D9D9"/>
            </w:tcBorders>
            <w:shd w:val="clear" w:color="auto" w:fill="FFFFFF" w:themeFill="background1"/>
            <w:vAlign w:val="center"/>
          </w:tcPr>
          <w:p w14:paraId="6B7611E8" w14:textId="77777777" w:rsidR="00105526" w:rsidRPr="009D0A4A" w:rsidRDefault="00105526" w:rsidP="00FA6EE6">
            <w:pPr>
              <w:pStyle w:val="EYBulletnoparaspace"/>
              <w:numPr>
                <w:ilvl w:val="0"/>
                <w:numId w:val="0"/>
              </w:numPr>
              <w:spacing w:line="264" w:lineRule="auto"/>
              <w:ind w:left="134" w:right="269"/>
              <w:jc w:val="center"/>
              <w:rPr>
                <w:rFonts w:asciiTheme="minorHAnsi" w:hAnsiTheme="minorHAnsi" w:cstheme="minorHAnsi"/>
                <w:b/>
                <w:bCs/>
                <w:sz w:val="18"/>
                <w:szCs w:val="18"/>
              </w:rPr>
            </w:pPr>
          </w:p>
        </w:tc>
      </w:tr>
      <w:tr w:rsidR="00105526" w:rsidRPr="009D0A4A" w14:paraId="0EB3F417" w14:textId="77777777" w:rsidTr="00722B43">
        <w:trPr>
          <w:trHeight w:val="20"/>
        </w:trPr>
        <w:tc>
          <w:tcPr>
            <w:tcW w:w="676" w:type="pct"/>
            <w:vMerge/>
            <w:tcBorders>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489BD8C8"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bottom w:val="single" w:sz="8" w:space="0" w:color="D9D9D9"/>
              <w:right w:val="single" w:sz="8" w:space="0" w:color="D9D9D9"/>
            </w:tcBorders>
            <w:shd w:val="clear" w:color="auto" w:fill="FFFFFF" w:themeFill="background1"/>
            <w:vAlign w:val="center"/>
          </w:tcPr>
          <w:p w14:paraId="1DD84660" w14:textId="77777777" w:rsidR="00105526" w:rsidRPr="009D0A4A" w:rsidRDefault="00105526" w:rsidP="00FA6EE6">
            <w:pPr>
              <w:pStyle w:val="BodyText"/>
              <w:ind w:left="157"/>
              <w:rPr>
                <w:rFonts w:cstheme="minorHAnsi"/>
                <w:color w:val="auto"/>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0D10A2ED" w14:textId="77777777" w:rsidR="00105526" w:rsidRPr="009D0A4A" w:rsidRDefault="00105526" w:rsidP="00FA6EE6">
            <w:pPr>
              <w:pStyle w:val="BodyText"/>
              <w:rPr>
                <w:rFonts w:cstheme="minorHAnsi"/>
                <w:b/>
                <w:bCs/>
                <w:sz w:val="18"/>
                <w:szCs w:val="18"/>
              </w:rPr>
            </w:pPr>
            <w:r w:rsidRPr="009D0A4A">
              <w:rPr>
                <w:rFonts w:cstheme="minorHAnsi"/>
                <w:sz w:val="18"/>
                <w:szCs w:val="18"/>
              </w:rPr>
              <w:t>Number of PCBUs working with engineered stone in Australia (#)</w:t>
            </w:r>
          </w:p>
        </w:tc>
        <w:tc>
          <w:tcPr>
            <w:tcW w:w="1454" w:type="pct"/>
            <w:gridSpan w:val="3"/>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52470D9A" w14:textId="5FE4FE67" w:rsidR="00105526" w:rsidRPr="009D0A4A" w:rsidRDefault="00105526" w:rsidP="00FA6EE6">
            <w:pPr>
              <w:pStyle w:val="EYBulletnoparaspace"/>
              <w:numPr>
                <w:ilvl w:val="0"/>
                <w:numId w:val="0"/>
              </w:numPr>
              <w:spacing w:line="264" w:lineRule="auto"/>
              <w:ind w:left="134" w:right="269"/>
              <w:jc w:val="center"/>
              <w:rPr>
                <w:rFonts w:asciiTheme="minorHAnsi" w:hAnsiTheme="minorHAnsi" w:cstheme="minorHAnsi"/>
                <w:b/>
                <w:bCs/>
                <w:sz w:val="18"/>
                <w:szCs w:val="18"/>
              </w:rPr>
            </w:pPr>
            <w:r w:rsidRPr="009D0A4A">
              <w:rPr>
                <w:rFonts w:asciiTheme="minorHAnsi" w:hAnsiTheme="minorHAnsi" w:cstheme="minorHAnsi"/>
                <w:sz w:val="18"/>
                <w:szCs w:val="18"/>
              </w:rPr>
              <w:t>1,000</w:t>
            </w:r>
            <w:r w:rsidR="005E3E32" w:rsidRPr="009D0A4A">
              <w:rPr>
                <w:rStyle w:val="FootnoteReference"/>
              </w:rPr>
              <w:t xml:space="preserve"> </w:t>
            </w:r>
            <w:r w:rsidR="005E3E32"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{"citationID":"asr9OdPQ","properties":{"formattedCitation":"(Australian Engineered Stone Advisory Group 2019)","plainCitation":"(Australian Engineered Stone Advisory Group 2019)","noteIndex":0},"citationItems":[{"id":918,"uris":["http://zotero.org/users/6230888/items/4WCCIQ5J"],"itemData":{"id":918,"type":"report","page":"102","title":"Members of the Australian Engineered Stone Advisory Group (AESAG) Application for authorisation to the Australian Competition and Consumer Commission (ACCC)","URL":"https://www.accc.gov.au/system/files/public-registers/documents/Australian%20Engineered%20Stone%20Advisory%20Group%20%28AESAG%29%20-%20Application%20Received%20-%2029.11.19%20-%20PR%20VERSION.pdf","author":[{"literal":"Australian Engineered Stone Advisory Group"}],"accessed":{"date-parts":[["2022",6,30]]},"issued":{"date-parts":[["2019"]]}}}],"schema":"https://github.com/citation-style-language/schema/raw/master/csl-citation.json"} </w:instrText>
            </w:r>
            <w:r w:rsidR="005E3E32" w:rsidRPr="009D0A4A">
              <w:rPr>
                <w:rFonts w:asciiTheme="minorHAnsi" w:hAnsiTheme="minorHAnsi" w:cstheme="minorHAnsi"/>
                <w:sz w:val="18"/>
                <w:szCs w:val="18"/>
              </w:rPr>
              <w:fldChar w:fldCharType="separate"/>
            </w:r>
            <w:r w:rsidR="006B4A7D" w:rsidRPr="009D0A4A">
              <w:rPr>
                <w:rFonts w:ascii="Calibri" w:hAnsi="Calibri" w:cs="Calibri"/>
                <w:sz w:val="18"/>
              </w:rPr>
              <w:t>(Australian Engineered Stone Advisory Group 2019)</w:t>
            </w:r>
            <w:r w:rsidR="005E3E32" w:rsidRPr="009D0A4A">
              <w:rPr>
                <w:rFonts w:asciiTheme="minorHAnsi" w:hAnsiTheme="minorHAnsi" w:cstheme="minorHAnsi"/>
                <w:sz w:val="18"/>
                <w:szCs w:val="18"/>
              </w:rPr>
              <w:fldChar w:fldCharType="end"/>
            </w:r>
          </w:p>
        </w:tc>
        <w:tc>
          <w:tcPr>
            <w:tcW w:w="1360" w:type="pct"/>
            <w:vMerge/>
            <w:tcBorders>
              <w:left w:val="single" w:sz="8" w:space="0" w:color="D9D9D9"/>
              <w:bottom w:val="single" w:sz="8" w:space="0" w:color="D9D9D9"/>
              <w:right w:val="single" w:sz="8" w:space="0" w:color="D9D9D9"/>
            </w:tcBorders>
            <w:shd w:val="clear" w:color="auto" w:fill="FFFFFF" w:themeFill="background1"/>
            <w:vAlign w:val="center"/>
          </w:tcPr>
          <w:p w14:paraId="0AE1ACEF" w14:textId="77777777" w:rsidR="00105526" w:rsidRPr="009D0A4A" w:rsidRDefault="00105526" w:rsidP="00FA6EE6">
            <w:pPr>
              <w:pStyle w:val="EYBulletnoparaspace"/>
              <w:numPr>
                <w:ilvl w:val="0"/>
                <w:numId w:val="0"/>
              </w:numPr>
              <w:spacing w:line="264" w:lineRule="auto"/>
              <w:ind w:left="134" w:right="269"/>
              <w:jc w:val="center"/>
              <w:rPr>
                <w:rFonts w:asciiTheme="minorHAnsi" w:hAnsiTheme="minorHAnsi" w:cstheme="minorHAnsi"/>
                <w:b/>
                <w:bCs/>
                <w:sz w:val="18"/>
                <w:szCs w:val="18"/>
              </w:rPr>
            </w:pPr>
          </w:p>
        </w:tc>
      </w:tr>
      <w:tr w:rsidR="00105526" w:rsidRPr="009D0A4A" w14:paraId="2ABFBEB6" w14:textId="77777777" w:rsidTr="00722B43">
        <w:trPr>
          <w:trHeight w:val="560"/>
        </w:trPr>
        <w:tc>
          <w:tcPr>
            <w:tcW w:w="676"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28A7D0BA"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 xml:space="preserve">Air monitoring – provision of report to regulators </w:t>
            </w:r>
          </w:p>
        </w:tc>
        <w:tc>
          <w:tcPr>
            <w:tcW w:w="697" w:type="pct"/>
            <w:vMerge w:val="restart"/>
            <w:tcBorders>
              <w:top w:val="single" w:sz="8" w:space="0" w:color="D9D9D9"/>
              <w:left w:val="single" w:sz="8" w:space="0" w:color="D9D9D9"/>
              <w:right w:val="single" w:sz="8" w:space="0" w:color="D9D9D9"/>
            </w:tcBorders>
            <w:shd w:val="clear" w:color="auto" w:fill="FFFFFF" w:themeFill="background1"/>
          </w:tcPr>
          <w:p w14:paraId="48FF3627" w14:textId="77777777" w:rsidR="00105526" w:rsidRPr="009D0A4A" w:rsidRDefault="00105526" w:rsidP="00FA6EE6">
            <w:pPr>
              <w:pStyle w:val="BodyText"/>
              <w:ind w:left="157"/>
              <w:rPr>
                <w:rFonts w:cstheme="minorHAnsi"/>
                <w:color w:val="auto"/>
                <w:sz w:val="18"/>
                <w:szCs w:val="18"/>
              </w:rPr>
            </w:pPr>
            <w:r w:rsidRPr="009D0A4A">
              <w:rPr>
                <w:rFonts w:cstheme="minorHAnsi"/>
                <w:color w:val="auto"/>
                <w:sz w:val="18"/>
                <w:szCs w:val="18"/>
              </w:rPr>
              <w:t xml:space="preserve">Additional labour costs for the preparation of air monitoring reports for submission to WHS regulators in each jurisdiction </w:t>
            </w:r>
          </w:p>
          <w:p w14:paraId="01CD540F" w14:textId="77777777" w:rsidR="00105526" w:rsidRPr="009D0A4A" w:rsidRDefault="00105526" w:rsidP="00FA6EE6">
            <w:pPr>
              <w:pStyle w:val="BodyText"/>
              <w:ind w:left="157"/>
              <w:rPr>
                <w:rFonts w:cstheme="minorHAnsi"/>
                <w:color w:val="auto"/>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3D1E676A" w14:textId="524C0D28" w:rsidR="00105526" w:rsidRPr="009D0A4A" w:rsidRDefault="00105526" w:rsidP="00FA6EE6">
            <w:pPr>
              <w:pStyle w:val="BodyText"/>
              <w:rPr>
                <w:rFonts w:cstheme="minorHAnsi"/>
                <w:b/>
                <w:bCs/>
                <w:sz w:val="18"/>
                <w:szCs w:val="18"/>
              </w:rPr>
            </w:pPr>
            <w:r w:rsidRPr="009D0A4A">
              <w:rPr>
                <w:rFonts w:cstheme="minorHAnsi"/>
                <w:sz w:val="18"/>
                <w:szCs w:val="18"/>
              </w:rPr>
              <w:t xml:space="preserve">Number of hours </w:t>
            </w:r>
            <w:r w:rsidR="00455BE6" w:rsidRPr="009D0A4A">
              <w:rPr>
                <w:rFonts w:cstheme="minorHAnsi"/>
                <w:sz w:val="18"/>
                <w:szCs w:val="18"/>
              </w:rPr>
              <w:t xml:space="preserve">per year </w:t>
            </w:r>
            <w:r w:rsidRPr="009D0A4A">
              <w:rPr>
                <w:rFonts w:cstheme="minorHAnsi"/>
                <w:sz w:val="18"/>
                <w:szCs w:val="18"/>
              </w:rPr>
              <w:t>to prepare air monitoring report for submission (hours</w:t>
            </w:r>
            <w:r w:rsidR="00ED77FB" w:rsidRPr="009D0A4A">
              <w:rPr>
                <w:rFonts w:cstheme="minorHAnsi"/>
                <w:sz w:val="18"/>
                <w:szCs w:val="18"/>
              </w:rPr>
              <w:t>/year</w:t>
            </w:r>
            <w:r w:rsidRPr="009D0A4A">
              <w:rPr>
                <w:rFonts w:cstheme="minorHAnsi"/>
                <w:sz w:val="18"/>
                <w:szCs w:val="18"/>
              </w:rPr>
              <w:t>)</w:t>
            </w:r>
          </w:p>
        </w:tc>
        <w:tc>
          <w:tcPr>
            <w:tcW w:w="1454" w:type="pct"/>
            <w:gridSpan w:val="3"/>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52722E8B" w14:textId="7C065965" w:rsidR="00105526" w:rsidRPr="009D0A4A" w:rsidRDefault="00476598" w:rsidP="00FA6EE6">
            <w:pPr>
              <w:pStyle w:val="EYBulletnoparaspace"/>
              <w:numPr>
                <w:ilvl w:val="0"/>
                <w:numId w:val="0"/>
              </w:numPr>
              <w:spacing w:line="264" w:lineRule="auto"/>
              <w:ind w:left="425" w:right="269" w:hanging="425"/>
              <w:jc w:val="center"/>
              <w:rPr>
                <w:rFonts w:asciiTheme="minorHAnsi" w:hAnsiTheme="minorHAnsi" w:cstheme="minorHAnsi"/>
                <w:b/>
                <w:bCs/>
                <w:sz w:val="18"/>
                <w:szCs w:val="18"/>
              </w:rPr>
            </w:pPr>
            <w:r w:rsidRPr="009D0A4A">
              <w:rPr>
                <w:rFonts w:asciiTheme="minorHAnsi" w:hAnsiTheme="minorHAnsi" w:cstheme="minorHAnsi"/>
                <w:sz w:val="18"/>
                <w:szCs w:val="18"/>
              </w:rPr>
              <w:t>2</w:t>
            </w:r>
            <w:r w:rsidRPr="009D0A4A">
              <w:t xml:space="preserve"> </w:t>
            </w:r>
            <w:r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{"citationID":"U2VrhL3j","properties":{"formattedCitation":"(Deloitte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Pr="009D0A4A">
              <w:rPr>
                <w:rFonts w:asciiTheme="minorHAnsi" w:hAnsiTheme="minorHAnsi" w:cstheme="minorHAnsi"/>
                <w:sz w:val="18"/>
                <w:szCs w:val="18"/>
              </w:rPr>
              <w:fldChar w:fldCharType="separate"/>
            </w:r>
            <w:r w:rsidR="006B4A7D" w:rsidRPr="009D0A4A">
              <w:rPr>
                <w:rFonts w:ascii="Calibri" w:hAnsi="Calibri" w:cs="Calibri"/>
                <w:sz w:val="18"/>
              </w:rPr>
              <w:t>(Deloitte 2021)</w:t>
            </w:r>
            <w:r w:rsidRPr="009D0A4A">
              <w:rPr>
                <w:rFonts w:asciiTheme="minorHAnsi" w:hAnsiTheme="minorHAnsi" w:cstheme="minorHAnsi"/>
                <w:sz w:val="18"/>
                <w:szCs w:val="18"/>
              </w:rPr>
              <w:fldChar w:fldCharType="end"/>
            </w:r>
          </w:p>
        </w:tc>
        <w:tc>
          <w:tcPr>
            <w:tcW w:w="1360" w:type="pct"/>
            <w:vMerge w:val="restart"/>
            <w:tcBorders>
              <w:top w:val="single" w:sz="8" w:space="0" w:color="D9D9D9"/>
              <w:left w:val="single" w:sz="8" w:space="0" w:color="D9D9D9"/>
              <w:right w:val="single" w:sz="8" w:space="0" w:color="D9D9D9"/>
            </w:tcBorders>
            <w:shd w:val="clear" w:color="auto" w:fill="FFFFFF" w:themeFill="background1"/>
            <w:vAlign w:val="center"/>
            <w:hideMark/>
          </w:tcPr>
          <w:p w14:paraId="01705D99"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 xml:space="preserve">Cost of air monitoring – provision of report to regulators </w:t>
            </w:r>
          </w:p>
          <w:p w14:paraId="4EC3548E"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w:t>
            </w:r>
          </w:p>
          <w:p w14:paraId="368F983D"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Number of hours to prepare air monitoring report for submission</w:t>
            </w:r>
          </w:p>
          <w:p w14:paraId="3DD03A7F"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7860E7E9"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 xml:space="preserve">Average wage/hour </w:t>
            </w:r>
          </w:p>
          <w:p w14:paraId="38ADC450"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7D5115D6" w14:textId="77777777" w:rsidR="00105526" w:rsidRPr="009D0A4A" w:rsidRDefault="00105526" w:rsidP="00FA6EE6">
            <w:pPr>
              <w:pStyle w:val="EYBulletnoparaspace"/>
              <w:numPr>
                <w:ilvl w:val="0"/>
                <w:numId w:val="0"/>
              </w:numPr>
              <w:spacing w:after="120" w:line="264" w:lineRule="auto"/>
              <w:ind w:right="130"/>
              <w:jc w:val="center"/>
              <w:rPr>
                <w:rFonts w:asciiTheme="minorHAnsi" w:hAnsiTheme="minorHAnsi" w:cstheme="minorHAnsi"/>
                <w:color w:val="262626" w:themeColor="text1" w:themeTint="D9"/>
                <w:sz w:val="18"/>
                <w:szCs w:val="18"/>
                <w:u w:val="single"/>
              </w:rPr>
            </w:pPr>
            <w:r w:rsidRPr="009D0A4A">
              <w:rPr>
                <w:rFonts w:asciiTheme="minorHAnsi" w:hAnsiTheme="minorHAnsi" w:cstheme="minorHAnsi"/>
                <w:sz w:val="18"/>
                <w:szCs w:val="18"/>
              </w:rPr>
              <w:t>Number of PCBUs working with engineered stone in Australia</w:t>
            </w:r>
          </w:p>
        </w:tc>
      </w:tr>
      <w:tr w:rsidR="00105526" w:rsidRPr="009D0A4A" w14:paraId="6563FA20" w14:textId="77777777" w:rsidTr="00722B43">
        <w:trPr>
          <w:trHeight w:val="56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19040B49"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right w:val="single" w:sz="8" w:space="0" w:color="D9D9D9"/>
            </w:tcBorders>
            <w:shd w:val="clear" w:color="auto" w:fill="FFFFFF" w:themeFill="background1"/>
          </w:tcPr>
          <w:p w14:paraId="4B31A7B7" w14:textId="77777777" w:rsidR="00105526" w:rsidRPr="009D0A4A" w:rsidRDefault="00105526" w:rsidP="00FA6EE6">
            <w:pPr>
              <w:pStyle w:val="BodyText"/>
              <w:ind w:left="157"/>
              <w:rPr>
                <w:rFonts w:cstheme="minorHAnsi"/>
                <w:color w:val="auto"/>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AFBFA29" w14:textId="77777777" w:rsidR="00105526" w:rsidRPr="009D0A4A" w:rsidRDefault="00105526" w:rsidP="00FA6EE6">
            <w:pPr>
              <w:pStyle w:val="BodyText"/>
              <w:rPr>
                <w:rFonts w:cstheme="minorHAnsi"/>
                <w:b/>
                <w:bCs/>
                <w:sz w:val="18"/>
                <w:szCs w:val="18"/>
              </w:rPr>
            </w:pPr>
            <w:r w:rsidRPr="009D0A4A">
              <w:rPr>
                <w:rFonts w:cstheme="minorHAnsi"/>
                <w:sz w:val="18"/>
                <w:szCs w:val="18"/>
              </w:rPr>
              <w:t>Average wage/hour ($)</w:t>
            </w:r>
          </w:p>
        </w:tc>
        <w:tc>
          <w:tcPr>
            <w:tcW w:w="1454" w:type="pct"/>
            <w:gridSpan w:val="3"/>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3FB8D933" w14:textId="04F804EF" w:rsidR="00105526" w:rsidRPr="009D0A4A" w:rsidRDefault="00476598" w:rsidP="00FA6EE6">
            <w:pPr>
              <w:pStyle w:val="EYBulletnoparaspace"/>
              <w:numPr>
                <w:ilvl w:val="0"/>
                <w:numId w:val="0"/>
              </w:numPr>
              <w:spacing w:line="264" w:lineRule="auto"/>
              <w:ind w:left="425" w:right="269" w:hanging="425"/>
              <w:jc w:val="center"/>
              <w:rPr>
                <w:rFonts w:asciiTheme="minorHAnsi" w:hAnsiTheme="minorHAnsi" w:cstheme="minorHAnsi"/>
                <w:b/>
                <w:bCs/>
                <w:sz w:val="18"/>
                <w:szCs w:val="18"/>
              </w:rPr>
            </w:pPr>
            <w:r w:rsidRPr="009D0A4A">
              <w:rPr>
                <w:rFonts w:asciiTheme="minorHAnsi" w:hAnsiTheme="minorHAnsi" w:cstheme="minorHAnsi"/>
                <w:sz w:val="18"/>
                <w:szCs w:val="18"/>
              </w:rPr>
              <w:t>$46.24</w:t>
            </w:r>
            <w:r w:rsidRPr="009D0A4A">
              <w:t xml:space="preserve"> </w:t>
            </w:r>
            <w:r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{"citationID":"kI89m3AP","properties":{"formattedCitation":"(Australian Bureau of Statistics 2021c)","plainCitation":"(Australian Bureau of Statistics 2021c)","noteIndex":0},"citationItems":[{"id":913,"uris":["http://zotero.org/users/6230888/items/YWAVMKLE"],"itemData":{"id":913,"type":"webpage","abstract":"Estimates of weekly earnings classified by industry, sector, state and territory","language":"en","title":"Average Weekly Earnings, Australia, November 2021","URL":"https://www.abs.gov.au/statistics/labour/earnings-and-working-conditions/average-weekly-earnings-australia/latest-release","author":[{"literal":"Australian Bureau of Statistics"}],"accessed":{"date-parts":[["2022",6,30]]},"issued":{"date-parts":[["2021"]]}}}],"schema":"https://github.com/citation-style-language/schema/raw/master/csl-citation.json"} </w:instrText>
            </w:r>
            <w:r w:rsidRPr="009D0A4A">
              <w:rPr>
                <w:rFonts w:asciiTheme="minorHAnsi" w:hAnsiTheme="minorHAnsi" w:cstheme="minorHAnsi"/>
                <w:sz w:val="18"/>
                <w:szCs w:val="18"/>
              </w:rPr>
              <w:fldChar w:fldCharType="separate"/>
            </w:r>
            <w:r w:rsidR="006B4A7D" w:rsidRPr="009D0A4A">
              <w:rPr>
                <w:rFonts w:ascii="Calibri" w:hAnsi="Calibri" w:cs="Calibri"/>
                <w:sz w:val="18"/>
              </w:rPr>
              <w:t>(Australian Bureau of Statistics 2021c)</w:t>
            </w:r>
            <w:r w:rsidRPr="009D0A4A">
              <w:rPr>
                <w:rFonts w:asciiTheme="minorHAnsi" w:hAnsiTheme="minorHAnsi" w:cstheme="minorHAnsi"/>
                <w:sz w:val="18"/>
                <w:szCs w:val="18"/>
              </w:rPr>
              <w:fldChar w:fldCharType="end"/>
            </w:r>
          </w:p>
        </w:tc>
        <w:tc>
          <w:tcPr>
            <w:tcW w:w="1360" w:type="pct"/>
            <w:vMerge/>
            <w:tcBorders>
              <w:left w:val="single" w:sz="8" w:space="0" w:color="D9D9D9"/>
              <w:right w:val="single" w:sz="8" w:space="0" w:color="D9D9D9"/>
            </w:tcBorders>
            <w:shd w:val="clear" w:color="auto" w:fill="FFFFFF" w:themeFill="background1"/>
            <w:vAlign w:val="center"/>
          </w:tcPr>
          <w:p w14:paraId="31715F5B"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b/>
                <w:bCs/>
                <w:sz w:val="18"/>
                <w:szCs w:val="18"/>
              </w:rPr>
            </w:pPr>
          </w:p>
        </w:tc>
      </w:tr>
      <w:tr w:rsidR="00105526" w:rsidRPr="009D0A4A" w14:paraId="07C219D1" w14:textId="77777777" w:rsidTr="00722B43">
        <w:trPr>
          <w:trHeight w:val="560"/>
        </w:trPr>
        <w:tc>
          <w:tcPr>
            <w:tcW w:w="676" w:type="pct"/>
            <w:vMerge/>
            <w:tcBorders>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477F962F"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bottom w:val="single" w:sz="8" w:space="0" w:color="D9D9D9"/>
              <w:right w:val="single" w:sz="8" w:space="0" w:color="D9D9D9"/>
            </w:tcBorders>
            <w:shd w:val="clear" w:color="auto" w:fill="FFFFFF" w:themeFill="background1"/>
          </w:tcPr>
          <w:p w14:paraId="04B16CE2" w14:textId="77777777" w:rsidR="00105526" w:rsidRPr="009D0A4A" w:rsidRDefault="00105526" w:rsidP="00FA6EE6">
            <w:pPr>
              <w:pStyle w:val="BodyText"/>
              <w:ind w:left="157"/>
              <w:rPr>
                <w:rFonts w:cstheme="minorHAnsi"/>
                <w:color w:val="auto"/>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25AACB7B" w14:textId="77777777" w:rsidR="00105526" w:rsidRPr="009D0A4A" w:rsidRDefault="00105526" w:rsidP="00FA6EE6">
            <w:pPr>
              <w:pStyle w:val="BodyText"/>
              <w:rPr>
                <w:rFonts w:cstheme="minorHAnsi"/>
                <w:b/>
                <w:bCs/>
                <w:sz w:val="18"/>
                <w:szCs w:val="18"/>
              </w:rPr>
            </w:pPr>
            <w:r w:rsidRPr="009D0A4A">
              <w:rPr>
                <w:rFonts w:cstheme="minorHAnsi"/>
                <w:sz w:val="18"/>
                <w:szCs w:val="18"/>
              </w:rPr>
              <w:t>Number of PCBUs working with engineered stone in Australia (#)</w:t>
            </w:r>
          </w:p>
        </w:tc>
        <w:tc>
          <w:tcPr>
            <w:tcW w:w="1454" w:type="pct"/>
            <w:gridSpan w:val="3"/>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244CFC10" w14:textId="172832F9" w:rsidR="00105526" w:rsidRPr="009D0A4A" w:rsidRDefault="00476598" w:rsidP="00FA6EE6">
            <w:pPr>
              <w:pStyle w:val="EYBulletnoparaspace"/>
              <w:numPr>
                <w:ilvl w:val="0"/>
                <w:numId w:val="0"/>
              </w:numPr>
              <w:spacing w:line="264" w:lineRule="auto"/>
              <w:ind w:left="425" w:right="269" w:hanging="425"/>
              <w:jc w:val="center"/>
              <w:rPr>
                <w:rFonts w:asciiTheme="minorHAnsi" w:hAnsiTheme="minorHAnsi" w:cstheme="minorHAnsi"/>
                <w:b/>
                <w:bCs/>
                <w:sz w:val="18"/>
                <w:szCs w:val="18"/>
              </w:rPr>
            </w:pPr>
            <w:r w:rsidRPr="009D0A4A">
              <w:rPr>
                <w:rFonts w:asciiTheme="minorHAnsi" w:hAnsiTheme="minorHAnsi" w:cstheme="minorHAnsi"/>
                <w:sz w:val="18"/>
                <w:szCs w:val="18"/>
              </w:rPr>
              <w:t>1,000</w:t>
            </w:r>
            <w:r w:rsidRPr="009D0A4A">
              <w:rPr>
                <w:rStyle w:val="FootnoteReference"/>
              </w:rPr>
              <w:t xml:space="preserve"> </w:t>
            </w:r>
            <w:r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{"citationID":"7CYg2XEJ","properties":{"formattedCitation":"(Australian Engineered Stone Advisory Group 2019)","plainCitation":"(Australian Engineered Stone Advisory Group 2019)","noteIndex":0},"citationItems":[{"id":918,"uris":["http://zotero.org/users/6230888/items/4WCCIQ5J"],"itemData":{"id":918,"type":"report","page":"102","title":"Members of the Australian Engineered Stone Advisory Group (AESAG) Application for authorisation to the Australian Competition and Consumer Commission (ACCC)","URL":"https://www.accc.gov.au/system/files/public-registers/documents/Australian%20Engineered%20Stone%20Advisory%20Group%20%28AESAG%29%20-%20Application%20Received%20-%2029.11.19%20-%20PR%20VERSION.pdf","author":[{"literal":"Australian Engineered Stone Advisory Group"}],"accessed":{"date-parts":[["2022",6,30]]},"issued":{"date-parts":[["2019"]]}}}],"schema":"https://github.com/citation-style-language/schema/raw/master/csl-citation.json"} </w:instrText>
            </w:r>
            <w:r w:rsidRPr="009D0A4A">
              <w:rPr>
                <w:rFonts w:asciiTheme="minorHAnsi" w:hAnsiTheme="minorHAnsi" w:cstheme="minorHAnsi"/>
                <w:sz w:val="18"/>
                <w:szCs w:val="18"/>
              </w:rPr>
              <w:fldChar w:fldCharType="separate"/>
            </w:r>
            <w:r w:rsidR="006B4A7D" w:rsidRPr="009D0A4A">
              <w:rPr>
                <w:rFonts w:ascii="Calibri" w:hAnsi="Calibri" w:cs="Calibri"/>
                <w:sz w:val="18"/>
              </w:rPr>
              <w:t>(Australian Engineered Stone Advisory Group 2019)</w:t>
            </w:r>
            <w:r w:rsidRPr="009D0A4A">
              <w:rPr>
                <w:rFonts w:asciiTheme="minorHAnsi" w:hAnsiTheme="minorHAnsi" w:cstheme="minorHAnsi"/>
                <w:sz w:val="18"/>
                <w:szCs w:val="18"/>
              </w:rPr>
              <w:fldChar w:fldCharType="end"/>
            </w:r>
          </w:p>
        </w:tc>
        <w:tc>
          <w:tcPr>
            <w:tcW w:w="1360" w:type="pct"/>
            <w:vMerge/>
            <w:tcBorders>
              <w:left w:val="single" w:sz="8" w:space="0" w:color="D9D9D9"/>
              <w:bottom w:val="single" w:sz="8" w:space="0" w:color="D9D9D9"/>
              <w:right w:val="single" w:sz="8" w:space="0" w:color="D9D9D9"/>
            </w:tcBorders>
            <w:shd w:val="clear" w:color="auto" w:fill="FFFFFF" w:themeFill="background1"/>
            <w:vAlign w:val="center"/>
          </w:tcPr>
          <w:p w14:paraId="386EA524"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b/>
                <w:bCs/>
                <w:sz w:val="18"/>
                <w:szCs w:val="18"/>
              </w:rPr>
            </w:pPr>
          </w:p>
        </w:tc>
      </w:tr>
      <w:tr w:rsidR="00105526" w:rsidRPr="009D0A4A" w14:paraId="3EF7ABD4" w14:textId="77777777" w:rsidTr="00722B43">
        <w:trPr>
          <w:trHeight w:val="560"/>
        </w:trPr>
        <w:tc>
          <w:tcPr>
            <w:tcW w:w="676"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hideMark/>
          </w:tcPr>
          <w:p w14:paraId="3C652232"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lastRenderedPageBreak/>
              <w:t xml:space="preserve">Compliance and monitoring enforcement </w:t>
            </w:r>
          </w:p>
        </w:tc>
        <w:tc>
          <w:tcPr>
            <w:tcW w:w="697" w:type="pct"/>
            <w:vMerge w:val="restart"/>
            <w:tcBorders>
              <w:top w:val="single" w:sz="8" w:space="0" w:color="D9D9D9"/>
              <w:left w:val="single" w:sz="8" w:space="0" w:color="D9D9D9"/>
              <w:right w:val="single" w:sz="8" w:space="0" w:color="D9D9D9"/>
            </w:tcBorders>
            <w:shd w:val="clear" w:color="auto" w:fill="FFFFFF" w:themeFill="background1"/>
          </w:tcPr>
          <w:p w14:paraId="0EDDA5A5" w14:textId="77777777" w:rsidR="00105526" w:rsidRPr="009D0A4A" w:rsidRDefault="00105526" w:rsidP="00FA6EE6">
            <w:pPr>
              <w:pStyle w:val="BodyText"/>
              <w:ind w:left="157"/>
              <w:rPr>
                <w:rFonts w:cstheme="minorHAnsi"/>
                <w:color w:val="auto"/>
                <w:sz w:val="18"/>
                <w:szCs w:val="18"/>
              </w:rPr>
            </w:pPr>
            <w:r w:rsidRPr="009D0A4A">
              <w:rPr>
                <w:rFonts w:cstheme="minorHAnsi"/>
                <w:color w:val="auto"/>
                <w:sz w:val="18"/>
                <w:szCs w:val="18"/>
              </w:rPr>
              <w:t xml:space="preserve">Labour to prepare for and participate in scheduled and unscheduled audits of licensees. </w:t>
            </w:r>
          </w:p>
          <w:p w14:paraId="6828575F" w14:textId="77777777" w:rsidR="00105526" w:rsidRPr="009D0A4A" w:rsidRDefault="00105526" w:rsidP="00FA6EE6">
            <w:pPr>
              <w:pStyle w:val="BodyText"/>
              <w:ind w:left="157"/>
              <w:rPr>
                <w:rFonts w:cstheme="minorHAnsi"/>
                <w:color w:val="auto"/>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6EACCCB2" w14:textId="30B64360" w:rsidR="00105526" w:rsidRPr="009D0A4A" w:rsidRDefault="00105526" w:rsidP="00FA6EE6">
            <w:pPr>
              <w:pStyle w:val="BodyText"/>
              <w:rPr>
                <w:rFonts w:cstheme="minorHAnsi"/>
                <w:b/>
                <w:bCs/>
                <w:sz w:val="18"/>
                <w:szCs w:val="18"/>
              </w:rPr>
            </w:pPr>
            <w:r w:rsidRPr="009D0A4A">
              <w:rPr>
                <w:rFonts w:cstheme="minorHAnsi"/>
                <w:sz w:val="18"/>
                <w:szCs w:val="18"/>
              </w:rPr>
              <w:t xml:space="preserve">Average number of scheduled and unscheduled audits per </w:t>
            </w:r>
            <w:r w:rsidR="00455BE6" w:rsidRPr="009D0A4A">
              <w:rPr>
                <w:rFonts w:cstheme="minorHAnsi"/>
                <w:sz w:val="18"/>
                <w:szCs w:val="18"/>
              </w:rPr>
              <w:t xml:space="preserve">PCBU per </w:t>
            </w:r>
            <w:r w:rsidRPr="009D0A4A">
              <w:rPr>
                <w:rFonts w:cstheme="minorHAnsi"/>
                <w:sz w:val="18"/>
                <w:szCs w:val="18"/>
              </w:rPr>
              <w:t>annum (#</w:t>
            </w:r>
            <w:r w:rsidR="00455BE6" w:rsidRPr="009D0A4A">
              <w:rPr>
                <w:rFonts w:cstheme="minorHAnsi"/>
                <w:sz w:val="18"/>
                <w:szCs w:val="18"/>
              </w:rPr>
              <w:t xml:space="preserve"> / PCBU / year</w:t>
            </w:r>
            <w:r w:rsidRPr="009D0A4A">
              <w:rPr>
                <w:rFonts w:cstheme="minorHAnsi"/>
                <w:sz w:val="18"/>
                <w:szCs w:val="18"/>
              </w:rPr>
              <w:t>)</w:t>
            </w:r>
          </w:p>
        </w:tc>
        <w:tc>
          <w:tcPr>
            <w:tcW w:w="1454" w:type="pct"/>
            <w:gridSpan w:val="3"/>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7635CC29" w14:textId="1B5915FB"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b/>
                <w:bCs/>
                <w:sz w:val="18"/>
                <w:szCs w:val="18"/>
              </w:rPr>
            </w:pPr>
            <w:r w:rsidRPr="009D0A4A">
              <w:rPr>
                <w:rFonts w:asciiTheme="minorHAnsi" w:hAnsiTheme="minorHAnsi" w:cstheme="minorHAnsi"/>
                <w:sz w:val="18"/>
                <w:szCs w:val="18"/>
              </w:rPr>
              <w:t>1</w:t>
            </w:r>
            <w:r w:rsidR="00476598" w:rsidRPr="009D0A4A">
              <w:rPr>
                <w:rFonts w:asciiTheme="minorHAnsi" w:hAnsiTheme="minorHAnsi" w:cstheme="minorHAnsi"/>
                <w:sz w:val="18"/>
                <w:szCs w:val="18"/>
              </w:rPr>
              <w:t xml:space="preserve"> </w:t>
            </w:r>
            <w:r w:rsidR="00476598"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{"citationID":"jCt1uY0O","properties":{"formattedCitation":"(Deloitte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00476598" w:rsidRPr="009D0A4A">
              <w:rPr>
                <w:rFonts w:asciiTheme="minorHAnsi" w:hAnsiTheme="minorHAnsi" w:cstheme="minorHAnsi"/>
                <w:sz w:val="18"/>
                <w:szCs w:val="18"/>
              </w:rPr>
              <w:fldChar w:fldCharType="separate"/>
            </w:r>
            <w:r w:rsidR="006B4A7D" w:rsidRPr="009D0A4A">
              <w:rPr>
                <w:rFonts w:ascii="Calibri" w:hAnsi="Calibri" w:cs="Calibri"/>
                <w:sz w:val="18"/>
              </w:rPr>
              <w:t>(Deloitte 2021)</w:t>
            </w:r>
            <w:r w:rsidR="00476598" w:rsidRPr="009D0A4A">
              <w:rPr>
                <w:rFonts w:asciiTheme="minorHAnsi" w:hAnsiTheme="minorHAnsi" w:cstheme="minorHAnsi"/>
                <w:sz w:val="18"/>
                <w:szCs w:val="18"/>
              </w:rPr>
              <w:fldChar w:fldCharType="end"/>
            </w:r>
          </w:p>
        </w:tc>
        <w:tc>
          <w:tcPr>
            <w:tcW w:w="1360" w:type="pct"/>
            <w:vMerge w:val="restart"/>
            <w:tcBorders>
              <w:top w:val="single" w:sz="8" w:space="0" w:color="D9D9D9"/>
              <w:left w:val="single" w:sz="8" w:space="0" w:color="D9D9D9"/>
              <w:right w:val="single" w:sz="8" w:space="0" w:color="D9D9D9"/>
            </w:tcBorders>
            <w:shd w:val="clear" w:color="auto" w:fill="FFFFFF" w:themeFill="background1"/>
            <w:vAlign w:val="center"/>
            <w:hideMark/>
          </w:tcPr>
          <w:p w14:paraId="08E638B5"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Cost of compliance and monitoring enforcement</w:t>
            </w:r>
          </w:p>
          <w:p w14:paraId="031A3C51"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2088AA9F"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 xml:space="preserve">Average number of scheduled and unscheduled audits per annum </w:t>
            </w:r>
          </w:p>
          <w:p w14:paraId="36065C46"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2D0EB0FD"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 xml:space="preserve">Time to participate in scheduled and unscheduled audits </w:t>
            </w:r>
          </w:p>
          <w:p w14:paraId="27A89F4C"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0AF3E1BB"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 xml:space="preserve">Number of workers to participate in scheduled and unscheduled audits </w:t>
            </w:r>
          </w:p>
          <w:p w14:paraId="49278279"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0BC53700"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 xml:space="preserve">Average wage/hour </w:t>
            </w:r>
          </w:p>
          <w:p w14:paraId="27DBA2B7"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2FFE044C" w14:textId="77777777" w:rsidR="00105526" w:rsidRPr="009D0A4A" w:rsidRDefault="00105526" w:rsidP="00FA6EE6">
            <w:pPr>
              <w:pStyle w:val="EYBulletnoparaspace"/>
              <w:numPr>
                <w:ilvl w:val="0"/>
                <w:numId w:val="0"/>
              </w:numPr>
              <w:spacing w:after="120" w:line="264" w:lineRule="auto"/>
              <w:ind w:right="266"/>
              <w:jc w:val="center"/>
              <w:rPr>
                <w:rFonts w:asciiTheme="minorHAnsi" w:hAnsiTheme="minorHAnsi" w:cstheme="minorHAnsi"/>
                <w:b/>
                <w:bCs/>
                <w:color w:val="262626" w:themeColor="text1" w:themeTint="D9"/>
                <w:sz w:val="18"/>
                <w:szCs w:val="18"/>
              </w:rPr>
            </w:pPr>
            <w:r w:rsidRPr="009D0A4A">
              <w:rPr>
                <w:rFonts w:asciiTheme="minorHAnsi" w:hAnsiTheme="minorHAnsi" w:cstheme="minorHAnsi"/>
                <w:sz w:val="18"/>
                <w:szCs w:val="18"/>
              </w:rPr>
              <w:t>Number of PCBUs working with engineered stone in Australia</w:t>
            </w:r>
          </w:p>
        </w:tc>
      </w:tr>
      <w:tr w:rsidR="00105526" w:rsidRPr="009D0A4A" w14:paraId="4621EAC8" w14:textId="77777777" w:rsidTr="00722B43">
        <w:trPr>
          <w:trHeight w:val="56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3E87C426"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Cs w:val="20"/>
              </w:rPr>
            </w:pPr>
          </w:p>
        </w:tc>
        <w:tc>
          <w:tcPr>
            <w:tcW w:w="697" w:type="pct"/>
            <w:vMerge/>
            <w:tcBorders>
              <w:left w:val="single" w:sz="8" w:space="0" w:color="D9D9D9"/>
              <w:right w:val="single" w:sz="8" w:space="0" w:color="D9D9D9"/>
            </w:tcBorders>
            <w:shd w:val="clear" w:color="auto" w:fill="FFFFFF" w:themeFill="background1"/>
            <w:vAlign w:val="center"/>
          </w:tcPr>
          <w:p w14:paraId="797CC15D" w14:textId="77777777" w:rsidR="00105526" w:rsidRPr="009D0A4A" w:rsidRDefault="00105526" w:rsidP="00FA6EE6">
            <w:pPr>
              <w:pStyle w:val="BodyText"/>
              <w:ind w:left="157"/>
              <w:rPr>
                <w:rFonts w:cstheme="minorHAnsi"/>
                <w:color w:val="auto"/>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2130BA4" w14:textId="77777777" w:rsidR="00105526" w:rsidRPr="009D0A4A" w:rsidRDefault="00105526" w:rsidP="00FA6EE6">
            <w:pPr>
              <w:pStyle w:val="BodyText"/>
              <w:rPr>
                <w:rFonts w:cstheme="minorHAnsi"/>
                <w:b/>
                <w:bCs/>
                <w:sz w:val="18"/>
                <w:szCs w:val="18"/>
              </w:rPr>
            </w:pPr>
            <w:r w:rsidRPr="009D0A4A">
              <w:rPr>
                <w:rFonts w:cstheme="minorHAnsi"/>
                <w:color w:val="000000"/>
                <w:sz w:val="18"/>
                <w:szCs w:val="18"/>
              </w:rPr>
              <w:t>Time to participate in scheduled and unscheduled audits (hours)</w:t>
            </w:r>
          </w:p>
        </w:tc>
        <w:tc>
          <w:tcPr>
            <w:tcW w:w="1454" w:type="pct"/>
            <w:gridSpan w:val="3"/>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6FB259FB" w14:textId="4A1B9E54"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b/>
                <w:bCs/>
                <w:sz w:val="18"/>
                <w:szCs w:val="18"/>
              </w:rPr>
            </w:pPr>
            <w:r w:rsidRPr="009D0A4A">
              <w:rPr>
                <w:rFonts w:asciiTheme="minorHAnsi" w:hAnsiTheme="minorHAnsi" w:cstheme="minorHAnsi"/>
                <w:sz w:val="18"/>
                <w:szCs w:val="18"/>
              </w:rPr>
              <w:t>2</w:t>
            </w:r>
            <w:r w:rsidR="00476598" w:rsidRPr="009D0A4A">
              <w:rPr>
                <w:rFonts w:asciiTheme="minorHAnsi" w:hAnsiTheme="minorHAnsi" w:cstheme="minorHAnsi"/>
                <w:sz w:val="18"/>
                <w:szCs w:val="18"/>
              </w:rPr>
              <w:t xml:space="preserve"> </w:t>
            </w:r>
            <w:r w:rsidR="00476598"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{"citationID":"HlG7HoSN","properties":{"formattedCitation":"(Deloitte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00476598" w:rsidRPr="009D0A4A">
              <w:rPr>
                <w:rFonts w:asciiTheme="minorHAnsi" w:hAnsiTheme="minorHAnsi" w:cstheme="minorHAnsi"/>
                <w:sz w:val="18"/>
                <w:szCs w:val="18"/>
              </w:rPr>
              <w:fldChar w:fldCharType="separate"/>
            </w:r>
            <w:r w:rsidR="006B4A7D" w:rsidRPr="009D0A4A">
              <w:rPr>
                <w:rFonts w:ascii="Calibri" w:hAnsi="Calibri" w:cs="Calibri"/>
                <w:sz w:val="18"/>
              </w:rPr>
              <w:t>(Deloitte 2021)</w:t>
            </w:r>
            <w:r w:rsidR="00476598" w:rsidRPr="009D0A4A">
              <w:rPr>
                <w:rFonts w:asciiTheme="minorHAnsi" w:hAnsiTheme="minorHAnsi" w:cstheme="minorHAnsi"/>
                <w:sz w:val="18"/>
                <w:szCs w:val="18"/>
              </w:rPr>
              <w:fldChar w:fldCharType="end"/>
            </w:r>
          </w:p>
        </w:tc>
        <w:tc>
          <w:tcPr>
            <w:tcW w:w="1360" w:type="pct"/>
            <w:vMerge/>
            <w:tcBorders>
              <w:left w:val="single" w:sz="8" w:space="0" w:color="D9D9D9"/>
              <w:right w:val="single" w:sz="8" w:space="0" w:color="D9D9D9"/>
            </w:tcBorders>
            <w:shd w:val="clear" w:color="auto" w:fill="FFFFFF" w:themeFill="background1"/>
            <w:vAlign w:val="center"/>
          </w:tcPr>
          <w:p w14:paraId="2832F65C"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b/>
                <w:bCs/>
                <w:szCs w:val="20"/>
              </w:rPr>
            </w:pPr>
          </w:p>
        </w:tc>
      </w:tr>
      <w:tr w:rsidR="00105526" w:rsidRPr="009D0A4A" w14:paraId="75A96973" w14:textId="77777777" w:rsidTr="00722B43">
        <w:trPr>
          <w:trHeight w:val="56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1E38DFD0"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Cs w:val="20"/>
              </w:rPr>
            </w:pPr>
          </w:p>
        </w:tc>
        <w:tc>
          <w:tcPr>
            <w:tcW w:w="697" w:type="pct"/>
            <w:vMerge/>
            <w:tcBorders>
              <w:left w:val="single" w:sz="8" w:space="0" w:color="D9D9D9"/>
              <w:right w:val="single" w:sz="8" w:space="0" w:color="D9D9D9"/>
            </w:tcBorders>
            <w:shd w:val="clear" w:color="auto" w:fill="FFFFFF" w:themeFill="background1"/>
            <w:vAlign w:val="center"/>
          </w:tcPr>
          <w:p w14:paraId="06EEEA49" w14:textId="77777777" w:rsidR="00105526" w:rsidRPr="009D0A4A" w:rsidRDefault="00105526" w:rsidP="00FA6EE6">
            <w:pPr>
              <w:pStyle w:val="BodyText"/>
              <w:ind w:left="157"/>
              <w:rPr>
                <w:rFonts w:cstheme="minorHAnsi"/>
                <w:color w:val="auto"/>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169E9D15" w14:textId="77777777" w:rsidR="00105526" w:rsidRPr="009D0A4A" w:rsidRDefault="00105526" w:rsidP="00FA6EE6">
            <w:pPr>
              <w:pStyle w:val="BodyText"/>
              <w:rPr>
                <w:rFonts w:cstheme="minorHAnsi"/>
                <w:b/>
                <w:bCs/>
                <w:sz w:val="18"/>
                <w:szCs w:val="18"/>
              </w:rPr>
            </w:pPr>
            <w:r w:rsidRPr="009D0A4A">
              <w:rPr>
                <w:rFonts w:cstheme="minorHAnsi"/>
                <w:color w:val="000000"/>
                <w:sz w:val="18"/>
                <w:szCs w:val="18"/>
              </w:rPr>
              <w:t>Number of workers required for scheduled and unscheduled audits (#)</w:t>
            </w:r>
          </w:p>
        </w:tc>
        <w:tc>
          <w:tcPr>
            <w:tcW w:w="1454" w:type="pct"/>
            <w:gridSpan w:val="3"/>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5DFCE8B2" w14:textId="134F7129"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b/>
                <w:bCs/>
                <w:sz w:val="18"/>
                <w:szCs w:val="18"/>
              </w:rPr>
            </w:pPr>
            <w:r w:rsidRPr="009D0A4A">
              <w:rPr>
                <w:rFonts w:asciiTheme="minorHAnsi" w:hAnsiTheme="minorHAnsi" w:cstheme="minorHAnsi"/>
                <w:sz w:val="18"/>
                <w:szCs w:val="18"/>
              </w:rPr>
              <w:t>2</w:t>
            </w:r>
            <w:r w:rsidR="00476598" w:rsidRPr="009D0A4A">
              <w:rPr>
                <w:rFonts w:asciiTheme="minorHAnsi" w:hAnsiTheme="minorHAnsi" w:cstheme="minorHAnsi"/>
                <w:sz w:val="18"/>
                <w:szCs w:val="18"/>
              </w:rPr>
              <w:t xml:space="preserve"> </w:t>
            </w:r>
            <w:r w:rsidR="00476598"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{"citationID":"L8x0Zkpm","properties":{"formattedCitation":"(Deloitte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00476598" w:rsidRPr="009D0A4A">
              <w:rPr>
                <w:rFonts w:asciiTheme="minorHAnsi" w:hAnsiTheme="minorHAnsi" w:cstheme="minorHAnsi"/>
                <w:sz w:val="18"/>
                <w:szCs w:val="18"/>
              </w:rPr>
              <w:fldChar w:fldCharType="separate"/>
            </w:r>
            <w:r w:rsidR="006B4A7D" w:rsidRPr="009D0A4A">
              <w:rPr>
                <w:rFonts w:ascii="Calibri" w:hAnsi="Calibri" w:cs="Calibri"/>
                <w:sz w:val="18"/>
              </w:rPr>
              <w:t>(Deloitte 2021)</w:t>
            </w:r>
            <w:r w:rsidR="00476598" w:rsidRPr="009D0A4A">
              <w:rPr>
                <w:rFonts w:asciiTheme="minorHAnsi" w:hAnsiTheme="minorHAnsi" w:cstheme="minorHAnsi"/>
                <w:sz w:val="18"/>
                <w:szCs w:val="18"/>
              </w:rPr>
              <w:fldChar w:fldCharType="end"/>
            </w:r>
          </w:p>
        </w:tc>
        <w:tc>
          <w:tcPr>
            <w:tcW w:w="1360" w:type="pct"/>
            <w:vMerge/>
            <w:tcBorders>
              <w:left w:val="single" w:sz="8" w:space="0" w:color="D9D9D9"/>
              <w:right w:val="single" w:sz="8" w:space="0" w:color="D9D9D9"/>
            </w:tcBorders>
            <w:shd w:val="clear" w:color="auto" w:fill="FFFFFF" w:themeFill="background1"/>
            <w:vAlign w:val="center"/>
          </w:tcPr>
          <w:p w14:paraId="4A77EC19"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b/>
                <w:bCs/>
                <w:szCs w:val="20"/>
              </w:rPr>
            </w:pPr>
          </w:p>
        </w:tc>
      </w:tr>
      <w:tr w:rsidR="00105526" w:rsidRPr="009D0A4A" w14:paraId="64E35D5C" w14:textId="77777777" w:rsidTr="00722B43">
        <w:trPr>
          <w:trHeight w:val="56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7F3F4FF8"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Cs w:val="20"/>
              </w:rPr>
            </w:pPr>
          </w:p>
        </w:tc>
        <w:tc>
          <w:tcPr>
            <w:tcW w:w="697" w:type="pct"/>
            <w:vMerge/>
            <w:tcBorders>
              <w:left w:val="single" w:sz="8" w:space="0" w:color="D9D9D9"/>
              <w:right w:val="single" w:sz="8" w:space="0" w:color="D9D9D9"/>
            </w:tcBorders>
            <w:shd w:val="clear" w:color="auto" w:fill="FFFFFF" w:themeFill="background1"/>
            <w:vAlign w:val="center"/>
          </w:tcPr>
          <w:p w14:paraId="3AEBCC37" w14:textId="77777777" w:rsidR="00105526" w:rsidRPr="009D0A4A" w:rsidRDefault="00105526" w:rsidP="00FA6EE6">
            <w:pPr>
              <w:pStyle w:val="BodyText"/>
              <w:ind w:left="157"/>
              <w:rPr>
                <w:rFonts w:cstheme="minorHAnsi"/>
                <w:color w:val="auto"/>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03061BD9" w14:textId="77777777" w:rsidR="00105526" w:rsidRPr="009D0A4A" w:rsidRDefault="00105526" w:rsidP="00FA6EE6">
            <w:pPr>
              <w:pStyle w:val="BodyText"/>
              <w:rPr>
                <w:rFonts w:cstheme="minorHAnsi"/>
                <w:sz w:val="18"/>
                <w:szCs w:val="18"/>
              </w:rPr>
            </w:pPr>
            <w:r w:rsidRPr="009D0A4A">
              <w:rPr>
                <w:rFonts w:cstheme="minorHAnsi"/>
                <w:sz w:val="18"/>
                <w:szCs w:val="18"/>
              </w:rPr>
              <w:t xml:space="preserve">Average </w:t>
            </w:r>
          </w:p>
          <w:p w14:paraId="1C66FA59" w14:textId="77777777" w:rsidR="00105526" w:rsidRPr="009D0A4A" w:rsidRDefault="00105526" w:rsidP="00FA6EE6">
            <w:pPr>
              <w:pStyle w:val="BodyText"/>
              <w:rPr>
                <w:rFonts w:cstheme="minorHAnsi"/>
                <w:b/>
                <w:bCs/>
                <w:sz w:val="18"/>
                <w:szCs w:val="18"/>
              </w:rPr>
            </w:pPr>
            <w:r w:rsidRPr="009D0A4A">
              <w:rPr>
                <w:rFonts w:cstheme="minorHAnsi"/>
                <w:sz w:val="18"/>
                <w:szCs w:val="18"/>
              </w:rPr>
              <w:t>wage/hour ($)</w:t>
            </w:r>
          </w:p>
        </w:tc>
        <w:tc>
          <w:tcPr>
            <w:tcW w:w="1454" w:type="pct"/>
            <w:gridSpan w:val="3"/>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359EE9BF" w14:textId="3F54DAAF"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b/>
                <w:bCs/>
                <w:sz w:val="18"/>
                <w:szCs w:val="18"/>
              </w:rPr>
            </w:pPr>
            <w:r w:rsidRPr="009D0A4A">
              <w:rPr>
                <w:rFonts w:asciiTheme="minorHAnsi" w:hAnsiTheme="minorHAnsi" w:cstheme="minorHAnsi"/>
                <w:sz w:val="18"/>
                <w:szCs w:val="18"/>
              </w:rPr>
              <w:t>$46.24</w:t>
            </w:r>
            <w:r w:rsidR="00476598" w:rsidRPr="009D0A4A">
              <w:rPr>
                <w:rStyle w:val="FootnoteReference"/>
              </w:rPr>
              <w:t xml:space="preserve"> </w:t>
            </w:r>
            <w:r w:rsidR="00476598"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{"citationID":"OZkbMuwR","properties":{"formattedCitation":"(Australian Bureau of Statistics 2021c)","plainCitation":"(Australian Bureau of Statistics 2021c)","noteIndex":0},"citationItems":[{"id":913,"uris":["http://zotero.org/users/6230888/items/YWAVMKLE"],"itemData":{"id":913,"type":"webpage","abstract":"Estimates of weekly earnings classified by industry, sector, state and territory","language":"en","title":"Average Weekly Earnings, Australia, November 2021","URL":"https://www.abs.gov.au/statistics/labour/earnings-and-working-conditions/average-weekly-earnings-australia/latest-release","author":[{"literal":"Australian Bureau of Statistics"}],"accessed":{"date-parts":[["2022",6,30]]},"issued":{"date-parts":[["2021"]]}}}],"schema":"https://github.com/citation-style-language/schema/raw/master/csl-citation.json"} </w:instrText>
            </w:r>
            <w:r w:rsidR="00476598" w:rsidRPr="009D0A4A">
              <w:rPr>
                <w:rFonts w:asciiTheme="minorHAnsi" w:hAnsiTheme="minorHAnsi" w:cstheme="minorHAnsi"/>
                <w:sz w:val="18"/>
                <w:szCs w:val="18"/>
              </w:rPr>
              <w:fldChar w:fldCharType="separate"/>
            </w:r>
            <w:r w:rsidR="006B4A7D" w:rsidRPr="009D0A4A">
              <w:rPr>
                <w:rFonts w:ascii="Calibri" w:hAnsi="Calibri" w:cs="Calibri"/>
                <w:sz w:val="18"/>
              </w:rPr>
              <w:t>(Australian Bureau of Statistics 2021c)</w:t>
            </w:r>
            <w:r w:rsidR="00476598" w:rsidRPr="009D0A4A">
              <w:rPr>
                <w:rFonts w:asciiTheme="minorHAnsi" w:hAnsiTheme="minorHAnsi" w:cstheme="minorHAnsi"/>
                <w:sz w:val="18"/>
                <w:szCs w:val="18"/>
              </w:rPr>
              <w:fldChar w:fldCharType="end"/>
            </w:r>
          </w:p>
        </w:tc>
        <w:tc>
          <w:tcPr>
            <w:tcW w:w="1360" w:type="pct"/>
            <w:vMerge/>
            <w:tcBorders>
              <w:left w:val="single" w:sz="8" w:space="0" w:color="D9D9D9"/>
              <w:right w:val="single" w:sz="8" w:space="0" w:color="D9D9D9"/>
            </w:tcBorders>
            <w:shd w:val="clear" w:color="auto" w:fill="FFFFFF" w:themeFill="background1"/>
            <w:vAlign w:val="center"/>
          </w:tcPr>
          <w:p w14:paraId="2C7A24D2"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b/>
                <w:bCs/>
                <w:szCs w:val="20"/>
              </w:rPr>
            </w:pPr>
          </w:p>
        </w:tc>
      </w:tr>
      <w:tr w:rsidR="00105526" w:rsidRPr="009D0A4A" w14:paraId="4BC148AB" w14:textId="77777777" w:rsidTr="00722B43">
        <w:trPr>
          <w:trHeight w:val="56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018180CC"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Cs w:val="20"/>
              </w:rPr>
            </w:pPr>
          </w:p>
        </w:tc>
        <w:tc>
          <w:tcPr>
            <w:tcW w:w="697" w:type="pct"/>
            <w:vMerge/>
            <w:tcBorders>
              <w:left w:val="single" w:sz="8" w:space="0" w:color="D9D9D9"/>
              <w:right w:val="single" w:sz="8" w:space="0" w:color="D9D9D9"/>
            </w:tcBorders>
            <w:shd w:val="clear" w:color="auto" w:fill="FFFFFF" w:themeFill="background1"/>
            <w:vAlign w:val="center"/>
          </w:tcPr>
          <w:p w14:paraId="6036B493" w14:textId="77777777" w:rsidR="00105526" w:rsidRPr="009D0A4A" w:rsidRDefault="00105526" w:rsidP="00FA6EE6">
            <w:pPr>
              <w:pStyle w:val="BodyText"/>
              <w:ind w:left="157"/>
              <w:rPr>
                <w:rFonts w:cstheme="minorHAnsi"/>
                <w:color w:val="auto"/>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2DBA5A86" w14:textId="77777777" w:rsidR="00105526" w:rsidRPr="009D0A4A" w:rsidRDefault="00105526" w:rsidP="00FA6EE6">
            <w:pPr>
              <w:pStyle w:val="BodyText"/>
              <w:rPr>
                <w:rFonts w:cstheme="minorHAnsi"/>
                <w:b/>
                <w:bCs/>
                <w:sz w:val="18"/>
                <w:szCs w:val="18"/>
              </w:rPr>
            </w:pPr>
            <w:r w:rsidRPr="009D0A4A">
              <w:rPr>
                <w:rFonts w:cstheme="minorHAnsi"/>
                <w:sz w:val="18"/>
                <w:szCs w:val="18"/>
              </w:rPr>
              <w:t>Number of PCBUs working with engineered stone in Australia (#)</w:t>
            </w:r>
          </w:p>
        </w:tc>
        <w:tc>
          <w:tcPr>
            <w:tcW w:w="1454" w:type="pct"/>
            <w:gridSpan w:val="3"/>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612F93EE" w14:textId="5356A100" w:rsidR="00105526" w:rsidRPr="009D0A4A" w:rsidRDefault="000F4FD8" w:rsidP="00FA6EE6">
            <w:pPr>
              <w:pStyle w:val="EYBulletnoparaspace"/>
              <w:numPr>
                <w:ilvl w:val="0"/>
                <w:numId w:val="0"/>
              </w:numPr>
              <w:spacing w:line="264" w:lineRule="auto"/>
              <w:ind w:left="425" w:right="269" w:hanging="425"/>
              <w:jc w:val="center"/>
              <w:rPr>
                <w:rFonts w:asciiTheme="minorHAnsi" w:hAnsiTheme="minorHAnsi" w:cstheme="minorHAnsi"/>
                <w:b/>
                <w:bCs/>
                <w:sz w:val="18"/>
                <w:szCs w:val="18"/>
              </w:rPr>
            </w:pPr>
            <w:r w:rsidRPr="009D0A4A">
              <w:rPr>
                <w:rFonts w:asciiTheme="minorHAnsi" w:hAnsiTheme="minorHAnsi" w:cstheme="minorHAnsi"/>
                <w:sz w:val="18"/>
                <w:szCs w:val="18"/>
              </w:rPr>
              <w:t>1,000</w:t>
            </w:r>
            <w:r w:rsidRPr="009D0A4A">
              <w:rPr>
                <w:rStyle w:val="FootnoteReference"/>
              </w:rPr>
              <w:t xml:space="preserve"> </w:t>
            </w:r>
            <w:r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{"citationID":"wyJVU0PP","properties":{"formattedCitation":"(Australian Engineered Stone Advisory Group 2019)","plainCitation":"(Australian Engineered Stone Advisory Group 2019)","noteIndex":0},"citationItems":[{"id":918,"uris":["http://zotero.org/users/6230888/items/4WCCIQ5J"],"itemData":{"id":918,"type":"report","page":"102","title":"Members of the Australian Engineered Stone Advisory Group (AESAG) Application for authorisation to the Australian Competition and Consumer Commission (ACCC)","URL":"https://www.accc.gov.au/system/files/public-registers/documents/Australian%20Engineered%20Stone%20Advisory%20Group%20%28AESAG%29%20-%20Application%20Received%20-%2029.11.19%20-%20PR%20VERSION.pdf","author":[{"literal":"Australian Engineered Stone Advisory Group"}],"accessed":{"date-parts":[["2022",6,30]]},"issued":{"date-parts":[["2019"]]}}}],"schema":"https://github.com/citation-style-language/schema/raw/master/csl-citation.json"} </w:instrText>
            </w:r>
            <w:r w:rsidRPr="009D0A4A">
              <w:rPr>
                <w:rFonts w:asciiTheme="minorHAnsi" w:hAnsiTheme="minorHAnsi" w:cstheme="minorHAnsi"/>
                <w:sz w:val="18"/>
                <w:szCs w:val="18"/>
              </w:rPr>
              <w:fldChar w:fldCharType="separate"/>
            </w:r>
            <w:r w:rsidR="006B4A7D" w:rsidRPr="009D0A4A">
              <w:rPr>
                <w:rFonts w:ascii="Calibri" w:hAnsi="Calibri" w:cs="Calibri"/>
                <w:sz w:val="18"/>
              </w:rPr>
              <w:t>(Australian Engineered Stone Advisory Group 2019)</w:t>
            </w:r>
            <w:r w:rsidRPr="009D0A4A">
              <w:rPr>
                <w:rFonts w:asciiTheme="minorHAnsi" w:hAnsiTheme="minorHAnsi" w:cstheme="minorHAnsi"/>
                <w:sz w:val="18"/>
                <w:szCs w:val="18"/>
              </w:rPr>
              <w:fldChar w:fldCharType="end"/>
            </w:r>
          </w:p>
        </w:tc>
        <w:tc>
          <w:tcPr>
            <w:tcW w:w="1360" w:type="pct"/>
            <w:vMerge/>
            <w:tcBorders>
              <w:left w:val="single" w:sz="8" w:space="0" w:color="D9D9D9"/>
              <w:right w:val="single" w:sz="8" w:space="0" w:color="D9D9D9"/>
            </w:tcBorders>
            <w:shd w:val="clear" w:color="auto" w:fill="FFFFFF" w:themeFill="background1"/>
            <w:vAlign w:val="center"/>
          </w:tcPr>
          <w:p w14:paraId="794AF5B6"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b/>
                <w:bCs/>
                <w:szCs w:val="20"/>
              </w:rPr>
            </w:pPr>
          </w:p>
        </w:tc>
      </w:tr>
      <w:tr w:rsidR="00105526" w:rsidRPr="009D0A4A" w14:paraId="1361682A" w14:textId="77777777" w:rsidTr="00FA6EE6">
        <w:trPr>
          <w:trHeight w:val="297"/>
        </w:trPr>
        <w:tc>
          <w:tcPr>
            <w:tcW w:w="5000" w:type="pct"/>
            <w:gridSpan w:val="7"/>
            <w:tcBorders>
              <w:left w:val="single" w:sz="8" w:space="0" w:color="D9D9D9"/>
              <w:right w:val="single" w:sz="8" w:space="0" w:color="D9D9D9"/>
            </w:tcBorders>
            <w:shd w:val="clear" w:color="auto" w:fill="BFBFBF" w:themeFill="background1" w:themeFillShade="BF"/>
            <w:tcMar>
              <w:top w:w="72" w:type="dxa"/>
              <w:left w:w="144" w:type="dxa"/>
              <w:bottom w:w="72" w:type="dxa"/>
              <w:right w:w="144" w:type="dxa"/>
            </w:tcMar>
          </w:tcPr>
          <w:p w14:paraId="510DA435" w14:textId="77777777" w:rsidR="00105526" w:rsidRPr="009D0A4A" w:rsidRDefault="00105526" w:rsidP="00FA6EE6">
            <w:pPr>
              <w:pStyle w:val="EYBulletnoparaspace"/>
              <w:numPr>
                <w:ilvl w:val="0"/>
                <w:numId w:val="0"/>
              </w:numPr>
              <w:spacing w:after="0" w:line="264" w:lineRule="auto"/>
              <w:ind w:left="425" w:right="266" w:hanging="425"/>
              <w:rPr>
                <w:rFonts w:asciiTheme="majorHAnsi" w:hAnsiTheme="majorHAnsi" w:cstheme="minorHAnsi"/>
                <w:b/>
                <w:bCs/>
                <w:szCs w:val="20"/>
              </w:rPr>
            </w:pPr>
            <w:r w:rsidRPr="009D0A4A">
              <w:rPr>
                <w:rFonts w:asciiTheme="majorHAnsi" w:hAnsiTheme="majorHAnsi" w:cstheme="minorHAnsi"/>
                <w:b/>
                <w:bCs/>
                <w:i/>
                <w:iCs/>
                <w:sz w:val="18"/>
                <w:szCs w:val="18"/>
              </w:rPr>
              <w:t>Option 5a and 5b</w:t>
            </w:r>
          </w:p>
        </w:tc>
      </w:tr>
      <w:tr w:rsidR="00105526" w:rsidRPr="009D0A4A" w14:paraId="5E497A70" w14:textId="77777777" w:rsidTr="00722B43">
        <w:trPr>
          <w:trHeight w:val="20"/>
        </w:trPr>
        <w:tc>
          <w:tcPr>
            <w:tcW w:w="676" w:type="pct"/>
            <w:vMerge w:val="restart"/>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1AE5BDBF"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r w:rsidRPr="009D0A4A">
              <w:rPr>
                <w:rFonts w:asciiTheme="minorHAnsi" w:hAnsiTheme="minorHAnsi" w:cstheme="minorHAnsi"/>
                <w:i/>
                <w:iCs/>
                <w:sz w:val="18"/>
                <w:szCs w:val="18"/>
              </w:rPr>
              <w:t>Risk assessment: quarrying, mining, tunnelling, demolition (Year 1 only)</w:t>
            </w:r>
          </w:p>
        </w:tc>
        <w:tc>
          <w:tcPr>
            <w:tcW w:w="697" w:type="pct"/>
            <w:vMerge w:val="restart"/>
            <w:tcBorders>
              <w:left w:val="single" w:sz="8" w:space="0" w:color="D9D9D9"/>
              <w:right w:val="single" w:sz="8" w:space="0" w:color="D9D9D9"/>
            </w:tcBorders>
            <w:shd w:val="clear" w:color="auto" w:fill="FFFFFF" w:themeFill="background1"/>
          </w:tcPr>
          <w:p w14:paraId="7AACFB7C" w14:textId="77777777" w:rsidR="00105526" w:rsidRPr="009D0A4A" w:rsidRDefault="00105526" w:rsidP="00FA6EE6">
            <w:pPr>
              <w:pStyle w:val="BodyText"/>
              <w:ind w:left="157"/>
              <w:rPr>
                <w:rFonts w:cstheme="minorHAnsi"/>
                <w:color w:val="auto"/>
                <w:sz w:val="18"/>
                <w:szCs w:val="18"/>
              </w:rPr>
            </w:pPr>
            <w:r w:rsidRPr="009D0A4A">
              <w:rPr>
                <w:rFonts w:cstheme="minorHAnsi"/>
                <w:color w:val="auto"/>
                <w:sz w:val="18"/>
                <w:szCs w:val="18"/>
              </w:rPr>
              <w:t xml:space="preserve">Additional labour costs for the preparation of a risk assessment report for submission to WHS regulators in year 1. This includes initial upfront costs for x-ray diffraction analysis  </w:t>
            </w:r>
          </w:p>
          <w:p w14:paraId="5938BF9A" w14:textId="77777777" w:rsidR="00105526" w:rsidRPr="009D0A4A" w:rsidRDefault="00105526" w:rsidP="00FA6EE6">
            <w:pPr>
              <w:pStyle w:val="BodyText"/>
              <w:ind w:left="157"/>
              <w:rPr>
                <w:rFonts w:cstheme="minorHAnsi"/>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711B6503" w14:textId="5B439297" w:rsidR="00105526" w:rsidRPr="009D0A4A" w:rsidRDefault="00105526" w:rsidP="00FA6EE6">
            <w:pPr>
              <w:pStyle w:val="BodyText"/>
              <w:rPr>
                <w:rFonts w:cstheme="minorHAnsi"/>
                <w:sz w:val="18"/>
                <w:szCs w:val="18"/>
              </w:rPr>
            </w:pPr>
            <w:r w:rsidRPr="009D0A4A">
              <w:rPr>
                <w:rFonts w:cstheme="minorHAnsi"/>
                <w:color w:val="auto"/>
                <w:sz w:val="18"/>
                <w:szCs w:val="18"/>
              </w:rPr>
              <w:t>Cost of consultant to conduct risk assessment per hour ($)</w:t>
            </w:r>
          </w:p>
        </w:tc>
        <w:tc>
          <w:tcPr>
            <w:tcW w:w="1454" w:type="pct"/>
            <w:gridSpan w:val="3"/>
            <w:tcBorders>
              <w:top w:val="single" w:sz="8" w:space="0" w:color="D9D9D9"/>
              <w:left w:val="single" w:sz="8" w:space="0" w:color="D9D9D9"/>
              <w:right w:val="single" w:sz="8" w:space="0" w:color="D9D9D9"/>
            </w:tcBorders>
            <w:shd w:val="clear" w:color="auto" w:fill="FFFFFF" w:themeFill="background1"/>
            <w:vAlign w:val="center"/>
          </w:tcPr>
          <w:p w14:paraId="42FF1DC6" w14:textId="65E39DCD"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$160</w:t>
            </w:r>
            <w:r w:rsidR="000F4FD8" w:rsidRPr="009D0A4A">
              <w:rPr>
                <w:rFonts w:asciiTheme="minorHAnsi" w:hAnsiTheme="minorHAnsi" w:cstheme="minorHAnsi"/>
                <w:sz w:val="18"/>
                <w:szCs w:val="18"/>
              </w:rPr>
              <w:t xml:space="preserve"> </w:t>
            </w:r>
            <w:r w:rsidR="000F4FD8"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{"citationID":"xQ46HuMm","properties":{"formattedCitation":"(Construction Material Processors Association 2021)","plainCitation":"(Construction Material Processors Association 2021)","noteIndex":0},"citationItems":[{"id":919,"uris":["http://zotero.org/users/6230888/items/TY96NBNL"],"itemData":{"id":919,"type":"report","title":"Construction Material Processors Association response letter to the Occupational Health and Safety Amendment (Crystalline Silica) Regulations 2021 Regulatory Impact Statement","URL":"https://engage.vic.gov.au/download/document/20844","author":[{"literal":"Construction Material Processors Association"}],"accessed":{"date-parts":[["2022",6,30]]},"issued":{"date-parts":[["2021"]]}}}],"schema":"https://github.com/citation-style-language/schema/raw/master/csl-citation.json"} </w:instrText>
            </w:r>
            <w:r w:rsidR="000F4FD8" w:rsidRPr="009D0A4A">
              <w:rPr>
                <w:rFonts w:asciiTheme="minorHAnsi" w:hAnsiTheme="minorHAnsi" w:cstheme="minorHAnsi"/>
                <w:sz w:val="18"/>
                <w:szCs w:val="18"/>
              </w:rPr>
              <w:fldChar w:fldCharType="separate"/>
            </w:r>
            <w:r w:rsidR="006B4A7D" w:rsidRPr="009D0A4A">
              <w:rPr>
                <w:rFonts w:ascii="Calibri" w:hAnsi="Calibri" w:cs="Calibri"/>
                <w:sz w:val="18"/>
              </w:rPr>
              <w:t>(Construction Material Processors Association 2021)</w:t>
            </w:r>
            <w:r w:rsidR="000F4FD8" w:rsidRPr="009D0A4A">
              <w:rPr>
                <w:rFonts w:asciiTheme="minorHAnsi" w:hAnsiTheme="minorHAnsi" w:cstheme="minorHAnsi"/>
                <w:sz w:val="18"/>
                <w:szCs w:val="18"/>
              </w:rPr>
              <w:fldChar w:fldCharType="end"/>
            </w:r>
          </w:p>
        </w:tc>
        <w:tc>
          <w:tcPr>
            <w:tcW w:w="1360" w:type="pct"/>
            <w:vMerge w:val="restart"/>
            <w:tcBorders>
              <w:left w:val="single" w:sz="8" w:space="0" w:color="D9D9D9"/>
              <w:right w:val="single" w:sz="8" w:space="0" w:color="D9D9D9"/>
            </w:tcBorders>
            <w:shd w:val="clear" w:color="auto" w:fill="FFFFFF" w:themeFill="background1"/>
            <w:vAlign w:val="center"/>
          </w:tcPr>
          <w:p w14:paraId="50260E2B"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Cost of risk assessment: quarrying, mining, tunnelling, demolition (Year 1)</w:t>
            </w:r>
          </w:p>
          <w:p w14:paraId="5EFA6E45"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4865476D" w14:textId="61DD2C92"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Cost of consultant to conduct risk assessment per hour</w:t>
            </w:r>
          </w:p>
          <w:p w14:paraId="7071EBD3"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5D70E594"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Number of hours to conduct risk assessment</w:t>
            </w:r>
          </w:p>
          <w:p w14:paraId="4F243635"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3B40681F"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Number of businesses undertaking high risk silica work in the quarrying, mining, tunnelling and demolition industries</w:t>
            </w:r>
          </w:p>
          <w:p w14:paraId="30E73113"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30526824"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Cost of x-ray diffraction analysis</w:t>
            </w:r>
          </w:p>
          <w:p w14:paraId="6471F66E"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0307D380"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b/>
                <w:bCs/>
                <w:sz w:val="18"/>
                <w:szCs w:val="18"/>
              </w:rPr>
            </w:pPr>
            <w:r w:rsidRPr="009D0A4A">
              <w:rPr>
                <w:rFonts w:asciiTheme="minorHAnsi" w:hAnsiTheme="minorHAnsi" w:cstheme="minorHAnsi"/>
                <w:sz w:val="18"/>
                <w:szCs w:val="18"/>
              </w:rPr>
              <w:t>Number of businesses undertaking high risk silica work in the quarrying, mining, tunnelling and demolition industries</w:t>
            </w:r>
          </w:p>
        </w:tc>
      </w:tr>
      <w:tr w:rsidR="00105526" w:rsidRPr="009D0A4A" w14:paraId="2F57310E" w14:textId="77777777" w:rsidTr="00722B43">
        <w:trPr>
          <w:trHeight w:val="2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43EB0995" w14:textId="77777777" w:rsidR="00105526" w:rsidRPr="009D0A4A" w:rsidRDefault="00105526" w:rsidP="00FA6EE6">
            <w:pPr>
              <w:pStyle w:val="EYBulletnoparaspace"/>
              <w:numPr>
                <w:ilvl w:val="0"/>
                <w:numId w:val="0"/>
              </w:numPr>
              <w:spacing w:line="264" w:lineRule="auto"/>
              <w:rPr>
                <w:rFonts w:asciiTheme="minorHAnsi" w:hAnsiTheme="minorHAnsi" w:cstheme="minorHAnsi"/>
                <w:sz w:val="18"/>
                <w:szCs w:val="18"/>
              </w:rPr>
            </w:pPr>
          </w:p>
        </w:tc>
        <w:tc>
          <w:tcPr>
            <w:tcW w:w="697" w:type="pct"/>
            <w:vMerge/>
            <w:tcBorders>
              <w:left w:val="single" w:sz="8" w:space="0" w:color="D9D9D9"/>
              <w:right w:val="single" w:sz="8" w:space="0" w:color="D9D9D9"/>
            </w:tcBorders>
            <w:shd w:val="clear" w:color="auto" w:fill="FFFFFF" w:themeFill="background1"/>
          </w:tcPr>
          <w:p w14:paraId="2ADB8361" w14:textId="77777777" w:rsidR="00105526" w:rsidRPr="009D0A4A" w:rsidRDefault="00105526" w:rsidP="00FA6EE6">
            <w:pPr>
              <w:pStyle w:val="BodyText"/>
              <w:ind w:left="157"/>
              <w:rPr>
                <w:rFonts w:cstheme="minorHAnsi"/>
                <w:color w:val="auto"/>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24BE972" w14:textId="5DF6AD78" w:rsidR="00105526" w:rsidRPr="009D0A4A" w:rsidRDefault="00105526" w:rsidP="00FA6EE6">
            <w:pPr>
              <w:pStyle w:val="BodyText"/>
              <w:rPr>
                <w:rFonts w:cstheme="minorHAnsi"/>
                <w:sz w:val="18"/>
                <w:szCs w:val="18"/>
              </w:rPr>
            </w:pPr>
            <w:r w:rsidRPr="009D0A4A">
              <w:rPr>
                <w:rFonts w:cstheme="minorHAnsi"/>
                <w:color w:val="auto"/>
                <w:sz w:val="18"/>
                <w:szCs w:val="18"/>
              </w:rPr>
              <w:t>Number of consultant</w:t>
            </w:r>
            <w:r w:rsidR="00C473F8" w:rsidRPr="009D0A4A">
              <w:rPr>
                <w:rFonts w:cstheme="minorHAnsi"/>
                <w:color w:val="auto"/>
                <w:sz w:val="18"/>
                <w:szCs w:val="18"/>
              </w:rPr>
              <w:t xml:space="preserve"> hour</w:t>
            </w:r>
            <w:r w:rsidRPr="009D0A4A">
              <w:rPr>
                <w:rFonts w:cstheme="minorHAnsi"/>
                <w:color w:val="auto"/>
                <w:sz w:val="18"/>
                <w:szCs w:val="18"/>
              </w:rPr>
              <w:t>s required to conduct risk assessment (hours)</w:t>
            </w:r>
          </w:p>
        </w:tc>
        <w:tc>
          <w:tcPr>
            <w:tcW w:w="1454" w:type="pct"/>
            <w:gridSpan w:val="3"/>
            <w:tcBorders>
              <w:left w:val="single" w:sz="8" w:space="0" w:color="D9D9D9"/>
              <w:right w:val="single" w:sz="8" w:space="0" w:color="D9D9D9"/>
            </w:tcBorders>
            <w:shd w:val="clear" w:color="auto" w:fill="FFFFFF" w:themeFill="background1"/>
            <w:vAlign w:val="center"/>
          </w:tcPr>
          <w:p w14:paraId="75477FA5" w14:textId="2FFB9B74"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16</w:t>
            </w:r>
            <w:r w:rsidR="000F4FD8" w:rsidRPr="009D0A4A">
              <w:t xml:space="preserve"> </w:t>
            </w:r>
            <w:r w:rsidR="000F4FD8"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{"citationID":"T2bEBE9B","properties":{"formattedCitation":"(Construction Material Processors Association 2021)","plainCitation":"(Construction Material Processors Association 2021)","noteIndex":0},"citationItems":[{"id":919,"uris":["http://zotero.org/users/6230888/items/TY96NBNL"],"itemData":{"id":919,"type":"report","title":"Construction Material Processors Association response letter to the Occupational Health and Safety Amendment (Crystalline Silica) Regulations 2021 Regulatory Impact Statement","URL":"https://engage.vic.gov.au/download/document/20844","author":[{"literal":"Construction Material Processors Association"}],"accessed":{"date-parts":[["2022",6,30]]},"issued":{"date-parts":[["2021"]]}}}],"schema":"https://github.com/citation-style-language/schema/raw/master/csl-citation.json"} </w:instrText>
            </w:r>
            <w:r w:rsidR="000F4FD8" w:rsidRPr="009D0A4A">
              <w:rPr>
                <w:rFonts w:asciiTheme="minorHAnsi" w:hAnsiTheme="minorHAnsi" w:cstheme="minorHAnsi"/>
                <w:sz w:val="18"/>
                <w:szCs w:val="18"/>
              </w:rPr>
              <w:fldChar w:fldCharType="separate"/>
            </w:r>
            <w:r w:rsidR="006B4A7D" w:rsidRPr="009D0A4A">
              <w:rPr>
                <w:rFonts w:ascii="Calibri" w:hAnsi="Calibri" w:cs="Calibri"/>
                <w:sz w:val="18"/>
              </w:rPr>
              <w:t>(Construction Material Processors Association 2021)</w:t>
            </w:r>
            <w:r w:rsidR="000F4FD8" w:rsidRPr="009D0A4A">
              <w:rPr>
                <w:rFonts w:asciiTheme="minorHAnsi" w:hAnsiTheme="minorHAnsi" w:cstheme="minorHAnsi"/>
                <w:sz w:val="18"/>
                <w:szCs w:val="18"/>
              </w:rPr>
              <w:fldChar w:fldCharType="end"/>
            </w:r>
          </w:p>
        </w:tc>
        <w:tc>
          <w:tcPr>
            <w:tcW w:w="1360" w:type="pct"/>
            <w:vMerge/>
            <w:tcBorders>
              <w:left w:val="single" w:sz="8" w:space="0" w:color="D9D9D9"/>
              <w:right w:val="single" w:sz="8" w:space="0" w:color="D9D9D9"/>
            </w:tcBorders>
            <w:shd w:val="clear" w:color="auto" w:fill="FFFFFF" w:themeFill="background1"/>
            <w:vAlign w:val="center"/>
          </w:tcPr>
          <w:p w14:paraId="52F8D6D9"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p>
        </w:tc>
      </w:tr>
      <w:tr w:rsidR="00105526" w:rsidRPr="009D0A4A" w14:paraId="4E08BF0E" w14:textId="77777777" w:rsidTr="00722B43">
        <w:trPr>
          <w:trHeight w:val="2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3F01A0FB" w14:textId="77777777" w:rsidR="00105526" w:rsidRPr="009D0A4A" w:rsidRDefault="00105526" w:rsidP="00FA6EE6">
            <w:pPr>
              <w:pStyle w:val="EYBulletnoparaspace"/>
              <w:numPr>
                <w:ilvl w:val="0"/>
                <w:numId w:val="0"/>
              </w:numPr>
              <w:spacing w:line="264" w:lineRule="auto"/>
              <w:rPr>
                <w:rFonts w:asciiTheme="minorHAnsi" w:hAnsiTheme="minorHAnsi" w:cstheme="minorHAnsi"/>
                <w:sz w:val="18"/>
                <w:szCs w:val="18"/>
              </w:rPr>
            </w:pPr>
          </w:p>
        </w:tc>
        <w:tc>
          <w:tcPr>
            <w:tcW w:w="697" w:type="pct"/>
            <w:vMerge/>
            <w:tcBorders>
              <w:left w:val="single" w:sz="8" w:space="0" w:color="D9D9D9"/>
              <w:right w:val="single" w:sz="8" w:space="0" w:color="D9D9D9"/>
            </w:tcBorders>
            <w:shd w:val="clear" w:color="auto" w:fill="FFFFFF" w:themeFill="background1"/>
          </w:tcPr>
          <w:p w14:paraId="3C898E2E" w14:textId="77777777" w:rsidR="00105526" w:rsidRPr="009D0A4A" w:rsidRDefault="00105526" w:rsidP="00FA6EE6">
            <w:pPr>
              <w:pStyle w:val="BodyText"/>
              <w:ind w:left="157"/>
              <w:rPr>
                <w:rFonts w:cstheme="minorHAnsi"/>
                <w:color w:val="auto"/>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0420621E" w14:textId="77777777" w:rsidR="00105526" w:rsidRPr="009D0A4A" w:rsidRDefault="00105526" w:rsidP="00FA6EE6">
            <w:pPr>
              <w:pStyle w:val="BodyText"/>
              <w:rPr>
                <w:rFonts w:cstheme="minorHAnsi"/>
                <w:sz w:val="18"/>
                <w:szCs w:val="18"/>
              </w:rPr>
            </w:pPr>
            <w:r w:rsidRPr="009D0A4A">
              <w:rPr>
                <w:rFonts w:cstheme="minorHAnsi"/>
                <w:sz w:val="18"/>
                <w:szCs w:val="18"/>
              </w:rPr>
              <w:t>Number of businesses undertaking high risk silica work in the quarrying, mining, tunnelling and demolition industries (#)</w:t>
            </w:r>
          </w:p>
        </w:tc>
        <w:tc>
          <w:tcPr>
            <w:tcW w:w="1454" w:type="pct"/>
            <w:gridSpan w:val="3"/>
            <w:tcBorders>
              <w:left w:val="single" w:sz="8" w:space="0" w:color="D9D9D9"/>
              <w:right w:val="single" w:sz="8" w:space="0" w:color="D9D9D9"/>
            </w:tcBorders>
            <w:shd w:val="clear" w:color="auto" w:fill="FFFFFF" w:themeFill="background1"/>
            <w:vAlign w:val="center"/>
          </w:tcPr>
          <w:p w14:paraId="6960BF7C" w14:textId="142C39FB"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Style w:val="BodyTextChar"/>
                <w:rFonts w:asciiTheme="minorHAnsi" w:hAnsiTheme="minorHAnsi" w:cstheme="minorHAnsi"/>
                <w:sz w:val="18"/>
                <w:szCs w:val="18"/>
              </w:rPr>
              <w:t xml:space="preserve">Refer to </w:t>
            </w:r>
            <w:r w:rsidR="00733855" w:rsidRPr="009D0A4A">
              <w:rPr>
                <w:rStyle w:val="BodyTextChar"/>
                <w:rFonts w:asciiTheme="minorHAnsi" w:hAnsiTheme="minorHAnsi" w:cstheme="minorHAnsi"/>
                <w:sz w:val="18"/>
                <w:szCs w:val="18"/>
              </w:rPr>
              <w:t>Table 26</w:t>
            </w:r>
          </w:p>
        </w:tc>
        <w:tc>
          <w:tcPr>
            <w:tcW w:w="1360" w:type="pct"/>
            <w:vMerge/>
            <w:tcBorders>
              <w:left w:val="single" w:sz="8" w:space="0" w:color="D9D9D9"/>
              <w:right w:val="single" w:sz="8" w:space="0" w:color="D9D9D9"/>
            </w:tcBorders>
            <w:shd w:val="clear" w:color="auto" w:fill="FFFFFF" w:themeFill="background1"/>
            <w:vAlign w:val="center"/>
          </w:tcPr>
          <w:p w14:paraId="3F9EE6CB"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p>
        </w:tc>
      </w:tr>
      <w:tr w:rsidR="00105526" w:rsidRPr="009D0A4A" w14:paraId="2F51E793" w14:textId="77777777" w:rsidTr="00722B43">
        <w:trPr>
          <w:trHeight w:val="2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40965699" w14:textId="77777777" w:rsidR="00105526" w:rsidRPr="009D0A4A" w:rsidRDefault="00105526" w:rsidP="00FA6EE6">
            <w:pPr>
              <w:pStyle w:val="EYBulletnoparaspace"/>
              <w:numPr>
                <w:ilvl w:val="0"/>
                <w:numId w:val="0"/>
              </w:numPr>
              <w:spacing w:line="264" w:lineRule="auto"/>
              <w:rPr>
                <w:rFonts w:asciiTheme="minorHAnsi" w:hAnsiTheme="minorHAnsi" w:cstheme="minorHAnsi"/>
                <w:sz w:val="18"/>
                <w:szCs w:val="18"/>
              </w:rPr>
            </w:pPr>
          </w:p>
        </w:tc>
        <w:tc>
          <w:tcPr>
            <w:tcW w:w="697" w:type="pct"/>
            <w:vMerge/>
            <w:tcBorders>
              <w:left w:val="single" w:sz="8" w:space="0" w:color="D9D9D9"/>
              <w:right w:val="single" w:sz="8" w:space="0" w:color="D9D9D9"/>
            </w:tcBorders>
            <w:shd w:val="clear" w:color="auto" w:fill="FFFFFF" w:themeFill="background1"/>
          </w:tcPr>
          <w:p w14:paraId="6285159B" w14:textId="77777777" w:rsidR="00105526" w:rsidRPr="009D0A4A" w:rsidRDefault="00105526" w:rsidP="00FA6EE6">
            <w:pPr>
              <w:pStyle w:val="BodyText"/>
              <w:ind w:left="157"/>
              <w:rPr>
                <w:rFonts w:cstheme="minorHAnsi"/>
                <w:color w:val="auto"/>
                <w:sz w:val="18"/>
                <w:szCs w:val="18"/>
              </w:rPr>
            </w:pPr>
          </w:p>
        </w:tc>
        <w:tc>
          <w:tcPr>
            <w:tcW w:w="813" w:type="pct"/>
            <w:tcBorders>
              <w:top w:val="single" w:sz="8" w:space="0" w:color="D9D9D9"/>
              <w:left w:val="single" w:sz="8" w:space="0" w:color="D9D9D9"/>
              <w:right w:val="single" w:sz="8" w:space="0" w:color="D9D9D9"/>
            </w:tcBorders>
            <w:shd w:val="clear" w:color="auto" w:fill="FFFFFF" w:themeFill="background1"/>
            <w:vAlign w:val="center"/>
          </w:tcPr>
          <w:p w14:paraId="269AB5F9" w14:textId="77DC8546" w:rsidR="00105526" w:rsidRPr="009D0A4A" w:rsidRDefault="00105526" w:rsidP="00FA6EE6">
            <w:pPr>
              <w:pStyle w:val="BodyText"/>
              <w:rPr>
                <w:rFonts w:cstheme="minorHAnsi"/>
                <w:sz w:val="18"/>
                <w:szCs w:val="18"/>
              </w:rPr>
            </w:pPr>
            <w:r w:rsidRPr="009D0A4A">
              <w:rPr>
                <w:rFonts w:cstheme="minorHAnsi"/>
                <w:color w:val="auto"/>
                <w:sz w:val="18"/>
                <w:szCs w:val="18"/>
              </w:rPr>
              <w:t>Cost of x-ray diffraction analysis ($</w:t>
            </w:r>
            <w:r w:rsidR="00B87E28" w:rsidRPr="009D0A4A">
              <w:rPr>
                <w:rFonts w:cstheme="minorHAnsi"/>
                <w:color w:val="auto"/>
                <w:sz w:val="18"/>
                <w:szCs w:val="18"/>
              </w:rPr>
              <w:t>/risk assessment</w:t>
            </w:r>
            <w:r w:rsidRPr="009D0A4A">
              <w:rPr>
                <w:rFonts w:cstheme="minorHAnsi"/>
                <w:color w:val="auto"/>
                <w:sz w:val="18"/>
                <w:szCs w:val="18"/>
              </w:rPr>
              <w:t>)</w:t>
            </w:r>
          </w:p>
        </w:tc>
        <w:tc>
          <w:tcPr>
            <w:tcW w:w="1454" w:type="pct"/>
            <w:gridSpan w:val="3"/>
            <w:tcBorders>
              <w:left w:val="single" w:sz="8" w:space="0" w:color="D9D9D9"/>
              <w:right w:val="single" w:sz="8" w:space="0" w:color="D9D9D9"/>
            </w:tcBorders>
            <w:shd w:val="clear" w:color="auto" w:fill="FFFFFF" w:themeFill="background1"/>
            <w:vAlign w:val="center"/>
          </w:tcPr>
          <w:p w14:paraId="1843E30F" w14:textId="628BD710"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$500</w:t>
            </w:r>
            <w:r w:rsidR="000F4FD8" w:rsidRPr="009D0A4A">
              <w:rPr>
                <w:rStyle w:val="FootnoteReference"/>
              </w:rPr>
              <w:t xml:space="preserve"> </w:t>
            </w:r>
            <w:r w:rsidR="000F4FD8"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{"citationID":"4bSPFVcq","properties":{"formattedCitation":"(Construction Material Processors Association 2021)","plainCitation":"(Construction Material Processors Association 2021)","noteIndex":0},"citationItems":[{"id":919,"uris":["http://zotero.org/users/6230888/items/TY96NBNL"],"itemData":{"id":919,"type":"report","title":"Construction Material Processors Association response letter to the Occupational Health and Safety Amendment (Crystalline Silica) Regulations 2021 Regulatory Impact Statement","URL":"https://engage.vic.gov.au/download/document/20844","author":[{"literal":"Construction Material Processors Association"}],"accessed":{"date-parts":[["2022",6,30]]},"issued":{"date-parts":[["2021"]]}}}],"schema":"https://github.com/citation-style-language/schema/raw/master/csl-citation.json"} </w:instrText>
            </w:r>
            <w:r w:rsidR="000F4FD8" w:rsidRPr="009D0A4A">
              <w:rPr>
                <w:rFonts w:asciiTheme="minorHAnsi" w:hAnsiTheme="minorHAnsi" w:cstheme="minorHAnsi"/>
                <w:sz w:val="18"/>
                <w:szCs w:val="18"/>
              </w:rPr>
              <w:fldChar w:fldCharType="separate"/>
            </w:r>
            <w:r w:rsidR="006B4A7D" w:rsidRPr="009D0A4A">
              <w:rPr>
                <w:rFonts w:ascii="Calibri" w:hAnsi="Calibri" w:cs="Calibri"/>
                <w:sz w:val="18"/>
              </w:rPr>
              <w:t>(Construction Material Processors Association 2021)</w:t>
            </w:r>
            <w:r w:rsidR="000F4FD8" w:rsidRPr="009D0A4A">
              <w:rPr>
                <w:rFonts w:asciiTheme="minorHAnsi" w:hAnsiTheme="minorHAnsi" w:cstheme="minorHAnsi"/>
                <w:sz w:val="18"/>
                <w:szCs w:val="18"/>
              </w:rPr>
              <w:fldChar w:fldCharType="end"/>
            </w:r>
          </w:p>
        </w:tc>
        <w:tc>
          <w:tcPr>
            <w:tcW w:w="1360" w:type="pct"/>
            <w:vMerge/>
            <w:tcBorders>
              <w:left w:val="single" w:sz="8" w:space="0" w:color="D9D9D9"/>
              <w:right w:val="single" w:sz="8" w:space="0" w:color="D9D9D9"/>
            </w:tcBorders>
            <w:shd w:val="clear" w:color="auto" w:fill="FFFFFF" w:themeFill="background1"/>
            <w:vAlign w:val="center"/>
          </w:tcPr>
          <w:p w14:paraId="7F6A6281"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p>
        </w:tc>
      </w:tr>
      <w:tr w:rsidR="00105526" w:rsidRPr="009D0A4A" w14:paraId="1BB321B3" w14:textId="77777777" w:rsidTr="00722B43">
        <w:trPr>
          <w:trHeight w:val="20"/>
        </w:trPr>
        <w:tc>
          <w:tcPr>
            <w:tcW w:w="676" w:type="pct"/>
            <w:vMerge w:val="restart"/>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742DBDDA"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r w:rsidRPr="009D0A4A">
              <w:rPr>
                <w:rFonts w:asciiTheme="minorHAnsi" w:hAnsiTheme="minorHAnsi" w:cstheme="minorHAnsi"/>
                <w:i/>
                <w:iCs/>
                <w:sz w:val="18"/>
                <w:szCs w:val="18"/>
              </w:rPr>
              <w:lastRenderedPageBreak/>
              <w:t>Risk assessment: quarrying, mining, tunnelling, demolition (Year 2 – 10)</w:t>
            </w:r>
          </w:p>
        </w:tc>
        <w:tc>
          <w:tcPr>
            <w:tcW w:w="697" w:type="pct"/>
            <w:vMerge w:val="restart"/>
            <w:tcBorders>
              <w:left w:val="single" w:sz="8" w:space="0" w:color="D9D9D9"/>
              <w:right w:val="single" w:sz="8" w:space="0" w:color="D9D9D9"/>
            </w:tcBorders>
            <w:shd w:val="clear" w:color="auto" w:fill="FFFFFF" w:themeFill="background1"/>
          </w:tcPr>
          <w:p w14:paraId="19D95107" w14:textId="77777777" w:rsidR="00105526" w:rsidRPr="009D0A4A" w:rsidRDefault="00105526" w:rsidP="00FA6EE6">
            <w:pPr>
              <w:pStyle w:val="BodyText"/>
              <w:ind w:left="157"/>
              <w:rPr>
                <w:rFonts w:cstheme="minorHAnsi"/>
                <w:color w:val="auto"/>
                <w:sz w:val="18"/>
                <w:szCs w:val="18"/>
              </w:rPr>
            </w:pPr>
            <w:r w:rsidRPr="009D0A4A">
              <w:rPr>
                <w:rFonts w:cstheme="minorHAnsi"/>
                <w:color w:val="auto"/>
                <w:sz w:val="18"/>
                <w:szCs w:val="18"/>
              </w:rPr>
              <w:t>Additional labour costs for the preparation of a risk assessment report for submission to WHS regulators on an annual basis</w:t>
            </w:r>
          </w:p>
          <w:p w14:paraId="410644B2" w14:textId="77777777" w:rsidR="00105526" w:rsidRPr="009D0A4A" w:rsidRDefault="00105526" w:rsidP="00FA6EE6">
            <w:pPr>
              <w:pStyle w:val="BodyText"/>
              <w:ind w:left="157"/>
              <w:rPr>
                <w:rFonts w:cstheme="minorHAnsi"/>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2886419F" w14:textId="77777777" w:rsidR="00105526" w:rsidRPr="009D0A4A" w:rsidRDefault="00105526" w:rsidP="00FA6EE6">
            <w:pPr>
              <w:pStyle w:val="BodyText"/>
              <w:rPr>
                <w:rFonts w:cstheme="minorHAnsi"/>
                <w:sz w:val="18"/>
                <w:szCs w:val="18"/>
              </w:rPr>
            </w:pPr>
            <w:r w:rsidRPr="009D0A4A">
              <w:rPr>
                <w:rFonts w:cstheme="minorHAnsi"/>
                <w:color w:val="auto"/>
                <w:sz w:val="18"/>
                <w:szCs w:val="18"/>
              </w:rPr>
              <w:t>Time taken to prepare risk assessment submission (hours)</w:t>
            </w:r>
          </w:p>
        </w:tc>
        <w:tc>
          <w:tcPr>
            <w:tcW w:w="338" w:type="pct"/>
            <w:tcBorders>
              <w:top w:val="single" w:sz="8" w:space="0" w:color="D9D9D9"/>
              <w:left w:val="single" w:sz="8" w:space="0" w:color="D9D9D9"/>
              <w:right w:val="single" w:sz="8" w:space="0" w:color="D9D9D9"/>
            </w:tcBorders>
            <w:shd w:val="clear" w:color="auto" w:fill="FFFFFF" w:themeFill="background1"/>
            <w:vAlign w:val="center"/>
          </w:tcPr>
          <w:p w14:paraId="41904C40"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Small</w:t>
            </w:r>
          </w:p>
          <w:p w14:paraId="57CA04C5"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2</w:t>
            </w:r>
          </w:p>
        </w:tc>
        <w:tc>
          <w:tcPr>
            <w:tcW w:w="447" w:type="pct"/>
            <w:tcBorders>
              <w:top w:val="single" w:sz="8" w:space="0" w:color="D9D9D9"/>
              <w:left w:val="single" w:sz="8" w:space="0" w:color="D9D9D9"/>
              <w:right w:val="single" w:sz="8" w:space="0" w:color="D9D9D9"/>
            </w:tcBorders>
            <w:shd w:val="clear" w:color="auto" w:fill="FFFFFF" w:themeFill="background1"/>
            <w:vAlign w:val="center"/>
          </w:tcPr>
          <w:p w14:paraId="7C25EB61"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Medium</w:t>
            </w:r>
          </w:p>
          <w:p w14:paraId="55C3E511"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3</w:t>
            </w:r>
          </w:p>
        </w:tc>
        <w:tc>
          <w:tcPr>
            <w:tcW w:w="669" w:type="pct"/>
            <w:tcBorders>
              <w:top w:val="single" w:sz="8" w:space="0" w:color="D9D9D9"/>
              <w:left w:val="single" w:sz="8" w:space="0" w:color="D9D9D9"/>
              <w:right w:val="single" w:sz="8" w:space="0" w:color="D9D9D9"/>
            </w:tcBorders>
            <w:shd w:val="clear" w:color="auto" w:fill="FFFFFF" w:themeFill="background1"/>
            <w:vAlign w:val="center"/>
          </w:tcPr>
          <w:p w14:paraId="5737AEB1"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Large</w:t>
            </w:r>
          </w:p>
          <w:p w14:paraId="0E359D43" w14:textId="2CA24FD5"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4</w:t>
            </w:r>
            <w:r w:rsidR="000F4FD8" w:rsidRPr="009D0A4A">
              <w:rPr>
                <w:rStyle w:val="FootnoteReference"/>
              </w:rPr>
              <w:t xml:space="preserve"> </w:t>
            </w:r>
            <w:r w:rsidR="000F4FD8" w:rsidRPr="009D0A4A">
              <w:t xml:space="preserve"> </w:t>
            </w:r>
            <w:r w:rsidR="000F4FD8"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{"citationID":"jaWRMqnm","properties":{"formattedCitation":"(Deloitte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000F4FD8" w:rsidRPr="009D0A4A">
              <w:rPr>
                <w:rFonts w:asciiTheme="minorHAnsi" w:hAnsiTheme="minorHAnsi" w:cstheme="minorHAnsi"/>
                <w:sz w:val="18"/>
                <w:szCs w:val="18"/>
              </w:rPr>
              <w:fldChar w:fldCharType="separate"/>
            </w:r>
            <w:r w:rsidR="006B4A7D" w:rsidRPr="009D0A4A">
              <w:rPr>
                <w:rFonts w:ascii="Calibri" w:hAnsi="Calibri" w:cs="Calibri"/>
                <w:sz w:val="18"/>
              </w:rPr>
              <w:t>(Deloitte 2021)</w:t>
            </w:r>
            <w:r w:rsidR="000F4FD8" w:rsidRPr="009D0A4A">
              <w:rPr>
                <w:rFonts w:asciiTheme="minorHAnsi" w:hAnsiTheme="minorHAnsi" w:cstheme="minorHAnsi"/>
                <w:sz w:val="18"/>
                <w:szCs w:val="18"/>
              </w:rPr>
              <w:fldChar w:fldCharType="end"/>
            </w:r>
          </w:p>
        </w:tc>
        <w:tc>
          <w:tcPr>
            <w:tcW w:w="1360" w:type="pct"/>
            <w:vMerge w:val="restart"/>
            <w:tcBorders>
              <w:left w:val="single" w:sz="8" w:space="0" w:color="D9D9D9"/>
              <w:right w:val="single" w:sz="8" w:space="0" w:color="D9D9D9"/>
            </w:tcBorders>
            <w:shd w:val="clear" w:color="auto" w:fill="FFFFFF" w:themeFill="background1"/>
            <w:vAlign w:val="center"/>
          </w:tcPr>
          <w:p w14:paraId="39DEC877"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Cost of risk assessment – quarrying, mining, tunnelling, demolition (year– 2 - 10)</w:t>
            </w:r>
          </w:p>
          <w:p w14:paraId="32BD4EC1"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23830D91"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Time taken to prepare risk assessment submission</w:t>
            </w:r>
          </w:p>
          <w:p w14:paraId="49709D1C" w14:textId="77777777" w:rsidR="007C4FA8" w:rsidRPr="009D0A4A" w:rsidRDefault="00105526" w:rsidP="007C4FA8">
            <w:pPr>
              <w:pStyle w:val="EYBulletnoparaspace"/>
              <w:numPr>
                <w:ilvl w:val="0"/>
                <w:numId w:val="0"/>
              </w:numPr>
              <w:spacing w:line="264" w:lineRule="auto"/>
              <w:ind w:right="130"/>
              <w:jc w:val="center"/>
              <w:rPr>
                <w:rFonts w:asciiTheme="minorHAnsi" w:hAnsiTheme="minorHAnsi" w:cstheme="minorHAnsi"/>
                <w:sz w:val="18"/>
                <w:szCs w:val="18"/>
              </w:rPr>
            </w:pPr>
            <w:r w:rsidRPr="009D0A4A">
              <w:rPr>
                <w:rFonts w:asciiTheme="minorHAnsi" w:hAnsiTheme="minorHAnsi" w:cstheme="minorHAnsi"/>
                <w:sz w:val="18"/>
                <w:szCs w:val="18"/>
              </w:rPr>
              <w:t>×</w:t>
            </w:r>
            <w:r w:rsidR="007C4FA8" w:rsidRPr="009D0A4A">
              <w:rPr>
                <w:rFonts w:asciiTheme="minorHAnsi" w:hAnsiTheme="minorHAnsi" w:cstheme="minorHAnsi"/>
                <w:sz w:val="18"/>
                <w:szCs w:val="18"/>
              </w:rPr>
              <w:t xml:space="preserve"> </w:t>
            </w:r>
          </w:p>
          <w:p w14:paraId="6DA53871" w14:textId="23F6ADA7" w:rsidR="00105526" w:rsidRPr="009D0A4A" w:rsidRDefault="00105526" w:rsidP="007C4FA8">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 xml:space="preserve">Average wage/hour </w:t>
            </w:r>
          </w:p>
          <w:p w14:paraId="76734082"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color w:val="262626" w:themeColor="text1" w:themeTint="D9"/>
                <w:sz w:val="18"/>
                <w:szCs w:val="18"/>
              </w:rPr>
              <w:t>x</w:t>
            </w:r>
          </w:p>
          <w:p w14:paraId="3E7EA600"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b/>
                <w:bCs/>
                <w:sz w:val="18"/>
                <w:szCs w:val="18"/>
              </w:rPr>
            </w:pPr>
            <w:r w:rsidRPr="009D0A4A">
              <w:rPr>
                <w:rFonts w:asciiTheme="minorHAnsi" w:hAnsiTheme="minorHAnsi" w:cstheme="minorHAnsi"/>
                <w:sz w:val="18"/>
                <w:szCs w:val="18"/>
              </w:rPr>
              <w:t>Number of businesses undertaking high risk silica work in the quarrying, mining, tunnelling and demolition industries</w:t>
            </w:r>
          </w:p>
        </w:tc>
      </w:tr>
      <w:tr w:rsidR="00105526" w:rsidRPr="009D0A4A" w14:paraId="674AE35B" w14:textId="77777777" w:rsidTr="00722B43">
        <w:trPr>
          <w:trHeight w:val="2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42207F62"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right w:val="single" w:sz="8" w:space="0" w:color="D9D9D9"/>
            </w:tcBorders>
            <w:shd w:val="clear" w:color="auto" w:fill="FFFFFF" w:themeFill="background1"/>
            <w:vAlign w:val="center"/>
          </w:tcPr>
          <w:p w14:paraId="73C3A4A5" w14:textId="77777777" w:rsidR="00105526" w:rsidRPr="009D0A4A" w:rsidRDefault="00105526" w:rsidP="00FA6EE6">
            <w:pPr>
              <w:pStyle w:val="BodyText"/>
              <w:ind w:left="157"/>
              <w:rPr>
                <w:rFonts w:cstheme="minorHAnsi"/>
                <w:color w:val="auto"/>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33904A2C" w14:textId="77777777" w:rsidR="00105526" w:rsidRPr="009D0A4A" w:rsidRDefault="00105526" w:rsidP="00FA6EE6">
            <w:pPr>
              <w:pStyle w:val="BodyText"/>
              <w:rPr>
                <w:rFonts w:cstheme="minorHAnsi"/>
                <w:sz w:val="18"/>
                <w:szCs w:val="18"/>
              </w:rPr>
            </w:pPr>
            <w:r w:rsidRPr="009D0A4A">
              <w:rPr>
                <w:rFonts w:cstheme="minorHAnsi"/>
                <w:color w:val="auto"/>
                <w:sz w:val="18"/>
                <w:szCs w:val="18"/>
              </w:rPr>
              <w:t>Average wage per hour - quarrying, mining, tunnelling, and demolition ($)</w:t>
            </w:r>
          </w:p>
        </w:tc>
        <w:tc>
          <w:tcPr>
            <w:tcW w:w="1454" w:type="pct"/>
            <w:gridSpan w:val="3"/>
            <w:tcBorders>
              <w:left w:val="single" w:sz="8" w:space="0" w:color="D9D9D9"/>
              <w:right w:val="single" w:sz="8" w:space="0" w:color="D9D9D9"/>
            </w:tcBorders>
            <w:shd w:val="clear" w:color="auto" w:fill="FFFFFF" w:themeFill="background1"/>
            <w:vAlign w:val="center"/>
          </w:tcPr>
          <w:p w14:paraId="417A5A1E" w14:textId="7748E5E2"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Refer to</w:t>
            </w:r>
            <w:r w:rsidR="00733855" w:rsidRPr="009D0A4A">
              <w:rPr>
                <w:rFonts w:asciiTheme="minorHAnsi" w:hAnsiTheme="minorHAnsi" w:cstheme="minorHAnsi"/>
                <w:sz w:val="18"/>
                <w:szCs w:val="18"/>
              </w:rPr>
              <w:t xml:space="preserve"> Table 27</w:t>
            </w:r>
          </w:p>
        </w:tc>
        <w:tc>
          <w:tcPr>
            <w:tcW w:w="1360" w:type="pct"/>
            <w:vMerge/>
            <w:tcBorders>
              <w:left w:val="single" w:sz="8" w:space="0" w:color="D9D9D9"/>
              <w:right w:val="single" w:sz="8" w:space="0" w:color="D9D9D9"/>
            </w:tcBorders>
            <w:shd w:val="clear" w:color="auto" w:fill="FFFFFF" w:themeFill="background1"/>
            <w:vAlign w:val="center"/>
          </w:tcPr>
          <w:p w14:paraId="0DE00C77"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p>
        </w:tc>
      </w:tr>
      <w:tr w:rsidR="00105526" w:rsidRPr="009D0A4A" w14:paraId="0289EB25" w14:textId="77777777" w:rsidTr="00722B43">
        <w:trPr>
          <w:trHeight w:val="2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3F0107C1"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right w:val="single" w:sz="8" w:space="0" w:color="D9D9D9"/>
            </w:tcBorders>
            <w:shd w:val="clear" w:color="auto" w:fill="FFFFFF" w:themeFill="background1"/>
            <w:vAlign w:val="center"/>
          </w:tcPr>
          <w:p w14:paraId="25934DF5" w14:textId="77777777" w:rsidR="00105526" w:rsidRPr="009D0A4A" w:rsidRDefault="00105526" w:rsidP="00FA6EE6">
            <w:pPr>
              <w:pStyle w:val="BodyText"/>
              <w:ind w:left="157"/>
              <w:rPr>
                <w:rFonts w:cstheme="minorHAnsi"/>
                <w:color w:val="auto"/>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1F22777D" w14:textId="77777777" w:rsidR="00105526" w:rsidRPr="009D0A4A" w:rsidRDefault="00105526" w:rsidP="00FA6EE6">
            <w:pPr>
              <w:pStyle w:val="BodyText"/>
              <w:rPr>
                <w:rFonts w:cstheme="minorHAnsi"/>
                <w:sz w:val="18"/>
                <w:szCs w:val="18"/>
              </w:rPr>
            </w:pPr>
            <w:r w:rsidRPr="009D0A4A">
              <w:rPr>
                <w:rFonts w:cstheme="minorHAnsi"/>
                <w:sz w:val="18"/>
                <w:szCs w:val="18"/>
              </w:rPr>
              <w:t>Number of businesses undertaking high risk silica work in the quarrying, mining, tunnelling and demolition industries (#)</w:t>
            </w:r>
          </w:p>
        </w:tc>
        <w:tc>
          <w:tcPr>
            <w:tcW w:w="1454" w:type="pct"/>
            <w:gridSpan w:val="3"/>
            <w:tcBorders>
              <w:left w:val="single" w:sz="8" w:space="0" w:color="D9D9D9"/>
              <w:right w:val="single" w:sz="8" w:space="0" w:color="D9D9D9"/>
            </w:tcBorders>
            <w:shd w:val="clear" w:color="auto" w:fill="FFFFFF" w:themeFill="background1"/>
            <w:vAlign w:val="center"/>
          </w:tcPr>
          <w:p w14:paraId="084EB4D4" w14:textId="29DAC7D0"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 xml:space="preserve">Refer to </w:t>
            </w:r>
            <w:r w:rsidR="00614CFC" w:rsidRPr="009D0A4A">
              <w:rPr>
                <w:rFonts w:asciiTheme="minorHAnsi" w:hAnsiTheme="minorHAnsi" w:cstheme="minorHAnsi"/>
                <w:sz w:val="18"/>
                <w:szCs w:val="18"/>
              </w:rPr>
              <w:t>Table 26</w:t>
            </w:r>
          </w:p>
        </w:tc>
        <w:tc>
          <w:tcPr>
            <w:tcW w:w="1360" w:type="pct"/>
            <w:vMerge/>
            <w:tcBorders>
              <w:left w:val="single" w:sz="8" w:space="0" w:color="D9D9D9"/>
              <w:right w:val="single" w:sz="8" w:space="0" w:color="D9D9D9"/>
            </w:tcBorders>
            <w:shd w:val="clear" w:color="auto" w:fill="FFFFFF" w:themeFill="background1"/>
            <w:vAlign w:val="center"/>
          </w:tcPr>
          <w:p w14:paraId="4E7BE841"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p>
        </w:tc>
      </w:tr>
      <w:tr w:rsidR="00105526" w:rsidRPr="009D0A4A" w14:paraId="3C4D944C" w14:textId="77777777" w:rsidTr="00722B43">
        <w:trPr>
          <w:trHeight w:val="20"/>
        </w:trPr>
        <w:tc>
          <w:tcPr>
            <w:tcW w:w="676" w:type="pct"/>
            <w:vMerge w:val="restart"/>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000EA2A4"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r w:rsidRPr="009D0A4A">
              <w:rPr>
                <w:rFonts w:asciiTheme="minorHAnsi" w:hAnsiTheme="minorHAnsi" w:cstheme="minorHAnsi"/>
                <w:i/>
                <w:iCs/>
                <w:sz w:val="18"/>
                <w:szCs w:val="18"/>
              </w:rPr>
              <w:t>Risk assessment: construction, manufacturing (year 1 – 10)</w:t>
            </w:r>
          </w:p>
        </w:tc>
        <w:tc>
          <w:tcPr>
            <w:tcW w:w="697" w:type="pct"/>
            <w:vMerge w:val="restart"/>
            <w:tcBorders>
              <w:left w:val="single" w:sz="8" w:space="0" w:color="D9D9D9"/>
              <w:right w:val="single" w:sz="8" w:space="0" w:color="D9D9D9"/>
            </w:tcBorders>
            <w:shd w:val="clear" w:color="auto" w:fill="FFFFFF" w:themeFill="background1"/>
          </w:tcPr>
          <w:p w14:paraId="4C8229E6" w14:textId="77777777" w:rsidR="00105526" w:rsidRPr="009D0A4A" w:rsidRDefault="00105526" w:rsidP="00FA6EE6">
            <w:pPr>
              <w:pStyle w:val="BodyText"/>
              <w:ind w:left="157"/>
              <w:rPr>
                <w:rFonts w:cstheme="minorHAnsi"/>
                <w:color w:val="auto"/>
                <w:sz w:val="18"/>
                <w:szCs w:val="18"/>
              </w:rPr>
            </w:pPr>
            <w:r w:rsidRPr="009D0A4A">
              <w:rPr>
                <w:rFonts w:cstheme="minorHAnsi"/>
                <w:color w:val="auto"/>
                <w:sz w:val="18"/>
                <w:szCs w:val="18"/>
              </w:rPr>
              <w:t>Additional labour costs for the preparation of a risk assessment report for submission to WHS regulators on an annual basis</w:t>
            </w:r>
          </w:p>
          <w:p w14:paraId="388E2F7F" w14:textId="77777777" w:rsidR="00105526" w:rsidRPr="009D0A4A" w:rsidRDefault="00105526" w:rsidP="00FA6EE6">
            <w:pPr>
              <w:pStyle w:val="BodyText"/>
              <w:ind w:left="157"/>
              <w:rPr>
                <w:rFonts w:cstheme="minorHAnsi"/>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1C0E6F7" w14:textId="77777777" w:rsidR="00105526" w:rsidRPr="009D0A4A" w:rsidRDefault="00105526" w:rsidP="00FA6EE6">
            <w:pPr>
              <w:pStyle w:val="BodyText"/>
              <w:rPr>
                <w:rFonts w:cstheme="minorHAnsi"/>
                <w:sz w:val="18"/>
                <w:szCs w:val="18"/>
              </w:rPr>
            </w:pPr>
            <w:r w:rsidRPr="009D0A4A">
              <w:rPr>
                <w:rFonts w:cstheme="minorHAnsi"/>
                <w:color w:val="auto"/>
                <w:sz w:val="18"/>
                <w:szCs w:val="18"/>
              </w:rPr>
              <w:t>Time taken to prepare risk assessment submission (hours)</w:t>
            </w:r>
          </w:p>
        </w:tc>
        <w:tc>
          <w:tcPr>
            <w:tcW w:w="338" w:type="pct"/>
            <w:tcBorders>
              <w:top w:val="single" w:sz="8" w:space="0" w:color="D9D9D9"/>
              <w:left w:val="single" w:sz="8" w:space="0" w:color="D9D9D9"/>
              <w:right w:val="single" w:sz="8" w:space="0" w:color="D9D9D9"/>
            </w:tcBorders>
            <w:shd w:val="clear" w:color="auto" w:fill="FFFFFF" w:themeFill="background1"/>
            <w:vAlign w:val="center"/>
          </w:tcPr>
          <w:p w14:paraId="206964AE" w14:textId="77777777" w:rsidR="00105526" w:rsidRPr="009D0A4A" w:rsidRDefault="00105526" w:rsidP="000F4FD8">
            <w:pPr>
              <w:pStyle w:val="EYBulletnoparaspace"/>
              <w:numPr>
                <w:ilvl w:val="0"/>
                <w:numId w:val="0"/>
              </w:numPr>
              <w:spacing w:line="264" w:lineRule="auto"/>
              <w:ind w:left="425" w:right="269" w:hanging="425"/>
              <w:rPr>
                <w:rFonts w:asciiTheme="minorHAnsi" w:hAnsiTheme="minorHAnsi" w:cstheme="minorHAnsi"/>
                <w:sz w:val="18"/>
                <w:szCs w:val="18"/>
              </w:rPr>
            </w:pPr>
            <w:r w:rsidRPr="009D0A4A">
              <w:rPr>
                <w:rFonts w:asciiTheme="minorHAnsi" w:hAnsiTheme="minorHAnsi" w:cstheme="minorHAnsi"/>
                <w:sz w:val="18"/>
                <w:szCs w:val="18"/>
              </w:rPr>
              <w:t>Small</w:t>
            </w:r>
          </w:p>
          <w:p w14:paraId="06481D9D" w14:textId="77777777" w:rsidR="00105526" w:rsidRPr="009D0A4A" w:rsidRDefault="00105526" w:rsidP="000F4FD8">
            <w:pPr>
              <w:pStyle w:val="EYBulletnoparaspace"/>
              <w:numPr>
                <w:ilvl w:val="0"/>
                <w:numId w:val="0"/>
              </w:numPr>
              <w:spacing w:line="264" w:lineRule="auto"/>
              <w:ind w:left="425" w:right="269" w:hanging="425"/>
              <w:rPr>
                <w:rFonts w:asciiTheme="minorHAnsi" w:hAnsiTheme="minorHAnsi" w:cstheme="minorHAnsi"/>
                <w:sz w:val="18"/>
                <w:szCs w:val="18"/>
              </w:rPr>
            </w:pPr>
            <w:r w:rsidRPr="009D0A4A">
              <w:rPr>
                <w:rFonts w:asciiTheme="minorHAnsi" w:hAnsiTheme="minorHAnsi" w:cstheme="minorHAnsi"/>
                <w:sz w:val="18"/>
                <w:szCs w:val="18"/>
              </w:rPr>
              <w:t>2</w:t>
            </w:r>
          </w:p>
        </w:tc>
        <w:tc>
          <w:tcPr>
            <w:tcW w:w="447" w:type="pct"/>
            <w:tcBorders>
              <w:top w:val="single" w:sz="8" w:space="0" w:color="D9D9D9"/>
              <w:left w:val="single" w:sz="8" w:space="0" w:color="D9D9D9"/>
              <w:right w:val="single" w:sz="8" w:space="0" w:color="D9D9D9"/>
            </w:tcBorders>
            <w:shd w:val="clear" w:color="auto" w:fill="FFFFFF" w:themeFill="background1"/>
            <w:vAlign w:val="center"/>
          </w:tcPr>
          <w:p w14:paraId="17A4BE92" w14:textId="77777777" w:rsidR="00105526" w:rsidRPr="009D0A4A" w:rsidRDefault="00105526" w:rsidP="000F4FD8">
            <w:pPr>
              <w:pStyle w:val="EYBulletnoparaspace"/>
              <w:numPr>
                <w:ilvl w:val="0"/>
                <w:numId w:val="0"/>
              </w:numPr>
              <w:spacing w:line="264" w:lineRule="auto"/>
              <w:ind w:left="425" w:right="269" w:hanging="425"/>
              <w:rPr>
                <w:rFonts w:asciiTheme="minorHAnsi" w:hAnsiTheme="minorHAnsi" w:cstheme="minorHAnsi"/>
                <w:sz w:val="18"/>
                <w:szCs w:val="18"/>
              </w:rPr>
            </w:pPr>
            <w:r w:rsidRPr="009D0A4A">
              <w:rPr>
                <w:rFonts w:asciiTheme="minorHAnsi" w:hAnsiTheme="minorHAnsi" w:cstheme="minorHAnsi"/>
                <w:sz w:val="18"/>
                <w:szCs w:val="18"/>
              </w:rPr>
              <w:t>Medium</w:t>
            </w:r>
          </w:p>
          <w:p w14:paraId="262F92CD" w14:textId="77777777" w:rsidR="00105526" w:rsidRPr="009D0A4A" w:rsidRDefault="00105526" w:rsidP="000F4FD8">
            <w:pPr>
              <w:pStyle w:val="EYBulletnoparaspace"/>
              <w:numPr>
                <w:ilvl w:val="0"/>
                <w:numId w:val="0"/>
              </w:numPr>
              <w:spacing w:line="264" w:lineRule="auto"/>
              <w:ind w:left="425" w:right="269" w:hanging="425"/>
              <w:rPr>
                <w:rFonts w:asciiTheme="minorHAnsi" w:hAnsiTheme="minorHAnsi" w:cstheme="minorHAnsi"/>
                <w:sz w:val="18"/>
                <w:szCs w:val="18"/>
              </w:rPr>
            </w:pPr>
            <w:r w:rsidRPr="009D0A4A">
              <w:rPr>
                <w:rFonts w:asciiTheme="minorHAnsi" w:hAnsiTheme="minorHAnsi" w:cstheme="minorHAnsi"/>
                <w:sz w:val="18"/>
                <w:szCs w:val="18"/>
              </w:rPr>
              <w:t>3</w:t>
            </w:r>
          </w:p>
        </w:tc>
        <w:tc>
          <w:tcPr>
            <w:tcW w:w="669" w:type="pct"/>
            <w:tcBorders>
              <w:top w:val="single" w:sz="8" w:space="0" w:color="D9D9D9"/>
              <w:left w:val="single" w:sz="8" w:space="0" w:color="D9D9D9"/>
              <w:right w:val="single" w:sz="8" w:space="0" w:color="D9D9D9"/>
            </w:tcBorders>
            <w:shd w:val="clear" w:color="auto" w:fill="FFFFFF" w:themeFill="background1"/>
            <w:vAlign w:val="center"/>
          </w:tcPr>
          <w:p w14:paraId="29E255CC" w14:textId="77777777" w:rsidR="00733855" w:rsidRPr="009D0A4A" w:rsidRDefault="00733855" w:rsidP="00733855">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Large</w:t>
            </w:r>
          </w:p>
          <w:p w14:paraId="746FB7C6" w14:textId="49F6BE16" w:rsidR="00105526" w:rsidRPr="009D0A4A" w:rsidRDefault="00733855" w:rsidP="00733855">
            <w:pPr>
              <w:pStyle w:val="EYBulletnoparaspace"/>
              <w:numPr>
                <w:ilvl w:val="0"/>
                <w:numId w:val="0"/>
              </w:numPr>
              <w:spacing w:line="264" w:lineRule="auto"/>
              <w:ind w:left="425" w:right="269" w:hanging="425"/>
              <w:rPr>
                <w:rFonts w:asciiTheme="minorHAnsi" w:hAnsiTheme="minorHAnsi" w:cstheme="minorHAnsi"/>
                <w:sz w:val="18"/>
                <w:szCs w:val="18"/>
              </w:rPr>
            </w:pPr>
            <w:r w:rsidRPr="009D0A4A">
              <w:rPr>
                <w:rFonts w:asciiTheme="minorHAnsi" w:hAnsiTheme="minorHAnsi" w:cstheme="minorHAnsi"/>
                <w:sz w:val="18"/>
                <w:szCs w:val="18"/>
              </w:rPr>
              <w:t>4</w:t>
            </w:r>
            <w:r w:rsidRPr="009D0A4A">
              <w:rPr>
                <w:rStyle w:val="FootnoteReference"/>
              </w:rPr>
              <w:t xml:space="preserve"> </w:t>
            </w:r>
            <w:r w:rsidRPr="009D0A4A">
              <w:t xml:space="preserve"> </w:t>
            </w:r>
            <w:r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{"citationID":"PQuGdcm1","properties":{"formattedCitation":"(Deloitte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Pr="009D0A4A">
              <w:rPr>
                <w:rFonts w:asciiTheme="minorHAnsi" w:hAnsiTheme="minorHAnsi" w:cstheme="minorHAnsi"/>
                <w:sz w:val="18"/>
                <w:szCs w:val="18"/>
              </w:rPr>
              <w:fldChar w:fldCharType="separate"/>
            </w:r>
            <w:r w:rsidR="006B4A7D" w:rsidRPr="009D0A4A">
              <w:rPr>
                <w:rFonts w:ascii="Calibri" w:hAnsi="Calibri" w:cs="Calibri"/>
                <w:sz w:val="18"/>
              </w:rPr>
              <w:t>(Deloitte 2021)</w:t>
            </w:r>
            <w:r w:rsidRPr="009D0A4A">
              <w:rPr>
                <w:rFonts w:asciiTheme="minorHAnsi" w:hAnsiTheme="minorHAnsi" w:cstheme="minorHAnsi"/>
                <w:sz w:val="18"/>
                <w:szCs w:val="18"/>
              </w:rPr>
              <w:fldChar w:fldCharType="end"/>
            </w:r>
          </w:p>
        </w:tc>
        <w:tc>
          <w:tcPr>
            <w:tcW w:w="1360" w:type="pct"/>
            <w:vMerge w:val="restart"/>
            <w:tcBorders>
              <w:left w:val="single" w:sz="8" w:space="0" w:color="D9D9D9"/>
              <w:right w:val="single" w:sz="8" w:space="0" w:color="D9D9D9"/>
            </w:tcBorders>
            <w:shd w:val="clear" w:color="auto" w:fill="FFFFFF" w:themeFill="background1"/>
            <w:vAlign w:val="center"/>
          </w:tcPr>
          <w:p w14:paraId="7CEA1B4A"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Cost of Risk assessment: construction, manufacturing (year– 1 - 10)</w:t>
            </w:r>
          </w:p>
          <w:p w14:paraId="3C25E988"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157CE5CB"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Time taken to prepare risk assessment submission</w:t>
            </w:r>
          </w:p>
          <w:p w14:paraId="738858FC"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u w:val="single"/>
              </w:rPr>
            </w:pPr>
            <w:r w:rsidRPr="009D0A4A">
              <w:rPr>
                <w:rFonts w:asciiTheme="minorHAnsi" w:hAnsiTheme="minorHAnsi" w:cstheme="minorHAnsi"/>
                <w:sz w:val="18"/>
                <w:szCs w:val="18"/>
              </w:rPr>
              <w:t>×</w:t>
            </w:r>
          </w:p>
          <w:p w14:paraId="50CABD3F"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 xml:space="preserve">Average wage/hour </w:t>
            </w:r>
          </w:p>
          <w:p w14:paraId="0CCB03EA"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x</w:t>
            </w:r>
          </w:p>
          <w:p w14:paraId="6361DC4E"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b/>
                <w:bCs/>
                <w:sz w:val="18"/>
                <w:szCs w:val="18"/>
              </w:rPr>
            </w:pPr>
            <w:r w:rsidRPr="009D0A4A">
              <w:rPr>
                <w:rFonts w:asciiTheme="minorHAnsi" w:hAnsiTheme="minorHAnsi" w:cstheme="minorHAnsi"/>
                <w:sz w:val="18"/>
                <w:szCs w:val="18"/>
              </w:rPr>
              <w:t>Number of businesses undertaking high risk silica work in the construction and manufacturing industries</w:t>
            </w:r>
          </w:p>
        </w:tc>
      </w:tr>
      <w:tr w:rsidR="00105526" w:rsidRPr="009D0A4A" w14:paraId="5DE0642D" w14:textId="77777777" w:rsidTr="00722B43">
        <w:trPr>
          <w:trHeight w:val="2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073EFA09"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right w:val="single" w:sz="8" w:space="0" w:color="D9D9D9"/>
            </w:tcBorders>
            <w:shd w:val="clear" w:color="auto" w:fill="FFFFFF" w:themeFill="background1"/>
          </w:tcPr>
          <w:p w14:paraId="160AD741" w14:textId="77777777" w:rsidR="00105526" w:rsidRPr="009D0A4A" w:rsidRDefault="00105526" w:rsidP="00FA6EE6">
            <w:pPr>
              <w:pStyle w:val="BodyText"/>
              <w:ind w:left="157"/>
              <w:rPr>
                <w:rFonts w:cstheme="minorHAnsi"/>
                <w:color w:val="auto"/>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38F0A3FE" w14:textId="77777777" w:rsidR="00105526" w:rsidRPr="009D0A4A" w:rsidRDefault="00105526" w:rsidP="00FA6EE6">
            <w:pPr>
              <w:pStyle w:val="BodyText"/>
              <w:spacing w:after="0"/>
              <w:rPr>
                <w:rFonts w:cstheme="minorHAnsi"/>
                <w:color w:val="auto"/>
                <w:sz w:val="18"/>
                <w:szCs w:val="18"/>
              </w:rPr>
            </w:pPr>
            <w:r w:rsidRPr="009D0A4A">
              <w:rPr>
                <w:rFonts w:cstheme="minorHAnsi"/>
                <w:color w:val="auto"/>
                <w:sz w:val="18"/>
                <w:szCs w:val="18"/>
              </w:rPr>
              <w:t xml:space="preserve">Average </w:t>
            </w:r>
          </w:p>
          <w:p w14:paraId="02D016C7" w14:textId="77777777" w:rsidR="00105526" w:rsidRPr="009D0A4A" w:rsidRDefault="00105526" w:rsidP="00FA6EE6">
            <w:pPr>
              <w:pStyle w:val="BodyText"/>
              <w:rPr>
                <w:rFonts w:cstheme="minorHAnsi"/>
                <w:sz w:val="18"/>
                <w:szCs w:val="18"/>
              </w:rPr>
            </w:pPr>
            <w:r w:rsidRPr="009D0A4A">
              <w:rPr>
                <w:rFonts w:cstheme="minorHAnsi"/>
                <w:color w:val="auto"/>
                <w:sz w:val="18"/>
                <w:szCs w:val="18"/>
              </w:rPr>
              <w:t>wage per hour - by industry ($)</w:t>
            </w:r>
          </w:p>
        </w:tc>
        <w:tc>
          <w:tcPr>
            <w:tcW w:w="1454" w:type="pct"/>
            <w:gridSpan w:val="3"/>
            <w:tcBorders>
              <w:left w:val="single" w:sz="8" w:space="0" w:color="D9D9D9"/>
              <w:right w:val="single" w:sz="8" w:space="0" w:color="D9D9D9"/>
            </w:tcBorders>
            <w:shd w:val="clear" w:color="auto" w:fill="FFFFFF" w:themeFill="background1"/>
            <w:vAlign w:val="center"/>
          </w:tcPr>
          <w:p w14:paraId="0406790F" w14:textId="41DA5A2D"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 xml:space="preserve">Refer to </w:t>
            </w:r>
            <w:r w:rsidR="00722B43" w:rsidRPr="009D0A4A">
              <w:rPr>
                <w:rFonts w:asciiTheme="minorHAnsi" w:hAnsiTheme="minorHAnsi" w:cstheme="minorHAnsi"/>
                <w:sz w:val="18"/>
                <w:szCs w:val="18"/>
              </w:rPr>
              <w:t>Table 27</w:t>
            </w:r>
          </w:p>
        </w:tc>
        <w:tc>
          <w:tcPr>
            <w:tcW w:w="1360" w:type="pct"/>
            <w:vMerge/>
            <w:tcBorders>
              <w:left w:val="single" w:sz="8" w:space="0" w:color="D9D9D9"/>
              <w:right w:val="single" w:sz="8" w:space="0" w:color="D9D9D9"/>
            </w:tcBorders>
            <w:shd w:val="clear" w:color="auto" w:fill="FFFFFF" w:themeFill="background1"/>
            <w:vAlign w:val="center"/>
          </w:tcPr>
          <w:p w14:paraId="075EE0BD"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p>
        </w:tc>
      </w:tr>
      <w:tr w:rsidR="00105526" w:rsidRPr="009D0A4A" w14:paraId="2F3E708D" w14:textId="77777777" w:rsidTr="00722B43">
        <w:trPr>
          <w:trHeight w:val="2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047005C5"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right w:val="single" w:sz="8" w:space="0" w:color="D9D9D9"/>
            </w:tcBorders>
            <w:shd w:val="clear" w:color="auto" w:fill="FFFFFF" w:themeFill="background1"/>
          </w:tcPr>
          <w:p w14:paraId="589A06F8" w14:textId="77777777" w:rsidR="00105526" w:rsidRPr="009D0A4A" w:rsidRDefault="00105526" w:rsidP="00FA6EE6">
            <w:pPr>
              <w:pStyle w:val="BodyText"/>
              <w:ind w:left="157"/>
              <w:rPr>
                <w:rFonts w:cstheme="minorHAnsi"/>
                <w:color w:val="auto"/>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280A3EF9" w14:textId="77777777" w:rsidR="00105526" w:rsidRPr="009D0A4A" w:rsidRDefault="00105526" w:rsidP="00FA6EE6">
            <w:pPr>
              <w:pStyle w:val="BodyText"/>
              <w:rPr>
                <w:rFonts w:cstheme="minorHAnsi"/>
                <w:sz w:val="18"/>
                <w:szCs w:val="18"/>
              </w:rPr>
            </w:pPr>
            <w:r w:rsidRPr="009D0A4A">
              <w:rPr>
                <w:rFonts w:cstheme="minorHAnsi"/>
                <w:sz w:val="18"/>
                <w:szCs w:val="18"/>
              </w:rPr>
              <w:t>Number of businesses undertaking high risk silica work in the manufacturing and construction industries (#)</w:t>
            </w:r>
          </w:p>
        </w:tc>
        <w:tc>
          <w:tcPr>
            <w:tcW w:w="1454" w:type="pct"/>
            <w:gridSpan w:val="3"/>
            <w:tcBorders>
              <w:left w:val="single" w:sz="8" w:space="0" w:color="D9D9D9"/>
              <w:bottom w:val="single" w:sz="8" w:space="0" w:color="D9D9D9"/>
              <w:right w:val="single" w:sz="8" w:space="0" w:color="D9D9D9"/>
            </w:tcBorders>
            <w:shd w:val="clear" w:color="auto" w:fill="FFFFFF" w:themeFill="background1"/>
            <w:vAlign w:val="center"/>
          </w:tcPr>
          <w:p w14:paraId="2C1E98FF" w14:textId="3BD833ED"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 xml:space="preserve">Refer to </w:t>
            </w:r>
            <w:r w:rsidR="00722B43" w:rsidRPr="009D0A4A">
              <w:rPr>
                <w:rFonts w:asciiTheme="minorHAnsi" w:hAnsiTheme="minorHAnsi" w:cstheme="minorHAnsi"/>
                <w:sz w:val="18"/>
                <w:szCs w:val="18"/>
              </w:rPr>
              <w:t>Table 26</w:t>
            </w:r>
          </w:p>
        </w:tc>
        <w:tc>
          <w:tcPr>
            <w:tcW w:w="1360" w:type="pct"/>
            <w:vMerge/>
            <w:tcBorders>
              <w:left w:val="single" w:sz="8" w:space="0" w:color="D9D9D9"/>
              <w:right w:val="single" w:sz="8" w:space="0" w:color="D9D9D9"/>
            </w:tcBorders>
            <w:shd w:val="clear" w:color="auto" w:fill="FFFFFF" w:themeFill="background1"/>
            <w:vAlign w:val="center"/>
          </w:tcPr>
          <w:p w14:paraId="2CE02D81"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p>
        </w:tc>
      </w:tr>
      <w:tr w:rsidR="00105526" w:rsidRPr="009D0A4A" w14:paraId="29932FC9" w14:textId="77777777" w:rsidTr="00722B43">
        <w:trPr>
          <w:trHeight w:val="20"/>
        </w:trPr>
        <w:tc>
          <w:tcPr>
            <w:tcW w:w="676" w:type="pct"/>
            <w:vMerge w:val="restart"/>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09709E07"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r w:rsidRPr="009D0A4A">
              <w:rPr>
                <w:rFonts w:asciiTheme="minorHAnsi" w:hAnsiTheme="minorHAnsi" w:cstheme="minorHAnsi"/>
                <w:i/>
                <w:iCs/>
                <w:sz w:val="18"/>
                <w:szCs w:val="18"/>
              </w:rPr>
              <w:t>Silica risk control plan</w:t>
            </w:r>
          </w:p>
        </w:tc>
        <w:tc>
          <w:tcPr>
            <w:tcW w:w="697" w:type="pct"/>
            <w:vMerge w:val="restart"/>
            <w:tcBorders>
              <w:left w:val="single" w:sz="8" w:space="0" w:color="D9D9D9"/>
              <w:right w:val="single" w:sz="8" w:space="0" w:color="D9D9D9"/>
            </w:tcBorders>
            <w:shd w:val="clear" w:color="auto" w:fill="FFFFFF" w:themeFill="background1"/>
          </w:tcPr>
          <w:p w14:paraId="406B2CFD" w14:textId="77777777" w:rsidR="00105526" w:rsidRPr="009D0A4A" w:rsidRDefault="00105526" w:rsidP="00FA6EE6">
            <w:pPr>
              <w:pStyle w:val="BodyText"/>
              <w:ind w:left="157"/>
              <w:rPr>
                <w:rFonts w:cstheme="minorHAnsi"/>
                <w:sz w:val="18"/>
                <w:szCs w:val="18"/>
              </w:rPr>
            </w:pPr>
            <w:r w:rsidRPr="009D0A4A">
              <w:rPr>
                <w:rFonts w:cstheme="minorHAnsi"/>
                <w:color w:val="auto"/>
                <w:sz w:val="18"/>
                <w:szCs w:val="18"/>
              </w:rPr>
              <w:t>Additional labour costs for the preparation of a silica risk control plan</w:t>
            </w: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6AA9B375" w14:textId="7BE4BD4C" w:rsidR="00105526" w:rsidRPr="009D0A4A" w:rsidRDefault="00105526" w:rsidP="00FA6EE6">
            <w:pPr>
              <w:pStyle w:val="BodyText"/>
              <w:rPr>
                <w:rFonts w:cstheme="minorHAnsi"/>
                <w:sz w:val="18"/>
                <w:szCs w:val="18"/>
              </w:rPr>
            </w:pPr>
            <w:r w:rsidRPr="009D0A4A">
              <w:rPr>
                <w:rFonts w:cstheme="minorHAnsi"/>
                <w:color w:val="auto"/>
                <w:sz w:val="18"/>
                <w:szCs w:val="18"/>
              </w:rPr>
              <w:t>Number of hours</w:t>
            </w:r>
            <w:r w:rsidR="00455BE6" w:rsidRPr="009D0A4A">
              <w:rPr>
                <w:rFonts w:cstheme="minorHAnsi"/>
                <w:color w:val="auto"/>
                <w:sz w:val="18"/>
                <w:szCs w:val="18"/>
              </w:rPr>
              <w:t xml:space="preserve"> per year</w:t>
            </w:r>
            <w:r w:rsidRPr="009D0A4A">
              <w:rPr>
                <w:rFonts w:cstheme="minorHAnsi"/>
                <w:color w:val="auto"/>
                <w:sz w:val="18"/>
                <w:szCs w:val="18"/>
              </w:rPr>
              <w:t xml:space="preserve"> to prepare silica risk control plan for submission (hours</w:t>
            </w:r>
            <w:r w:rsidR="00455BE6" w:rsidRPr="009D0A4A">
              <w:rPr>
                <w:rFonts w:cstheme="minorHAnsi"/>
                <w:color w:val="auto"/>
                <w:sz w:val="18"/>
                <w:szCs w:val="18"/>
              </w:rPr>
              <w:t>/year</w:t>
            </w:r>
            <w:r w:rsidRPr="009D0A4A">
              <w:rPr>
                <w:rFonts w:cstheme="minorHAnsi"/>
                <w:color w:val="auto"/>
                <w:sz w:val="18"/>
                <w:szCs w:val="18"/>
              </w:rPr>
              <w:t>)</w:t>
            </w:r>
          </w:p>
        </w:tc>
        <w:tc>
          <w:tcPr>
            <w:tcW w:w="338" w:type="pct"/>
            <w:tcBorders>
              <w:top w:val="single" w:sz="8" w:space="0" w:color="D9D9D9"/>
              <w:left w:val="single" w:sz="8" w:space="0" w:color="D9D9D9"/>
              <w:right w:val="single" w:sz="8" w:space="0" w:color="D9D9D9"/>
            </w:tcBorders>
            <w:shd w:val="clear" w:color="auto" w:fill="FFFFFF" w:themeFill="background1"/>
            <w:vAlign w:val="center"/>
          </w:tcPr>
          <w:p w14:paraId="0B568FA3"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Small</w:t>
            </w:r>
          </w:p>
          <w:p w14:paraId="12D1048F"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2</w:t>
            </w:r>
          </w:p>
        </w:tc>
        <w:tc>
          <w:tcPr>
            <w:tcW w:w="447" w:type="pct"/>
            <w:tcBorders>
              <w:top w:val="single" w:sz="8" w:space="0" w:color="D9D9D9"/>
              <w:left w:val="single" w:sz="8" w:space="0" w:color="D9D9D9"/>
              <w:right w:val="single" w:sz="8" w:space="0" w:color="D9D9D9"/>
            </w:tcBorders>
            <w:shd w:val="clear" w:color="auto" w:fill="FFFFFF" w:themeFill="background1"/>
            <w:vAlign w:val="center"/>
          </w:tcPr>
          <w:p w14:paraId="77A89918"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Medium</w:t>
            </w:r>
          </w:p>
          <w:p w14:paraId="1A0621EF"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3</w:t>
            </w:r>
          </w:p>
        </w:tc>
        <w:tc>
          <w:tcPr>
            <w:tcW w:w="669" w:type="pct"/>
            <w:tcBorders>
              <w:top w:val="single" w:sz="8" w:space="0" w:color="D9D9D9"/>
              <w:left w:val="single" w:sz="8" w:space="0" w:color="D9D9D9"/>
              <w:right w:val="single" w:sz="8" w:space="0" w:color="D9D9D9"/>
            </w:tcBorders>
            <w:shd w:val="clear" w:color="auto" w:fill="FFFFFF" w:themeFill="background1"/>
            <w:vAlign w:val="center"/>
          </w:tcPr>
          <w:p w14:paraId="55325260" w14:textId="77777777" w:rsidR="00733855" w:rsidRPr="009D0A4A" w:rsidRDefault="00733855" w:rsidP="00733855">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Large</w:t>
            </w:r>
          </w:p>
          <w:p w14:paraId="47AA8889" w14:textId="08D6E92A" w:rsidR="00105526" w:rsidRPr="009D0A4A" w:rsidRDefault="00733855" w:rsidP="00733855">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4</w:t>
            </w:r>
            <w:r w:rsidRPr="009D0A4A">
              <w:rPr>
                <w:rStyle w:val="FootnoteReference"/>
              </w:rPr>
              <w:t xml:space="preserve"> </w:t>
            </w:r>
            <w:r w:rsidRPr="009D0A4A">
              <w:t xml:space="preserve"> </w:t>
            </w:r>
            <w:r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{"citationID":"H7eCm7J8","properties":{"formattedCitation":"(Deloitte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Pr="009D0A4A">
              <w:rPr>
                <w:rFonts w:asciiTheme="minorHAnsi" w:hAnsiTheme="minorHAnsi" w:cstheme="minorHAnsi"/>
                <w:sz w:val="18"/>
                <w:szCs w:val="18"/>
              </w:rPr>
              <w:fldChar w:fldCharType="separate"/>
            </w:r>
            <w:r w:rsidR="006B4A7D" w:rsidRPr="009D0A4A">
              <w:rPr>
                <w:rFonts w:ascii="Calibri" w:hAnsi="Calibri" w:cs="Calibri"/>
                <w:sz w:val="18"/>
              </w:rPr>
              <w:t>(Deloitte 2021)</w:t>
            </w:r>
            <w:r w:rsidRPr="009D0A4A">
              <w:rPr>
                <w:rFonts w:asciiTheme="minorHAnsi" w:hAnsiTheme="minorHAnsi" w:cstheme="minorHAnsi"/>
                <w:sz w:val="18"/>
                <w:szCs w:val="18"/>
              </w:rPr>
              <w:fldChar w:fldCharType="end"/>
            </w:r>
          </w:p>
        </w:tc>
        <w:tc>
          <w:tcPr>
            <w:tcW w:w="1360" w:type="pct"/>
            <w:vMerge w:val="restart"/>
            <w:tcBorders>
              <w:left w:val="single" w:sz="8" w:space="0" w:color="D9D9D9"/>
              <w:right w:val="single" w:sz="8" w:space="0" w:color="D9D9D9"/>
            </w:tcBorders>
            <w:shd w:val="clear" w:color="auto" w:fill="FFFFFF" w:themeFill="background1"/>
            <w:vAlign w:val="center"/>
          </w:tcPr>
          <w:p w14:paraId="7444CACE"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Cost of silica risk control plan</w:t>
            </w:r>
          </w:p>
          <w:p w14:paraId="0E253547"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4479A2C2"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Number of hours to prepare silica risk control plan for submission</w:t>
            </w:r>
          </w:p>
          <w:p w14:paraId="0965CEA3"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21B4F4BF"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 xml:space="preserve">Average wage/hour </w:t>
            </w:r>
          </w:p>
          <w:p w14:paraId="361DF956"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36F329B1"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b/>
                <w:bCs/>
                <w:sz w:val="18"/>
                <w:szCs w:val="18"/>
              </w:rPr>
            </w:pPr>
            <w:r w:rsidRPr="009D0A4A">
              <w:rPr>
                <w:rFonts w:asciiTheme="minorHAnsi" w:hAnsiTheme="minorHAnsi" w:cstheme="minorHAnsi"/>
                <w:sz w:val="18"/>
                <w:szCs w:val="18"/>
              </w:rPr>
              <w:t>Number of businesses undertaking high risk silica work in Australia</w:t>
            </w:r>
          </w:p>
        </w:tc>
      </w:tr>
      <w:tr w:rsidR="00722B43" w:rsidRPr="009D0A4A" w14:paraId="78FC1CBD" w14:textId="77777777" w:rsidTr="00722B43">
        <w:trPr>
          <w:trHeight w:val="2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0E9D0C9C" w14:textId="77777777" w:rsidR="00722B43" w:rsidRPr="009D0A4A" w:rsidRDefault="00722B43" w:rsidP="00722B43">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right w:val="single" w:sz="8" w:space="0" w:color="D9D9D9"/>
            </w:tcBorders>
            <w:shd w:val="clear" w:color="auto" w:fill="FFFFFF" w:themeFill="background1"/>
            <w:vAlign w:val="center"/>
          </w:tcPr>
          <w:p w14:paraId="39F9874D" w14:textId="77777777" w:rsidR="00722B43" w:rsidRPr="009D0A4A" w:rsidRDefault="00722B43" w:rsidP="00722B43">
            <w:pPr>
              <w:pStyle w:val="BodyText"/>
              <w:ind w:left="157"/>
              <w:rPr>
                <w:rFonts w:cstheme="minorHAnsi"/>
                <w:color w:val="auto"/>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34C86B84" w14:textId="77777777" w:rsidR="00722B43" w:rsidRPr="009D0A4A" w:rsidRDefault="00722B43" w:rsidP="00722B43">
            <w:pPr>
              <w:pStyle w:val="BodyText"/>
              <w:spacing w:after="0"/>
              <w:rPr>
                <w:rFonts w:cstheme="minorHAnsi"/>
                <w:sz w:val="18"/>
                <w:szCs w:val="18"/>
              </w:rPr>
            </w:pPr>
            <w:r w:rsidRPr="009D0A4A">
              <w:rPr>
                <w:rFonts w:cstheme="minorHAnsi"/>
                <w:color w:val="auto"/>
                <w:sz w:val="18"/>
                <w:szCs w:val="18"/>
              </w:rPr>
              <w:t>Average wage per hour by industry (excluding construction industry) ($)</w:t>
            </w:r>
          </w:p>
        </w:tc>
        <w:tc>
          <w:tcPr>
            <w:tcW w:w="1454" w:type="pct"/>
            <w:gridSpan w:val="3"/>
            <w:tcBorders>
              <w:left w:val="single" w:sz="8" w:space="0" w:color="D9D9D9"/>
              <w:right w:val="single" w:sz="8" w:space="0" w:color="D9D9D9"/>
            </w:tcBorders>
            <w:shd w:val="clear" w:color="auto" w:fill="FFFFFF" w:themeFill="background1"/>
            <w:vAlign w:val="center"/>
          </w:tcPr>
          <w:p w14:paraId="07D178EE" w14:textId="1D3E3268" w:rsidR="00722B43" w:rsidRPr="009D0A4A" w:rsidRDefault="00722B43" w:rsidP="00722B43">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Refer to Table 27</w:t>
            </w:r>
          </w:p>
        </w:tc>
        <w:tc>
          <w:tcPr>
            <w:tcW w:w="1360" w:type="pct"/>
            <w:vMerge/>
            <w:tcBorders>
              <w:left w:val="single" w:sz="8" w:space="0" w:color="D9D9D9"/>
              <w:right w:val="single" w:sz="8" w:space="0" w:color="D9D9D9"/>
            </w:tcBorders>
            <w:shd w:val="clear" w:color="auto" w:fill="FFFFFF" w:themeFill="background1"/>
            <w:vAlign w:val="center"/>
          </w:tcPr>
          <w:p w14:paraId="0A18EB00" w14:textId="77777777" w:rsidR="00722B43" w:rsidRPr="009D0A4A" w:rsidRDefault="00722B43" w:rsidP="00722B43">
            <w:pPr>
              <w:pStyle w:val="EYBulletnoparaspace"/>
              <w:numPr>
                <w:ilvl w:val="0"/>
                <w:numId w:val="0"/>
              </w:numPr>
              <w:spacing w:line="264" w:lineRule="auto"/>
              <w:ind w:left="425" w:right="269" w:hanging="425"/>
              <w:jc w:val="center"/>
              <w:rPr>
                <w:rFonts w:asciiTheme="minorHAnsi" w:hAnsiTheme="minorHAnsi" w:cstheme="minorHAnsi"/>
                <w:b/>
                <w:bCs/>
                <w:sz w:val="18"/>
                <w:szCs w:val="18"/>
              </w:rPr>
            </w:pPr>
          </w:p>
        </w:tc>
      </w:tr>
      <w:tr w:rsidR="00722B43" w:rsidRPr="009D0A4A" w14:paraId="04DDF2E5" w14:textId="77777777" w:rsidTr="00722B43">
        <w:trPr>
          <w:trHeight w:val="2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7AE77245" w14:textId="77777777" w:rsidR="00722B43" w:rsidRPr="009D0A4A" w:rsidRDefault="00722B43" w:rsidP="00722B43">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right w:val="single" w:sz="8" w:space="0" w:color="D9D9D9"/>
            </w:tcBorders>
            <w:shd w:val="clear" w:color="auto" w:fill="FFFFFF" w:themeFill="background1"/>
            <w:vAlign w:val="center"/>
          </w:tcPr>
          <w:p w14:paraId="1C17CBC3" w14:textId="77777777" w:rsidR="00722B43" w:rsidRPr="009D0A4A" w:rsidRDefault="00722B43" w:rsidP="00722B43">
            <w:pPr>
              <w:pStyle w:val="BodyText"/>
              <w:ind w:left="157"/>
              <w:rPr>
                <w:rFonts w:cstheme="minorHAnsi"/>
                <w:color w:val="auto"/>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57F0B3B5" w14:textId="77777777" w:rsidR="00722B43" w:rsidRPr="009D0A4A" w:rsidRDefault="00722B43" w:rsidP="00722B43">
            <w:pPr>
              <w:pStyle w:val="BodyText"/>
              <w:rPr>
                <w:rFonts w:cstheme="minorHAnsi"/>
                <w:sz w:val="18"/>
                <w:szCs w:val="18"/>
              </w:rPr>
            </w:pPr>
            <w:r w:rsidRPr="009D0A4A">
              <w:rPr>
                <w:rFonts w:cstheme="minorHAnsi"/>
                <w:sz w:val="18"/>
                <w:szCs w:val="18"/>
              </w:rPr>
              <w:t>Number of businesses undertaking high risk silica work Australia</w:t>
            </w:r>
            <w:r w:rsidRPr="009D0A4A">
              <w:rPr>
                <w:rFonts w:cstheme="minorHAnsi"/>
                <w:i/>
                <w:iCs/>
                <w:color w:val="auto"/>
                <w:sz w:val="18"/>
                <w:szCs w:val="18"/>
              </w:rPr>
              <w:t xml:space="preserve"> (excluding </w:t>
            </w:r>
            <w:r w:rsidRPr="009D0A4A">
              <w:rPr>
                <w:rFonts w:cstheme="minorHAnsi"/>
                <w:i/>
                <w:iCs/>
                <w:color w:val="auto"/>
                <w:sz w:val="18"/>
                <w:szCs w:val="18"/>
              </w:rPr>
              <w:lastRenderedPageBreak/>
              <w:t>construction industry) (#)</w:t>
            </w:r>
          </w:p>
        </w:tc>
        <w:tc>
          <w:tcPr>
            <w:tcW w:w="1454" w:type="pct"/>
            <w:gridSpan w:val="3"/>
            <w:tcBorders>
              <w:left w:val="single" w:sz="8" w:space="0" w:color="D9D9D9"/>
              <w:bottom w:val="single" w:sz="8" w:space="0" w:color="D9D9D9"/>
              <w:right w:val="single" w:sz="8" w:space="0" w:color="D9D9D9"/>
            </w:tcBorders>
            <w:shd w:val="clear" w:color="auto" w:fill="FFFFFF" w:themeFill="background1"/>
            <w:vAlign w:val="center"/>
          </w:tcPr>
          <w:p w14:paraId="482B059D" w14:textId="583FC223" w:rsidR="00722B43" w:rsidRPr="009D0A4A" w:rsidRDefault="00722B43" w:rsidP="00722B43">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lastRenderedPageBreak/>
              <w:t>Refer to Table 26</w:t>
            </w:r>
          </w:p>
        </w:tc>
        <w:tc>
          <w:tcPr>
            <w:tcW w:w="1360" w:type="pct"/>
            <w:vMerge/>
            <w:tcBorders>
              <w:left w:val="single" w:sz="8" w:space="0" w:color="D9D9D9"/>
              <w:right w:val="single" w:sz="8" w:space="0" w:color="D9D9D9"/>
            </w:tcBorders>
            <w:shd w:val="clear" w:color="auto" w:fill="FFFFFF" w:themeFill="background1"/>
            <w:vAlign w:val="center"/>
          </w:tcPr>
          <w:p w14:paraId="3583303A" w14:textId="77777777" w:rsidR="00722B43" w:rsidRPr="009D0A4A" w:rsidRDefault="00722B43" w:rsidP="00722B43">
            <w:pPr>
              <w:pStyle w:val="EYBulletnoparaspace"/>
              <w:numPr>
                <w:ilvl w:val="0"/>
                <w:numId w:val="0"/>
              </w:numPr>
              <w:spacing w:line="264" w:lineRule="auto"/>
              <w:ind w:left="425" w:right="269" w:hanging="425"/>
              <w:jc w:val="center"/>
              <w:rPr>
                <w:rFonts w:asciiTheme="minorHAnsi" w:hAnsiTheme="minorHAnsi" w:cstheme="minorHAnsi"/>
                <w:b/>
                <w:bCs/>
                <w:sz w:val="18"/>
                <w:szCs w:val="18"/>
              </w:rPr>
            </w:pPr>
          </w:p>
        </w:tc>
      </w:tr>
      <w:tr w:rsidR="00105526" w:rsidRPr="009D0A4A" w14:paraId="2A131B49" w14:textId="77777777" w:rsidTr="00722B43">
        <w:trPr>
          <w:trHeight w:val="20"/>
        </w:trPr>
        <w:tc>
          <w:tcPr>
            <w:tcW w:w="676" w:type="pct"/>
            <w:vMerge w:val="restart"/>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51BBFC27"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r w:rsidRPr="009D0A4A">
              <w:rPr>
                <w:rFonts w:asciiTheme="minorHAnsi" w:hAnsiTheme="minorHAnsi" w:cstheme="minorHAnsi"/>
                <w:i/>
                <w:iCs/>
                <w:sz w:val="18"/>
                <w:szCs w:val="18"/>
              </w:rPr>
              <w:t xml:space="preserve">Health monitoring – provision of report to regulators </w:t>
            </w:r>
          </w:p>
        </w:tc>
        <w:tc>
          <w:tcPr>
            <w:tcW w:w="697" w:type="pct"/>
            <w:vMerge w:val="restart"/>
            <w:tcBorders>
              <w:left w:val="single" w:sz="8" w:space="0" w:color="D9D9D9"/>
              <w:right w:val="single" w:sz="8" w:space="0" w:color="D9D9D9"/>
            </w:tcBorders>
            <w:shd w:val="clear" w:color="auto" w:fill="FFFFFF" w:themeFill="background1"/>
          </w:tcPr>
          <w:p w14:paraId="33C55084" w14:textId="77777777" w:rsidR="00105526" w:rsidRPr="009D0A4A" w:rsidRDefault="00105526" w:rsidP="00FA6EE6">
            <w:pPr>
              <w:pStyle w:val="BodyText"/>
              <w:ind w:left="157"/>
              <w:rPr>
                <w:rFonts w:cstheme="minorHAnsi"/>
                <w:color w:val="auto"/>
                <w:sz w:val="18"/>
                <w:szCs w:val="18"/>
              </w:rPr>
            </w:pPr>
            <w:r w:rsidRPr="009D0A4A">
              <w:rPr>
                <w:rFonts w:cstheme="minorHAnsi"/>
                <w:color w:val="auto"/>
                <w:sz w:val="18"/>
                <w:szCs w:val="18"/>
              </w:rPr>
              <w:t>Additional labour costs for the preparation of health monitoring reports for submission to WHS regulators in each jurisdiction.</w:t>
            </w:r>
          </w:p>
          <w:p w14:paraId="33AEA475" w14:textId="77777777" w:rsidR="00105526" w:rsidRPr="009D0A4A" w:rsidRDefault="00105526" w:rsidP="00FA6EE6">
            <w:pPr>
              <w:pStyle w:val="BodyText"/>
              <w:ind w:left="157"/>
              <w:rPr>
                <w:rFonts w:cstheme="minorHAnsi"/>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4DE7E170" w14:textId="1D7BF315" w:rsidR="00105526" w:rsidRPr="009D0A4A" w:rsidRDefault="00105526" w:rsidP="00FA6EE6">
            <w:pPr>
              <w:pStyle w:val="BodyText"/>
              <w:rPr>
                <w:rFonts w:cstheme="minorHAnsi"/>
                <w:sz w:val="18"/>
                <w:szCs w:val="18"/>
              </w:rPr>
            </w:pPr>
            <w:r w:rsidRPr="009D0A4A">
              <w:rPr>
                <w:rFonts w:cstheme="minorHAnsi"/>
                <w:color w:val="auto"/>
                <w:sz w:val="18"/>
                <w:szCs w:val="18"/>
              </w:rPr>
              <w:t xml:space="preserve">Number of hours </w:t>
            </w:r>
            <w:r w:rsidR="00904BE5" w:rsidRPr="009D0A4A">
              <w:rPr>
                <w:rFonts w:cstheme="minorHAnsi"/>
                <w:color w:val="auto"/>
                <w:sz w:val="18"/>
                <w:szCs w:val="18"/>
              </w:rPr>
              <w:t xml:space="preserve">per year </w:t>
            </w:r>
            <w:r w:rsidRPr="009D0A4A">
              <w:rPr>
                <w:rFonts w:cstheme="minorHAnsi"/>
                <w:color w:val="auto"/>
                <w:sz w:val="18"/>
                <w:szCs w:val="18"/>
              </w:rPr>
              <w:t>to prepare health monitoring report submission (hours</w:t>
            </w:r>
            <w:r w:rsidR="00904BE5" w:rsidRPr="009D0A4A">
              <w:rPr>
                <w:rFonts w:cstheme="minorHAnsi"/>
                <w:color w:val="auto"/>
                <w:sz w:val="18"/>
                <w:szCs w:val="18"/>
              </w:rPr>
              <w:t>/year</w:t>
            </w:r>
            <w:r w:rsidRPr="009D0A4A">
              <w:rPr>
                <w:rFonts w:cstheme="minorHAnsi"/>
                <w:color w:val="auto"/>
                <w:sz w:val="18"/>
                <w:szCs w:val="18"/>
              </w:rPr>
              <w:t>)</w:t>
            </w:r>
          </w:p>
        </w:tc>
        <w:tc>
          <w:tcPr>
            <w:tcW w:w="338" w:type="pct"/>
            <w:tcBorders>
              <w:top w:val="single" w:sz="8" w:space="0" w:color="D9D9D9"/>
              <w:left w:val="single" w:sz="8" w:space="0" w:color="D9D9D9"/>
              <w:right w:val="single" w:sz="8" w:space="0" w:color="D9D9D9"/>
            </w:tcBorders>
            <w:shd w:val="clear" w:color="auto" w:fill="FFFFFF" w:themeFill="background1"/>
            <w:vAlign w:val="center"/>
          </w:tcPr>
          <w:p w14:paraId="53C063B9"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Small</w:t>
            </w:r>
          </w:p>
          <w:p w14:paraId="16BE887A"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2</w:t>
            </w:r>
          </w:p>
        </w:tc>
        <w:tc>
          <w:tcPr>
            <w:tcW w:w="447" w:type="pct"/>
            <w:tcBorders>
              <w:top w:val="single" w:sz="8" w:space="0" w:color="D9D9D9"/>
              <w:left w:val="single" w:sz="8" w:space="0" w:color="D9D9D9"/>
              <w:right w:val="single" w:sz="8" w:space="0" w:color="D9D9D9"/>
            </w:tcBorders>
            <w:shd w:val="clear" w:color="auto" w:fill="FFFFFF" w:themeFill="background1"/>
            <w:vAlign w:val="center"/>
          </w:tcPr>
          <w:p w14:paraId="268662C0"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Medium</w:t>
            </w:r>
          </w:p>
          <w:p w14:paraId="0C871C98"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3</w:t>
            </w:r>
          </w:p>
        </w:tc>
        <w:tc>
          <w:tcPr>
            <w:tcW w:w="669" w:type="pct"/>
            <w:tcBorders>
              <w:top w:val="single" w:sz="8" w:space="0" w:color="D9D9D9"/>
              <w:left w:val="single" w:sz="8" w:space="0" w:color="D9D9D9"/>
              <w:right w:val="single" w:sz="8" w:space="0" w:color="D9D9D9"/>
            </w:tcBorders>
            <w:shd w:val="clear" w:color="auto" w:fill="FFFFFF" w:themeFill="background1"/>
            <w:vAlign w:val="center"/>
          </w:tcPr>
          <w:p w14:paraId="2AE65D27" w14:textId="77777777" w:rsidR="00733855" w:rsidRPr="009D0A4A" w:rsidRDefault="00733855" w:rsidP="00733855">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Large</w:t>
            </w:r>
          </w:p>
          <w:p w14:paraId="37BC2BBF" w14:textId="11461ACB" w:rsidR="00105526" w:rsidRPr="009D0A4A" w:rsidRDefault="00733855" w:rsidP="00733855">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4</w:t>
            </w:r>
            <w:r w:rsidRPr="009D0A4A">
              <w:rPr>
                <w:rStyle w:val="FootnoteReference"/>
              </w:rPr>
              <w:t xml:space="preserve"> </w:t>
            </w:r>
            <w:r w:rsidRPr="009D0A4A">
              <w:t xml:space="preserve"> </w:t>
            </w:r>
            <w:r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{"citationID":"C6BINJsG","properties":{"formattedCitation":"(Deloitte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Pr="009D0A4A">
              <w:rPr>
                <w:rFonts w:asciiTheme="minorHAnsi" w:hAnsiTheme="minorHAnsi" w:cstheme="minorHAnsi"/>
                <w:sz w:val="18"/>
                <w:szCs w:val="18"/>
              </w:rPr>
              <w:fldChar w:fldCharType="separate"/>
            </w:r>
            <w:r w:rsidR="006B4A7D" w:rsidRPr="009D0A4A">
              <w:rPr>
                <w:rFonts w:ascii="Calibri" w:hAnsi="Calibri" w:cs="Calibri"/>
                <w:sz w:val="18"/>
              </w:rPr>
              <w:t>(Deloitte 2021)</w:t>
            </w:r>
            <w:r w:rsidRPr="009D0A4A">
              <w:rPr>
                <w:rFonts w:asciiTheme="minorHAnsi" w:hAnsiTheme="minorHAnsi" w:cstheme="minorHAnsi"/>
                <w:sz w:val="18"/>
                <w:szCs w:val="18"/>
              </w:rPr>
              <w:fldChar w:fldCharType="end"/>
            </w:r>
          </w:p>
        </w:tc>
        <w:tc>
          <w:tcPr>
            <w:tcW w:w="1360" w:type="pct"/>
            <w:vMerge w:val="restart"/>
            <w:tcBorders>
              <w:left w:val="single" w:sz="8" w:space="0" w:color="D9D9D9"/>
              <w:right w:val="single" w:sz="8" w:space="0" w:color="D9D9D9"/>
            </w:tcBorders>
            <w:shd w:val="clear" w:color="auto" w:fill="FFFFFF" w:themeFill="background1"/>
            <w:vAlign w:val="center"/>
          </w:tcPr>
          <w:p w14:paraId="48E71514"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Cost of health monitoring - provision of report to regulators</w:t>
            </w:r>
          </w:p>
          <w:p w14:paraId="6420802C"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4DE20501"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Number of hours to prepare health monitoring report submission</w:t>
            </w:r>
          </w:p>
          <w:p w14:paraId="72E6DC37"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1D9B168E"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 xml:space="preserve">Average wage/hour </w:t>
            </w:r>
          </w:p>
          <w:p w14:paraId="61BD00B4"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2AD0DF4B"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b/>
                <w:bCs/>
                <w:sz w:val="18"/>
                <w:szCs w:val="18"/>
              </w:rPr>
            </w:pPr>
            <w:r w:rsidRPr="009D0A4A">
              <w:rPr>
                <w:rFonts w:asciiTheme="minorHAnsi" w:hAnsiTheme="minorHAnsi" w:cstheme="minorHAnsi"/>
                <w:sz w:val="18"/>
                <w:szCs w:val="18"/>
              </w:rPr>
              <w:t>Number of businesses undertaking high risk silica work in Australia</w:t>
            </w:r>
          </w:p>
        </w:tc>
      </w:tr>
      <w:tr w:rsidR="00722B43" w:rsidRPr="009D0A4A" w14:paraId="139C7705" w14:textId="77777777" w:rsidTr="00722B43">
        <w:trPr>
          <w:trHeight w:val="2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3A0A8D98" w14:textId="77777777" w:rsidR="00722B43" w:rsidRPr="009D0A4A" w:rsidRDefault="00722B43" w:rsidP="00722B43">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right w:val="single" w:sz="8" w:space="0" w:color="D9D9D9"/>
            </w:tcBorders>
            <w:shd w:val="clear" w:color="auto" w:fill="FFFFFF" w:themeFill="background1"/>
          </w:tcPr>
          <w:p w14:paraId="41E6E466" w14:textId="77777777" w:rsidR="00722B43" w:rsidRPr="009D0A4A" w:rsidRDefault="00722B43" w:rsidP="00722B43">
            <w:pPr>
              <w:pStyle w:val="BodyText"/>
              <w:ind w:left="157"/>
              <w:rPr>
                <w:rFonts w:cstheme="minorHAnsi"/>
                <w:color w:val="auto"/>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51D4F146" w14:textId="77777777" w:rsidR="00722B43" w:rsidRPr="009D0A4A" w:rsidRDefault="00722B43" w:rsidP="00722B43">
            <w:pPr>
              <w:pStyle w:val="BodyText"/>
              <w:rPr>
                <w:rFonts w:cstheme="minorHAnsi"/>
                <w:sz w:val="18"/>
                <w:szCs w:val="18"/>
              </w:rPr>
            </w:pPr>
            <w:r w:rsidRPr="009D0A4A">
              <w:rPr>
                <w:rFonts w:cstheme="minorHAnsi"/>
                <w:color w:val="auto"/>
                <w:sz w:val="18"/>
                <w:szCs w:val="18"/>
              </w:rPr>
              <w:t>Average wage/hour ($)</w:t>
            </w:r>
          </w:p>
        </w:tc>
        <w:tc>
          <w:tcPr>
            <w:tcW w:w="1454" w:type="pct"/>
            <w:gridSpan w:val="3"/>
            <w:tcBorders>
              <w:left w:val="single" w:sz="8" w:space="0" w:color="D9D9D9"/>
              <w:right w:val="single" w:sz="8" w:space="0" w:color="D9D9D9"/>
            </w:tcBorders>
            <w:shd w:val="clear" w:color="auto" w:fill="FFFFFF" w:themeFill="background1"/>
            <w:vAlign w:val="center"/>
          </w:tcPr>
          <w:p w14:paraId="7138EA8F" w14:textId="251EBBF7" w:rsidR="00722B43" w:rsidRPr="009D0A4A" w:rsidRDefault="00722B43" w:rsidP="00722B43">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Refer to Table 27</w:t>
            </w:r>
          </w:p>
        </w:tc>
        <w:tc>
          <w:tcPr>
            <w:tcW w:w="1360" w:type="pct"/>
            <w:vMerge/>
            <w:tcBorders>
              <w:left w:val="single" w:sz="8" w:space="0" w:color="D9D9D9"/>
              <w:right w:val="single" w:sz="8" w:space="0" w:color="D9D9D9"/>
            </w:tcBorders>
            <w:shd w:val="clear" w:color="auto" w:fill="FFFFFF" w:themeFill="background1"/>
            <w:vAlign w:val="center"/>
          </w:tcPr>
          <w:p w14:paraId="2F8B71E0" w14:textId="77777777" w:rsidR="00722B43" w:rsidRPr="009D0A4A" w:rsidRDefault="00722B43" w:rsidP="00722B43">
            <w:pPr>
              <w:pStyle w:val="EYBulletnoparaspace"/>
              <w:numPr>
                <w:ilvl w:val="0"/>
                <w:numId w:val="0"/>
              </w:numPr>
              <w:spacing w:line="264" w:lineRule="auto"/>
              <w:ind w:left="425" w:right="269" w:hanging="425"/>
              <w:jc w:val="center"/>
              <w:rPr>
                <w:rFonts w:asciiTheme="minorHAnsi" w:hAnsiTheme="minorHAnsi" w:cstheme="minorHAnsi"/>
                <w:b/>
                <w:bCs/>
                <w:sz w:val="18"/>
                <w:szCs w:val="18"/>
              </w:rPr>
            </w:pPr>
          </w:p>
        </w:tc>
      </w:tr>
      <w:tr w:rsidR="00722B43" w:rsidRPr="009D0A4A" w14:paraId="525AC36C" w14:textId="77777777" w:rsidTr="00722B43">
        <w:trPr>
          <w:trHeight w:val="2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748EA9B8" w14:textId="77777777" w:rsidR="00722B43" w:rsidRPr="009D0A4A" w:rsidRDefault="00722B43" w:rsidP="00722B43">
            <w:pPr>
              <w:pStyle w:val="EYBulletnoparaspace"/>
              <w:numPr>
                <w:ilvl w:val="0"/>
                <w:numId w:val="0"/>
              </w:numPr>
              <w:spacing w:line="264" w:lineRule="auto"/>
              <w:rPr>
                <w:rFonts w:asciiTheme="minorHAnsi" w:hAnsiTheme="minorHAnsi" w:cstheme="minorHAnsi"/>
                <w:i/>
                <w:iCs/>
                <w:sz w:val="18"/>
                <w:szCs w:val="18"/>
              </w:rPr>
            </w:pPr>
          </w:p>
        </w:tc>
        <w:tc>
          <w:tcPr>
            <w:tcW w:w="697" w:type="pct"/>
            <w:vMerge/>
            <w:tcBorders>
              <w:left w:val="single" w:sz="8" w:space="0" w:color="D9D9D9"/>
              <w:right w:val="single" w:sz="8" w:space="0" w:color="D9D9D9"/>
            </w:tcBorders>
            <w:shd w:val="clear" w:color="auto" w:fill="FFFFFF" w:themeFill="background1"/>
          </w:tcPr>
          <w:p w14:paraId="2011ECCF" w14:textId="77777777" w:rsidR="00722B43" w:rsidRPr="009D0A4A" w:rsidRDefault="00722B43" w:rsidP="00722B43">
            <w:pPr>
              <w:pStyle w:val="BodyText"/>
              <w:ind w:left="157"/>
              <w:rPr>
                <w:rFonts w:cstheme="minorHAnsi"/>
                <w:color w:val="auto"/>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6AB68981" w14:textId="77777777" w:rsidR="00722B43" w:rsidRPr="009D0A4A" w:rsidRDefault="00722B43" w:rsidP="00722B43">
            <w:pPr>
              <w:pStyle w:val="BodyText"/>
              <w:rPr>
                <w:rFonts w:cstheme="minorHAnsi"/>
                <w:sz w:val="18"/>
                <w:szCs w:val="18"/>
              </w:rPr>
            </w:pPr>
            <w:r w:rsidRPr="009D0A4A">
              <w:rPr>
                <w:rFonts w:cstheme="minorHAnsi"/>
                <w:sz w:val="18"/>
                <w:szCs w:val="18"/>
              </w:rPr>
              <w:t>Number of businesses undertaking high risk silica work in Australia</w:t>
            </w:r>
            <w:r w:rsidRPr="009D0A4A">
              <w:rPr>
                <w:rFonts w:cstheme="minorHAnsi"/>
                <w:color w:val="auto"/>
                <w:sz w:val="18"/>
                <w:szCs w:val="18"/>
              </w:rPr>
              <w:t xml:space="preserve"> (#)</w:t>
            </w:r>
          </w:p>
        </w:tc>
        <w:tc>
          <w:tcPr>
            <w:tcW w:w="1454" w:type="pct"/>
            <w:gridSpan w:val="3"/>
            <w:tcBorders>
              <w:left w:val="single" w:sz="8" w:space="0" w:color="D9D9D9"/>
              <w:bottom w:val="single" w:sz="8" w:space="0" w:color="D9D9D9"/>
              <w:right w:val="single" w:sz="8" w:space="0" w:color="D9D9D9"/>
            </w:tcBorders>
            <w:shd w:val="clear" w:color="auto" w:fill="FFFFFF" w:themeFill="background1"/>
            <w:vAlign w:val="center"/>
          </w:tcPr>
          <w:p w14:paraId="77C5FE90" w14:textId="39CE3649" w:rsidR="00722B43" w:rsidRPr="009D0A4A" w:rsidRDefault="00722B43" w:rsidP="00722B43">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Refer to Table 26</w:t>
            </w:r>
          </w:p>
        </w:tc>
        <w:tc>
          <w:tcPr>
            <w:tcW w:w="1360" w:type="pct"/>
            <w:vMerge/>
            <w:tcBorders>
              <w:left w:val="single" w:sz="8" w:space="0" w:color="D9D9D9"/>
              <w:right w:val="single" w:sz="8" w:space="0" w:color="D9D9D9"/>
            </w:tcBorders>
            <w:shd w:val="clear" w:color="auto" w:fill="FFFFFF" w:themeFill="background1"/>
            <w:vAlign w:val="center"/>
          </w:tcPr>
          <w:p w14:paraId="01C3DF50" w14:textId="77777777" w:rsidR="00722B43" w:rsidRPr="009D0A4A" w:rsidRDefault="00722B43" w:rsidP="00722B43">
            <w:pPr>
              <w:pStyle w:val="EYBulletnoparaspace"/>
              <w:numPr>
                <w:ilvl w:val="0"/>
                <w:numId w:val="0"/>
              </w:numPr>
              <w:spacing w:line="264" w:lineRule="auto"/>
              <w:ind w:left="425" w:right="269" w:hanging="425"/>
              <w:jc w:val="center"/>
              <w:rPr>
                <w:rFonts w:asciiTheme="minorHAnsi" w:hAnsiTheme="minorHAnsi" w:cstheme="minorHAnsi"/>
                <w:b/>
                <w:bCs/>
                <w:sz w:val="18"/>
                <w:szCs w:val="18"/>
              </w:rPr>
            </w:pPr>
          </w:p>
        </w:tc>
      </w:tr>
      <w:tr w:rsidR="00105526" w:rsidRPr="009D0A4A" w14:paraId="79885CBA" w14:textId="77777777" w:rsidTr="00722B43">
        <w:trPr>
          <w:trHeight w:val="20"/>
        </w:trPr>
        <w:tc>
          <w:tcPr>
            <w:tcW w:w="676" w:type="pct"/>
            <w:vMerge w:val="restart"/>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7F07EB63"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r w:rsidRPr="009D0A4A">
              <w:rPr>
                <w:rFonts w:asciiTheme="minorHAnsi" w:hAnsiTheme="minorHAnsi" w:cstheme="minorHAnsi"/>
                <w:i/>
                <w:iCs/>
                <w:sz w:val="18"/>
                <w:szCs w:val="18"/>
              </w:rPr>
              <w:t>Air monitoring – provision of report to regulators</w:t>
            </w:r>
          </w:p>
        </w:tc>
        <w:tc>
          <w:tcPr>
            <w:tcW w:w="697" w:type="pct"/>
            <w:vMerge w:val="restart"/>
            <w:tcBorders>
              <w:left w:val="single" w:sz="8" w:space="0" w:color="D9D9D9"/>
              <w:right w:val="single" w:sz="8" w:space="0" w:color="D9D9D9"/>
            </w:tcBorders>
            <w:shd w:val="clear" w:color="auto" w:fill="FFFFFF" w:themeFill="background1"/>
          </w:tcPr>
          <w:p w14:paraId="6DDE2E0C" w14:textId="77777777" w:rsidR="00105526" w:rsidRPr="009D0A4A" w:rsidRDefault="00105526" w:rsidP="00FA6EE6">
            <w:pPr>
              <w:pStyle w:val="BodyText"/>
              <w:ind w:left="157"/>
              <w:rPr>
                <w:rFonts w:cstheme="minorHAnsi"/>
                <w:color w:val="auto"/>
                <w:sz w:val="18"/>
                <w:szCs w:val="18"/>
              </w:rPr>
            </w:pPr>
            <w:r w:rsidRPr="009D0A4A">
              <w:rPr>
                <w:rFonts w:cstheme="minorHAnsi"/>
                <w:color w:val="auto"/>
                <w:sz w:val="18"/>
                <w:szCs w:val="18"/>
              </w:rPr>
              <w:t>Additional labour costs for the preparation of air monitoring reports for submission to WHS regulators in each jurisdiction.</w:t>
            </w:r>
          </w:p>
          <w:p w14:paraId="7F997093" w14:textId="77777777" w:rsidR="00105526" w:rsidRPr="009D0A4A" w:rsidRDefault="00105526" w:rsidP="00FA6EE6">
            <w:pPr>
              <w:pStyle w:val="BodyText"/>
              <w:ind w:left="157"/>
              <w:rPr>
                <w:rFonts w:cstheme="minorHAnsi"/>
                <w:sz w:val="18"/>
                <w:szCs w:val="18"/>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3C80BF19" w14:textId="5C7B2EFA" w:rsidR="00105526" w:rsidRPr="009D0A4A" w:rsidRDefault="00105526" w:rsidP="00FA6EE6">
            <w:pPr>
              <w:pStyle w:val="BodyText"/>
              <w:rPr>
                <w:rFonts w:cstheme="minorHAnsi"/>
                <w:sz w:val="18"/>
                <w:szCs w:val="18"/>
              </w:rPr>
            </w:pPr>
            <w:r w:rsidRPr="009D0A4A">
              <w:rPr>
                <w:rFonts w:cstheme="minorHAnsi"/>
                <w:color w:val="auto"/>
                <w:sz w:val="18"/>
                <w:szCs w:val="18"/>
              </w:rPr>
              <w:t xml:space="preserve">Number of hours </w:t>
            </w:r>
            <w:r w:rsidR="00904BE5" w:rsidRPr="009D0A4A">
              <w:rPr>
                <w:rFonts w:cstheme="minorHAnsi"/>
                <w:color w:val="auto"/>
                <w:sz w:val="18"/>
                <w:szCs w:val="18"/>
              </w:rPr>
              <w:t xml:space="preserve">per year </w:t>
            </w:r>
            <w:r w:rsidRPr="009D0A4A">
              <w:rPr>
                <w:rFonts w:cstheme="minorHAnsi"/>
                <w:color w:val="auto"/>
                <w:sz w:val="18"/>
                <w:szCs w:val="18"/>
              </w:rPr>
              <w:t>to prepare air monitoring report submission (hours</w:t>
            </w:r>
            <w:r w:rsidR="00904BE5" w:rsidRPr="009D0A4A">
              <w:rPr>
                <w:rFonts w:cstheme="minorHAnsi"/>
                <w:color w:val="auto"/>
                <w:sz w:val="18"/>
                <w:szCs w:val="18"/>
              </w:rPr>
              <w:t>/year</w:t>
            </w:r>
            <w:r w:rsidRPr="009D0A4A">
              <w:rPr>
                <w:rFonts w:cstheme="minorHAnsi"/>
                <w:color w:val="auto"/>
                <w:sz w:val="18"/>
                <w:szCs w:val="18"/>
              </w:rPr>
              <w:t>)</w:t>
            </w:r>
          </w:p>
        </w:tc>
        <w:tc>
          <w:tcPr>
            <w:tcW w:w="338" w:type="pct"/>
            <w:tcBorders>
              <w:top w:val="single" w:sz="8" w:space="0" w:color="D9D9D9"/>
              <w:left w:val="single" w:sz="8" w:space="0" w:color="D9D9D9"/>
              <w:right w:val="single" w:sz="8" w:space="0" w:color="D9D9D9"/>
            </w:tcBorders>
            <w:shd w:val="clear" w:color="auto" w:fill="FFFFFF" w:themeFill="background1"/>
            <w:vAlign w:val="center"/>
          </w:tcPr>
          <w:p w14:paraId="322FFA20"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Small</w:t>
            </w:r>
          </w:p>
          <w:p w14:paraId="759B6182"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2</w:t>
            </w:r>
          </w:p>
        </w:tc>
        <w:tc>
          <w:tcPr>
            <w:tcW w:w="447" w:type="pct"/>
            <w:tcBorders>
              <w:top w:val="single" w:sz="8" w:space="0" w:color="D9D9D9"/>
              <w:left w:val="single" w:sz="8" w:space="0" w:color="D9D9D9"/>
              <w:right w:val="single" w:sz="8" w:space="0" w:color="D9D9D9"/>
            </w:tcBorders>
            <w:shd w:val="clear" w:color="auto" w:fill="FFFFFF" w:themeFill="background1"/>
            <w:vAlign w:val="center"/>
          </w:tcPr>
          <w:p w14:paraId="64F8A7CB"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Medium</w:t>
            </w:r>
          </w:p>
          <w:p w14:paraId="324A026B"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3</w:t>
            </w:r>
          </w:p>
        </w:tc>
        <w:tc>
          <w:tcPr>
            <w:tcW w:w="669" w:type="pct"/>
            <w:tcBorders>
              <w:top w:val="single" w:sz="8" w:space="0" w:color="D9D9D9"/>
              <w:left w:val="single" w:sz="8" w:space="0" w:color="D9D9D9"/>
              <w:right w:val="single" w:sz="8" w:space="0" w:color="D9D9D9"/>
            </w:tcBorders>
            <w:shd w:val="clear" w:color="auto" w:fill="FFFFFF" w:themeFill="background1"/>
            <w:vAlign w:val="center"/>
          </w:tcPr>
          <w:p w14:paraId="6BB1234F" w14:textId="77777777" w:rsidR="00733855" w:rsidRPr="009D0A4A" w:rsidRDefault="00733855" w:rsidP="00733855">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Large</w:t>
            </w:r>
          </w:p>
          <w:p w14:paraId="5BE1A2A0" w14:textId="31748E59" w:rsidR="00105526" w:rsidRPr="009D0A4A" w:rsidRDefault="00733855" w:rsidP="00733855">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4</w:t>
            </w:r>
            <w:r w:rsidRPr="009D0A4A">
              <w:rPr>
                <w:rStyle w:val="FootnoteReference"/>
              </w:rPr>
              <w:t xml:space="preserve"> </w:t>
            </w:r>
            <w:r w:rsidRPr="009D0A4A">
              <w:t xml:space="preserve"> </w:t>
            </w:r>
            <w:r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{"citationID":"fkQYHKRk","properties":{"formattedCitation":"(Deloitte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Pr="009D0A4A">
              <w:rPr>
                <w:rFonts w:asciiTheme="minorHAnsi" w:hAnsiTheme="minorHAnsi" w:cstheme="minorHAnsi"/>
                <w:sz w:val="18"/>
                <w:szCs w:val="18"/>
              </w:rPr>
              <w:fldChar w:fldCharType="separate"/>
            </w:r>
            <w:r w:rsidR="006B4A7D" w:rsidRPr="009D0A4A">
              <w:rPr>
                <w:rFonts w:ascii="Calibri" w:hAnsi="Calibri" w:cs="Calibri"/>
                <w:sz w:val="18"/>
              </w:rPr>
              <w:t>(Deloitte 2021)</w:t>
            </w:r>
            <w:r w:rsidRPr="009D0A4A">
              <w:rPr>
                <w:rFonts w:asciiTheme="minorHAnsi" w:hAnsiTheme="minorHAnsi" w:cstheme="minorHAnsi"/>
                <w:sz w:val="18"/>
                <w:szCs w:val="18"/>
              </w:rPr>
              <w:fldChar w:fldCharType="end"/>
            </w:r>
          </w:p>
        </w:tc>
        <w:tc>
          <w:tcPr>
            <w:tcW w:w="1360" w:type="pct"/>
            <w:vMerge w:val="restart"/>
            <w:tcBorders>
              <w:left w:val="single" w:sz="8" w:space="0" w:color="D9D9D9"/>
              <w:right w:val="single" w:sz="8" w:space="0" w:color="D9D9D9"/>
            </w:tcBorders>
            <w:shd w:val="clear" w:color="auto" w:fill="FFFFFF" w:themeFill="background1"/>
            <w:vAlign w:val="center"/>
          </w:tcPr>
          <w:p w14:paraId="7A28AEC9"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Cost of air monitoring - provision of report to regulators</w:t>
            </w:r>
          </w:p>
          <w:p w14:paraId="05C64CFC"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23840BAF"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Number of hours to prepare air monitoring report submission</w:t>
            </w:r>
          </w:p>
          <w:p w14:paraId="1BC0EB87"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5318614D"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 xml:space="preserve">Average wage/hour </w:t>
            </w:r>
          </w:p>
          <w:p w14:paraId="695996D8"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2CFCCE70" w14:textId="77777777" w:rsidR="00105526" w:rsidRPr="009D0A4A" w:rsidRDefault="00105526" w:rsidP="00FA6EE6">
            <w:pPr>
              <w:pStyle w:val="EYBulletnoparaspace"/>
              <w:numPr>
                <w:ilvl w:val="0"/>
                <w:numId w:val="0"/>
              </w:numPr>
              <w:spacing w:line="264" w:lineRule="auto"/>
              <w:ind w:right="266"/>
              <w:jc w:val="center"/>
              <w:rPr>
                <w:rFonts w:asciiTheme="minorHAnsi" w:hAnsiTheme="minorHAnsi" w:cstheme="minorHAnsi"/>
                <w:b/>
                <w:bCs/>
                <w:sz w:val="18"/>
                <w:szCs w:val="18"/>
              </w:rPr>
            </w:pPr>
            <w:r w:rsidRPr="009D0A4A">
              <w:rPr>
                <w:rFonts w:asciiTheme="minorHAnsi" w:hAnsiTheme="minorHAnsi" w:cstheme="minorHAnsi"/>
                <w:sz w:val="18"/>
                <w:szCs w:val="18"/>
              </w:rPr>
              <w:t>Number of businesses undertaking high risk silica work in Australia</w:t>
            </w:r>
          </w:p>
        </w:tc>
      </w:tr>
      <w:tr w:rsidR="00722B43" w:rsidRPr="009D0A4A" w14:paraId="49122BB2" w14:textId="77777777" w:rsidTr="00722B43">
        <w:trPr>
          <w:trHeight w:val="2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tcPr>
          <w:p w14:paraId="7F5A34B1" w14:textId="77777777" w:rsidR="00722B43" w:rsidRPr="009D0A4A" w:rsidRDefault="00722B43" w:rsidP="00722B43">
            <w:pPr>
              <w:pStyle w:val="EYBulletnoparaspace"/>
              <w:numPr>
                <w:ilvl w:val="0"/>
                <w:numId w:val="0"/>
              </w:numPr>
              <w:spacing w:line="264" w:lineRule="auto"/>
              <w:rPr>
                <w:rFonts w:asciiTheme="minorHAnsi" w:hAnsiTheme="minorHAnsi" w:cstheme="minorHAnsi"/>
                <w:i/>
                <w:iCs/>
                <w:szCs w:val="20"/>
              </w:rPr>
            </w:pPr>
          </w:p>
        </w:tc>
        <w:tc>
          <w:tcPr>
            <w:tcW w:w="697" w:type="pct"/>
            <w:vMerge/>
            <w:tcBorders>
              <w:left w:val="single" w:sz="8" w:space="0" w:color="D9D9D9"/>
              <w:right w:val="single" w:sz="8" w:space="0" w:color="D9D9D9"/>
            </w:tcBorders>
            <w:shd w:val="clear" w:color="auto" w:fill="FFFFFF" w:themeFill="background1"/>
            <w:vAlign w:val="center"/>
          </w:tcPr>
          <w:p w14:paraId="42A46482" w14:textId="77777777" w:rsidR="00722B43" w:rsidRPr="009D0A4A" w:rsidRDefault="00722B43" w:rsidP="00722B43">
            <w:pPr>
              <w:pStyle w:val="BodyText"/>
              <w:ind w:left="157"/>
              <w:rPr>
                <w:rFonts w:cstheme="minorHAnsi"/>
                <w:color w:val="auto"/>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37B0B2F5" w14:textId="77777777" w:rsidR="00722B43" w:rsidRPr="009D0A4A" w:rsidRDefault="00722B43" w:rsidP="00722B43">
            <w:pPr>
              <w:pStyle w:val="BodyText"/>
              <w:rPr>
                <w:rFonts w:cstheme="minorHAnsi"/>
                <w:sz w:val="18"/>
                <w:szCs w:val="18"/>
              </w:rPr>
            </w:pPr>
            <w:r w:rsidRPr="009D0A4A">
              <w:rPr>
                <w:rFonts w:cstheme="minorHAnsi"/>
                <w:color w:val="auto"/>
                <w:sz w:val="18"/>
                <w:szCs w:val="18"/>
              </w:rPr>
              <w:t>Average wage/hour ($)</w:t>
            </w:r>
          </w:p>
        </w:tc>
        <w:tc>
          <w:tcPr>
            <w:tcW w:w="1454" w:type="pct"/>
            <w:gridSpan w:val="3"/>
            <w:tcBorders>
              <w:left w:val="single" w:sz="8" w:space="0" w:color="D9D9D9"/>
              <w:right w:val="single" w:sz="8" w:space="0" w:color="D9D9D9"/>
            </w:tcBorders>
            <w:shd w:val="clear" w:color="auto" w:fill="FFFFFF" w:themeFill="background1"/>
            <w:vAlign w:val="center"/>
          </w:tcPr>
          <w:p w14:paraId="10CE31C8" w14:textId="33C650EA" w:rsidR="00722B43" w:rsidRPr="009D0A4A" w:rsidRDefault="00722B43" w:rsidP="00722B43">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Refer to Table 27</w:t>
            </w:r>
          </w:p>
        </w:tc>
        <w:tc>
          <w:tcPr>
            <w:tcW w:w="1360" w:type="pct"/>
            <w:vMerge/>
            <w:tcBorders>
              <w:left w:val="single" w:sz="8" w:space="0" w:color="D9D9D9"/>
              <w:right w:val="single" w:sz="8" w:space="0" w:color="D9D9D9"/>
            </w:tcBorders>
            <w:shd w:val="clear" w:color="auto" w:fill="FFFFFF" w:themeFill="background1"/>
            <w:vAlign w:val="center"/>
          </w:tcPr>
          <w:p w14:paraId="515871CA" w14:textId="77777777" w:rsidR="00722B43" w:rsidRPr="009D0A4A" w:rsidRDefault="00722B43" w:rsidP="00722B43">
            <w:pPr>
              <w:pStyle w:val="EYBulletnoparaspace"/>
              <w:numPr>
                <w:ilvl w:val="0"/>
                <w:numId w:val="0"/>
              </w:numPr>
              <w:spacing w:line="264" w:lineRule="auto"/>
              <w:ind w:left="425" w:right="269" w:hanging="425"/>
              <w:jc w:val="center"/>
              <w:rPr>
                <w:rFonts w:asciiTheme="minorHAnsi" w:hAnsiTheme="minorHAnsi" w:cstheme="minorHAnsi"/>
                <w:b/>
                <w:bCs/>
                <w:szCs w:val="20"/>
              </w:rPr>
            </w:pPr>
          </w:p>
        </w:tc>
      </w:tr>
      <w:tr w:rsidR="00722B43" w:rsidRPr="009D0A4A" w14:paraId="1A9368BC" w14:textId="77777777" w:rsidTr="00722B43">
        <w:trPr>
          <w:trHeight w:val="20"/>
        </w:trPr>
        <w:tc>
          <w:tcPr>
            <w:tcW w:w="676"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tcPr>
          <w:p w14:paraId="59233948" w14:textId="77777777" w:rsidR="00722B43" w:rsidRPr="009D0A4A" w:rsidRDefault="00722B43" w:rsidP="00722B43">
            <w:pPr>
              <w:pStyle w:val="EYBulletnoparaspace"/>
              <w:numPr>
                <w:ilvl w:val="0"/>
                <w:numId w:val="0"/>
              </w:numPr>
              <w:spacing w:line="264" w:lineRule="auto"/>
              <w:rPr>
                <w:rFonts w:asciiTheme="minorHAnsi" w:hAnsiTheme="minorHAnsi" w:cstheme="minorHAnsi"/>
                <w:i/>
                <w:iCs/>
                <w:szCs w:val="20"/>
              </w:rPr>
            </w:pPr>
          </w:p>
        </w:tc>
        <w:tc>
          <w:tcPr>
            <w:tcW w:w="697" w:type="pct"/>
            <w:vMerge/>
            <w:tcBorders>
              <w:left w:val="single" w:sz="8" w:space="0" w:color="D9D9D9"/>
              <w:right w:val="single" w:sz="8" w:space="0" w:color="D9D9D9"/>
            </w:tcBorders>
            <w:shd w:val="clear" w:color="auto" w:fill="FFFFFF" w:themeFill="background1"/>
            <w:vAlign w:val="center"/>
          </w:tcPr>
          <w:p w14:paraId="37597565" w14:textId="77777777" w:rsidR="00722B43" w:rsidRPr="009D0A4A" w:rsidRDefault="00722B43" w:rsidP="00722B43">
            <w:pPr>
              <w:pStyle w:val="BodyText"/>
              <w:ind w:left="157"/>
              <w:rPr>
                <w:rFonts w:cstheme="minorHAnsi"/>
                <w:color w:val="auto"/>
              </w:rPr>
            </w:pPr>
          </w:p>
        </w:tc>
        <w:tc>
          <w:tcPr>
            <w:tcW w:w="81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7DF96F4A" w14:textId="77777777" w:rsidR="00722B43" w:rsidRPr="009D0A4A" w:rsidRDefault="00722B43" w:rsidP="00722B43">
            <w:pPr>
              <w:pStyle w:val="BodyText"/>
              <w:rPr>
                <w:rFonts w:cstheme="minorHAnsi"/>
                <w:sz w:val="18"/>
                <w:szCs w:val="18"/>
              </w:rPr>
            </w:pPr>
            <w:r w:rsidRPr="009D0A4A">
              <w:rPr>
                <w:rFonts w:cstheme="minorHAnsi"/>
                <w:sz w:val="18"/>
                <w:szCs w:val="18"/>
              </w:rPr>
              <w:t>Number of businesses undertaking high risk silica work in Australia</w:t>
            </w:r>
            <w:r w:rsidRPr="009D0A4A">
              <w:rPr>
                <w:rFonts w:cstheme="minorHAnsi"/>
                <w:color w:val="auto"/>
                <w:sz w:val="18"/>
                <w:szCs w:val="18"/>
              </w:rPr>
              <w:t xml:space="preserve"> (#)</w:t>
            </w:r>
          </w:p>
        </w:tc>
        <w:tc>
          <w:tcPr>
            <w:tcW w:w="1454" w:type="pct"/>
            <w:gridSpan w:val="3"/>
            <w:tcBorders>
              <w:left w:val="single" w:sz="8" w:space="0" w:color="D9D9D9"/>
              <w:bottom w:val="single" w:sz="8" w:space="0" w:color="D9D9D9"/>
              <w:right w:val="single" w:sz="8" w:space="0" w:color="D9D9D9"/>
            </w:tcBorders>
            <w:shd w:val="clear" w:color="auto" w:fill="FFFFFF" w:themeFill="background1"/>
            <w:vAlign w:val="center"/>
          </w:tcPr>
          <w:p w14:paraId="652F74A6" w14:textId="562D7E7D" w:rsidR="00722B43" w:rsidRPr="009D0A4A" w:rsidRDefault="00722B43" w:rsidP="00722B43">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Refer to Table 26</w:t>
            </w:r>
          </w:p>
        </w:tc>
        <w:tc>
          <w:tcPr>
            <w:tcW w:w="1360" w:type="pct"/>
            <w:vMerge/>
            <w:tcBorders>
              <w:left w:val="single" w:sz="8" w:space="0" w:color="D9D9D9"/>
              <w:right w:val="single" w:sz="8" w:space="0" w:color="D9D9D9"/>
            </w:tcBorders>
            <w:shd w:val="clear" w:color="auto" w:fill="FFFFFF" w:themeFill="background1"/>
            <w:vAlign w:val="center"/>
          </w:tcPr>
          <w:p w14:paraId="689AED6D" w14:textId="77777777" w:rsidR="00722B43" w:rsidRPr="009D0A4A" w:rsidRDefault="00722B43" w:rsidP="00722B43">
            <w:pPr>
              <w:pStyle w:val="EYBulletnoparaspace"/>
              <w:numPr>
                <w:ilvl w:val="0"/>
                <w:numId w:val="0"/>
              </w:numPr>
              <w:spacing w:line="264" w:lineRule="auto"/>
              <w:ind w:left="425" w:right="269" w:hanging="425"/>
              <w:jc w:val="center"/>
              <w:rPr>
                <w:rFonts w:asciiTheme="minorHAnsi" w:hAnsiTheme="minorHAnsi" w:cstheme="minorHAnsi"/>
                <w:b/>
                <w:bCs/>
                <w:szCs w:val="20"/>
              </w:rPr>
            </w:pPr>
          </w:p>
        </w:tc>
      </w:tr>
    </w:tbl>
    <w:p w14:paraId="6D702D2D" w14:textId="77777777" w:rsidR="00105526" w:rsidRPr="009D0A4A" w:rsidRDefault="00105526" w:rsidP="00105526">
      <w:pPr>
        <w:pStyle w:val="BodyText"/>
        <w:rPr>
          <w:rFonts w:cstheme="minorHAnsi"/>
        </w:rPr>
      </w:pPr>
    </w:p>
    <w:p w14:paraId="03821A2D" w14:textId="15FEB11A" w:rsidR="00105526" w:rsidRPr="009D0A4A" w:rsidRDefault="00105526" w:rsidP="00105526">
      <w:pPr>
        <w:pStyle w:val="Caption"/>
      </w:pPr>
      <w:bookmarkStart w:id="687" w:name="_Ref105773441"/>
      <w:r w:rsidRPr="009D0A4A">
        <w:t xml:space="preserve">Table </w:t>
      </w:r>
      <w:bookmarkEnd w:id="687"/>
      <w:r w:rsidR="00C473F8" w:rsidRPr="009D0A4A">
        <w:t>30</w:t>
      </w:r>
      <w:r w:rsidRPr="009D0A4A">
        <w:t>: Additional cost to government</w:t>
      </w:r>
      <w:r w:rsidR="00D14CC1" w:rsidRPr="009D0A4A">
        <w:t>:</w:t>
      </w:r>
      <w:r w:rsidRPr="009D0A4A">
        <w:t xml:space="preserve"> key assumptions and cost estimate methodology</w:t>
      </w:r>
    </w:p>
    <w:tbl>
      <w:tblPr>
        <w:tblW w:w="4980" w:type="pct"/>
        <w:tblBorders>
          <w:left w:val="single" w:sz="8" w:space="0" w:color="D9D9D9"/>
          <w:bottom w:val="single" w:sz="8" w:space="0" w:color="D9D9D9"/>
          <w:right w:val="single" w:sz="8" w:space="0" w:color="D9D9D9"/>
          <w:insideH w:val="single" w:sz="8" w:space="0" w:color="D9D9D9"/>
          <w:insideV w:val="single" w:sz="8" w:space="0" w:color="D9D9D9"/>
        </w:tblBorders>
        <w:tblCellMar>
          <w:left w:w="0" w:type="dxa"/>
          <w:right w:w="0" w:type="dxa"/>
        </w:tblCellMar>
        <w:tblLook w:val="0420" w:firstRow="1" w:lastRow="0" w:firstColumn="0" w:lastColumn="0" w:noHBand="0" w:noVBand="1"/>
      </w:tblPr>
      <w:tblGrid>
        <w:gridCol w:w="1509"/>
        <w:gridCol w:w="1758"/>
        <w:gridCol w:w="1670"/>
        <w:gridCol w:w="1941"/>
        <w:gridCol w:w="3265"/>
      </w:tblGrid>
      <w:tr w:rsidR="00105526" w:rsidRPr="009D0A4A" w14:paraId="338DB03C" w14:textId="77777777" w:rsidTr="00D028B0">
        <w:trPr>
          <w:trHeight w:val="87"/>
          <w:tblHeader/>
        </w:trPr>
        <w:tc>
          <w:tcPr>
            <w:tcW w:w="718" w:type="pct"/>
            <w:tcBorders>
              <w:top w:val="nil"/>
              <w:left w:val="single" w:sz="8" w:space="0" w:color="D9D9D9"/>
              <w:bottom w:val="single" w:sz="8" w:space="0" w:color="D9D9D9"/>
              <w:right w:val="single" w:sz="8" w:space="0" w:color="D9D9D9"/>
            </w:tcBorders>
            <w:shd w:val="clear" w:color="auto" w:fill="D9D9D9" w:themeFill="background1" w:themeFillShade="D9"/>
            <w:tcMar>
              <w:top w:w="72" w:type="dxa"/>
              <w:left w:w="144" w:type="dxa"/>
              <w:bottom w:w="72" w:type="dxa"/>
              <w:right w:w="144" w:type="dxa"/>
            </w:tcMar>
            <w:vAlign w:val="center"/>
            <w:hideMark/>
          </w:tcPr>
          <w:p w14:paraId="3132E985" w14:textId="77777777" w:rsidR="00105526" w:rsidRPr="009D0A4A" w:rsidRDefault="00105526" w:rsidP="00FA6EE6">
            <w:pPr>
              <w:pStyle w:val="EYBulletnoparaspace"/>
              <w:numPr>
                <w:ilvl w:val="0"/>
                <w:numId w:val="0"/>
              </w:numPr>
              <w:spacing w:after="0" w:line="264" w:lineRule="auto"/>
              <w:rPr>
                <w:rStyle w:val="Strong"/>
                <w:rFonts w:asciiTheme="majorHAnsi" w:hAnsiTheme="majorHAnsi" w:cstheme="minorHAnsi"/>
                <w:color w:val="262626" w:themeColor="text1" w:themeTint="D9"/>
                <w:sz w:val="18"/>
                <w:szCs w:val="18"/>
              </w:rPr>
            </w:pPr>
            <w:r w:rsidRPr="009D0A4A">
              <w:rPr>
                <w:rStyle w:val="Strong"/>
                <w:rFonts w:asciiTheme="majorHAnsi" w:hAnsiTheme="majorHAnsi" w:cstheme="minorHAnsi"/>
                <w:color w:val="262626" w:themeColor="text1" w:themeTint="D9"/>
                <w:sz w:val="18"/>
                <w:szCs w:val="18"/>
              </w:rPr>
              <w:t>Cost assumption</w:t>
            </w:r>
          </w:p>
        </w:tc>
        <w:tc>
          <w:tcPr>
            <w:tcW w:w="867" w:type="pct"/>
            <w:tcBorders>
              <w:top w:val="nil"/>
              <w:left w:val="single" w:sz="8" w:space="0" w:color="D9D9D9"/>
              <w:bottom w:val="single" w:sz="8" w:space="0" w:color="D9D9D9"/>
              <w:right w:val="single" w:sz="8" w:space="0" w:color="D9D9D9"/>
            </w:tcBorders>
            <w:shd w:val="clear" w:color="auto" w:fill="D9D9D9" w:themeFill="background1" w:themeFillShade="D9"/>
            <w:vAlign w:val="center"/>
            <w:hideMark/>
          </w:tcPr>
          <w:p w14:paraId="09355D80" w14:textId="77777777" w:rsidR="00105526" w:rsidRPr="009D0A4A" w:rsidRDefault="00105526" w:rsidP="00FA6EE6">
            <w:pPr>
              <w:pStyle w:val="EYBulletnoparaspace"/>
              <w:numPr>
                <w:ilvl w:val="0"/>
                <w:numId w:val="0"/>
              </w:numPr>
              <w:spacing w:after="0" w:line="264" w:lineRule="auto"/>
              <w:ind w:left="425" w:hanging="425"/>
              <w:jc w:val="center"/>
              <w:rPr>
                <w:rStyle w:val="Strong"/>
                <w:rFonts w:asciiTheme="majorHAnsi" w:hAnsiTheme="majorHAnsi" w:cstheme="minorHAnsi"/>
                <w:color w:val="262626" w:themeColor="text1" w:themeTint="D9"/>
                <w:sz w:val="18"/>
                <w:szCs w:val="18"/>
              </w:rPr>
            </w:pPr>
            <w:r w:rsidRPr="009D0A4A">
              <w:rPr>
                <w:rStyle w:val="Strong"/>
                <w:rFonts w:asciiTheme="majorHAnsi" w:hAnsiTheme="majorHAnsi" w:cstheme="minorHAnsi"/>
                <w:sz w:val="18"/>
                <w:szCs w:val="18"/>
              </w:rPr>
              <w:t>Description</w:t>
            </w:r>
          </w:p>
        </w:tc>
        <w:tc>
          <w:tcPr>
            <w:tcW w:w="836" w:type="pct"/>
            <w:tcBorders>
              <w:top w:val="nil"/>
              <w:left w:val="single" w:sz="8" w:space="0" w:color="D9D9D9"/>
              <w:bottom w:val="single" w:sz="8" w:space="0" w:color="D9D9D9"/>
              <w:right w:val="single" w:sz="8" w:space="0" w:color="D9D9D9"/>
            </w:tcBorders>
            <w:shd w:val="clear" w:color="auto" w:fill="D9D9D9" w:themeFill="background1" w:themeFillShade="D9"/>
            <w:vAlign w:val="center"/>
          </w:tcPr>
          <w:p w14:paraId="5F50A43B" w14:textId="77777777" w:rsidR="00105526" w:rsidRPr="009D0A4A" w:rsidRDefault="00105526" w:rsidP="00FA6EE6">
            <w:pPr>
              <w:pStyle w:val="EYBulletnoparaspace"/>
              <w:numPr>
                <w:ilvl w:val="0"/>
                <w:numId w:val="0"/>
              </w:numPr>
              <w:spacing w:after="0" w:line="264" w:lineRule="auto"/>
              <w:ind w:left="144"/>
              <w:jc w:val="center"/>
              <w:rPr>
                <w:rStyle w:val="Strong"/>
                <w:rFonts w:asciiTheme="majorHAnsi" w:hAnsiTheme="majorHAnsi" w:cstheme="minorHAnsi"/>
                <w:sz w:val="18"/>
                <w:szCs w:val="18"/>
              </w:rPr>
            </w:pPr>
            <w:r w:rsidRPr="009D0A4A">
              <w:rPr>
                <w:rStyle w:val="Strong"/>
                <w:rFonts w:asciiTheme="majorHAnsi" w:hAnsiTheme="majorHAnsi" w:cstheme="minorHAnsi"/>
                <w:sz w:val="18"/>
                <w:szCs w:val="18"/>
              </w:rPr>
              <w:t>Variable</w:t>
            </w:r>
          </w:p>
        </w:tc>
        <w:tc>
          <w:tcPr>
            <w:tcW w:w="963" w:type="pct"/>
            <w:tcBorders>
              <w:top w:val="nil"/>
              <w:left w:val="single" w:sz="8" w:space="0" w:color="D9D9D9"/>
              <w:bottom w:val="single" w:sz="8" w:space="0" w:color="D9D9D9"/>
              <w:right w:val="single" w:sz="8" w:space="0" w:color="D9D9D9"/>
            </w:tcBorders>
            <w:shd w:val="clear" w:color="auto" w:fill="D9D9D9" w:themeFill="background1" w:themeFillShade="D9"/>
            <w:vAlign w:val="center"/>
          </w:tcPr>
          <w:p w14:paraId="33B95622" w14:textId="77777777" w:rsidR="00105526" w:rsidRPr="009D0A4A" w:rsidRDefault="00105526" w:rsidP="00FA6EE6">
            <w:pPr>
              <w:pStyle w:val="EYBulletnoparaspace"/>
              <w:numPr>
                <w:ilvl w:val="0"/>
                <w:numId w:val="0"/>
              </w:numPr>
              <w:spacing w:after="0" w:line="264" w:lineRule="auto"/>
              <w:ind w:left="144"/>
              <w:jc w:val="center"/>
              <w:rPr>
                <w:rStyle w:val="Strong"/>
                <w:rFonts w:asciiTheme="majorHAnsi" w:hAnsiTheme="majorHAnsi" w:cstheme="minorHAnsi"/>
                <w:sz w:val="18"/>
                <w:szCs w:val="18"/>
              </w:rPr>
            </w:pPr>
            <w:r w:rsidRPr="009D0A4A">
              <w:rPr>
                <w:rStyle w:val="Strong"/>
                <w:rFonts w:asciiTheme="majorHAnsi" w:hAnsiTheme="majorHAnsi" w:cstheme="minorHAnsi"/>
                <w:sz w:val="18"/>
                <w:szCs w:val="18"/>
              </w:rPr>
              <w:t>Input/assumption</w:t>
            </w:r>
          </w:p>
        </w:tc>
        <w:tc>
          <w:tcPr>
            <w:tcW w:w="1616" w:type="pct"/>
            <w:tcBorders>
              <w:top w:val="nil"/>
              <w:left w:val="single" w:sz="8" w:space="0" w:color="D9D9D9"/>
              <w:bottom w:val="single" w:sz="8" w:space="0" w:color="D9D9D9"/>
              <w:right w:val="single" w:sz="8" w:space="0" w:color="D9D9D9"/>
            </w:tcBorders>
            <w:shd w:val="clear" w:color="auto" w:fill="D9D9D9" w:themeFill="background1" w:themeFillShade="D9"/>
            <w:vAlign w:val="center"/>
            <w:hideMark/>
          </w:tcPr>
          <w:p w14:paraId="682A2300" w14:textId="5FE19386" w:rsidR="00105526" w:rsidRPr="009D0A4A" w:rsidRDefault="007C4FA8" w:rsidP="00FA6EE6">
            <w:pPr>
              <w:pStyle w:val="EYBulletnoparaspace"/>
              <w:numPr>
                <w:ilvl w:val="0"/>
                <w:numId w:val="0"/>
              </w:numPr>
              <w:spacing w:after="0" w:line="264" w:lineRule="auto"/>
              <w:ind w:left="144"/>
              <w:jc w:val="center"/>
              <w:rPr>
                <w:rStyle w:val="Strong"/>
                <w:rFonts w:asciiTheme="majorHAnsi" w:hAnsiTheme="majorHAnsi" w:cstheme="minorHAnsi"/>
                <w:color w:val="262626" w:themeColor="text1" w:themeTint="D9"/>
                <w:sz w:val="18"/>
                <w:szCs w:val="18"/>
              </w:rPr>
            </w:pPr>
            <w:r w:rsidRPr="009D0A4A">
              <w:rPr>
                <w:rStyle w:val="Strong"/>
                <w:rFonts w:asciiTheme="majorHAnsi" w:hAnsiTheme="majorHAnsi" w:cstheme="minorHAnsi"/>
                <w:sz w:val="18"/>
                <w:szCs w:val="18"/>
              </w:rPr>
              <w:t>Formula</w:t>
            </w:r>
          </w:p>
        </w:tc>
      </w:tr>
      <w:tr w:rsidR="00105526" w:rsidRPr="009D0A4A" w14:paraId="40FE5DF6" w14:textId="77777777" w:rsidTr="00D028B0">
        <w:trPr>
          <w:trHeight w:val="275"/>
        </w:trPr>
        <w:tc>
          <w:tcPr>
            <w:tcW w:w="718" w:type="pct"/>
            <w:tcBorders>
              <w:top w:val="single" w:sz="8" w:space="0" w:color="D9D9D9"/>
              <w:left w:val="single" w:sz="8" w:space="0" w:color="D9D9D9"/>
              <w:bottom w:val="single" w:sz="8" w:space="0" w:color="D9D9D9"/>
              <w:right w:val="single" w:sz="8" w:space="0" w:color="D9D9D9"/>
            </w:tcBorders>
            <w:shd w:val="clear" w:color="auto" w:fill="BFBFBF" w:themeFill="background1" w:themeFillShade="BF"/>
            <w:tcMar>
              <w:top w:w="72" w:type="dxa"/>
              <w:left w:w="144" w:type="dxa"/>
              <w:bottom w:w="72" w:type="dxa"/>
              <w:right w:w="144" w:type="dxa"/>
            </w:tcMar>
            <w:vAlign w:val="center"/>
            <w:hideMark/>
          </w:tcPr>
          <w:p w14:paraId="5DAEC397" w14:textId="77777777" w:rsidR="00105526" w:rsidRPr="009D0A4A" w:rsidRDefault="00105526" w:rsidP="00FA6EE6">
            <w:pPr>
              <w:pStyle w:val="EYBulletnoparaspace"/>
              <w:numPr>
                <w:ilvl w:val="0"/>
                <w:numId w:val="0"/>
              </w:numPr>
              <w:spacing w:after="120" w:line="264" w:lineRule="auto"/>
              <w:ind w:left="425" w:right="130" w:hanging="425"/>
              <w:rPr>
                <w:rFonts w:asciiTheme="majorHAnsi" w:hAnsiTheme="majorHAnsi" w:cstheme="minorHAnsi"/>
                <w:sz w:val="18"/>
                <w:szCs w:val="18"/>
              </w:rPr>
            </w:pPr>
            <w:r w:rsidRPr="009D0A4A">
              <w:rPr>
                <w:rFonts w:asciiTheme="majorHAnsi" w:hAnsiTheme="majorHAnsi" w:cstheme="minorHAnsi"/>
                <w:b/>
                <w:bCs/>
                <w:i/>
                <w:iCs/>
                <w:sz w:val="18"/>
                <w:szCs w:val="18"/>
              </w:rPr>
              <w:t xml:space="preserve">Option 2 </w:t>
            </w:r>
          </w:p>
        </w:tc>
        <w:tc>
          <w:tcPr>
            <w:tcW w:w="867" w:type="pct"/>
            <w:tcBorders>
              <w:top w:val="single" w:sz="8" w:space="0" w:color="D9D9D9"/>
              <w:left w:val="single" w:sz="8" w:space="0" w:color="D9D9D9"/>
              <w:bottom w:val="single" w:sz="8" w:space="0" w:color="D9D9D9"/>
              <w:right w:val="single" w:sz="8" w:space="0" w:color="D9D9D9"/>
            </w:tcBorders>
            <w:shd w:val="clear" w:color="auto" w:fill="BFBFBF" w:themeFill="background1" w:themeFillShade="BF"/>
            <w:vAlign w:val="center"/>
          </w:tcPr>
          <w:p w14:paraId="149250E0" w14:textId="77777777" w:rsidR="00105526" w:rsidRPr="009D0A4A" w:rsidRDefault="00105526" w:rsidP="00FA6EE6">
            <w:pPr>
              <w:pStyle w:val="EYBulletnoparaspace"/>
              <w:numPr>
                <w:ilvl w:val="0"/>
                <w:numId w:val="0"/>
              </w:numPr>
              <w:spacing w:after="120" w:line="264" w:lineRule="auto"/>
              <w:ind w:left="425" w:right="130" w:hanging="425"/>
              <w:rPr>
                <w:rFonts w:asciiTheme="majorHAnsi" w:hAnsiTheme="majorHAnsi" w:cstheme="minorHAnsi"/>
                <w:sz w:val="18"/>
                <w:szCs w:val="18"/>
              </w:rPr>
            </w:pPr>
          </w:p>
        </w:tc>
        <w:tc>
          <w:tcPr>
            <w:tcW w:w="836" w:type="pct"/>
            <w:tcBorders>
              <w:top w:val="single" w:sz="8" w:space="0" w:color="D9D9D9"/>
              <w:left w:val="single" w:sz="8" w:space="0" w:color="D9D9D9"/>
              <w:bottom w:val="single" w:sz="8" w:space="0" w:color="D9D9D9"/>
              <w:right w:val="single" w:sz="8" w:space="0" w:color="D9D9D9"/>
            </w:tcBorders>
            <w:shd w:val="clear" w:color="auto" w:fill="BFBFBF" w:themeFill="background1" w:themeFillShade="BF"/>
            <w:vAlign w:val="center"/>
          </w:tcPr>
          <w:p w14:paraId="4C354CC2" w14:textId="77777777" w:rsidR="00105526" w:rsidRPr="009D0A4A" w:rsidRDefault="00105526" w:rsidP="00FA6EE6">
            <w:pPr>
              <w:pStyle w:val="EYBulletnoparaspace"/>
              <w:numPr>
                <w:ilvl w:val="0"/>
                <w:numId w:val="0"/>
              </w:numPr>
              <w:spacing w:after="120" w:line="264" w:lineRule="auto"/>
              <w:ind w:left="425" w:right="130" w:hanging="425"/>
              <w:rPr>
                <w:rFonts w:asciiTheme="majorHAnsi" w:hAnsiTheme="majorHAnsi" w:cstheme="minorHAnsi"/>
                <w:sz w:val="18"/>
                <w:szCs w:val="18"/>
              </w:rPr>
            </w:pPr>
          </w:p>
        </w:tc>
        <w:tc>
          <w:tcPr>
            <w:tcW w:w="963" w:type="pct"/>
            <w:tcBorders>
              <w:top w:val="single" w:sz="8" w:space="0" w:color="D9D9D9"/>
              <w:left w:val="single" w:sz="8" w:space="0" w:color="D9D9D9"/>
              <w:bottom w:val="single" w:sz="8" w:space="0" w:color="D9D9D9"/>
              <w:right w:val="single" w:sz="8" w:space="0" w:color="D9D9D9"/>
            </w:tcBorders>
            <w:shd w:val="clear" w:color="auto" w:fill="BFBFBF" w:themeFill="background1" w:themeFillShade="BF"/>
            <w:vAlign w:val="center"/>
          </w:tcPr>
          <w:p w14:paraId="33CE8ED6" w14:textId="77777777" w:rsidR="00105526" w:rsidRPr="009D0A4A" w:rsidRDefault="00105526" w:rsidP="00FA6EE6">
            <w:pPr>
              <w:pStyle w:val="EYBulletnoparaspace"/>
              <w:numPr>
                <w:ilvl w:val="0"/>
                <w:numId w:val="0"/>
              </w:numPr>
              <w:spacing w:after="120" w:line="264" w:lineRule="auto"/>
              <w:ind w:left="425" w:right="130" w:hanging="425"/>
              <w:rPr>
                <w:rFonts w:asciiTheme="majorHAnsi" w:hAnsiTheme="majorHAnsi" w:cstheme="minorHAnsi"/>
                <w:sz w:val="18"/>
                <w:szCs w:val="18"/>
              </w:rPr>
            </w:pPr>
          </w:p>
        </w:tc>
        <w:tc>
          <w:tcPr>
            <w:tcW w:w="1616" w:type="pct"/>
            <w:tcBorders>
              <w:top w:val="single" w:sz="8" w:space="0" w:color="D9D9D9"/>
              <w:left w:val="single" w:sz="8" w:space="0" w:color="D9D9D9"/>
              <w:bottom w:val="single" w:sz="8" w:space="0" w:color="D9D9D9"/>
              <w:right w:val="single" w:sz="8" w:space="0" w:color="D9D9D9"/>
            </w:tcBorders>
            <w:shd w:val="clear" w:color="auto" w:fill="BFBFBF" w:themeFill="background1" w:themeFillShade="BF"/>
            <w:vAlign w:val="center"/>
          </w:tcPr>
          <w:p w14:paraId="164A71D9" w14:textId="77777777" w:rsidR="00105526" w:rsidRPr="009D0A4A" w:rsidRDefault="00105526" w:rsidP="00FA6EE6">
            <w:pPr>
              <w:pStyle w:val="EYBulletnoparaspace"/>
              <w:numPr>
                <w:ilvl w:val="0"/>
                <w:numId w:val="0"/>
              </w:numPr>
              <w:spacing w:after="120" w:line="264" w:lineRule="auto"/>
              <w:ind w:left="425" w:right="130" w:hanging="425"/>
              <w:rPr>
                <w:rFonts w:asciiTheme="majorHAnsi" w:hAnsiTheme="majorHAnsi" w:cstheme="minorHAnsi"/>
                <w:sz w:val="18"/>
                <w:szCs w:val="18"/>
              </w:rPr>
            </w:pPr>
          </w:p>
        </w:tc>
      </w:tr>
      <w:tr w:rsidR="00105526" w:rsidRPr="009D0A4A" w14:paraId="77C231D8" w14:textId="77777777" w:rsidTr="00D028B0">
        <w:trPr>
          <w:trHeight w:val="1099"/>
        </w:trPr>
        <w:tc>
          <w:tcPr>
            <w:tcW w:w="718" w:type="pc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79676ED2"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Behaviour change initiative – planning and design</w:t>
            </w:r>
          </w:p>
        </w:tc>
        <w:tc>
          <w:tcPr>
            <w:tcW w:w="867" w:type="pct"/>
            <w:tcBorders>
              <w:top w:val="single" w:sz="8" w:space="0" w:color="D9D9D9"/>
              <w:left w:val="single" w:sz="8" w:space="0" w:color="D9D9D9"/>
              <w:right w:val="single" w:sz="8" w:space="0" w:color="D9D9D9"/>
            </w:tcBorders>
            <w:shd w:val="clear" w:color="auto" w:fill="FFFFFF" w:themeFill="background1"/>
          </w:tcPr>
          <w:p w14:paraId="101360EF" w14:textId="77777777" w:rsidR="00105526" w:rsidRPr="009D0A4A" w:rsidRDefault="00105526" w:rsidP="00FA6EE6">
            <w:pPr>
              <w:pStyle w:val="BodyText"/>
              <w:ind w:left="157"/>
              <w:rPr>
                <w:rFonts w:cstheme="minorHAnsi"/>
                <w:color w:val="auto"/>
                <w:sz w:val="18"/>
                <w:szCs w:val="18"/>
              </w:rPr>
            </w:pPr>
            <w:r w:rsidRPr="009D0A4A">
              <w:rPr>
                <w:rFonts w:cstheme="minorHAnsi"/>
                <w:sz w:val="18"/>
                <w:szCs w:val="18"/>
              </w:rPr>
              <w:t>Costs related to the planning and design for behaviour change and awareness campaigns on an annual basis.</w:t>
            </w:r>
          </w:p>
        </w:tc>
        <w:tc>
          <w:tcPr>
            <w:tcW w:w="836" w:type="pct"/>
            <w:tcBorders>
              <w:top w:val="single" w:sz="8" w:space="0" w:color="D9D9D9"/>
              <w:left w:val="single" w:sz="8" w:space="0" w:color="D9D9D9"/>
              <w:right w:val="single" w:sz="8" w:space="0" w:color="D9D9D9"/>
            </w:tcBorders>
            <w:shd w:val="clear" w:color="auto" w:fill="FFFFFF" w:themeFill="background1"/>
          </w:tcPr>
          <w:p w14:paraId="527A6101" w14:textId="77777777" w:rsidR="00105526" w:rsidRPr="009D0A4A" w:rsidRDefault="00105526" w:rsidP="00FA6EE6">
            <w:pPr>
              <w:pStyle w:val="EYBulletnoparaspace"/>
              <w:numPr>
                <w:ilvl w:val="0"/>
                <w:numId w:val="0"/>
              </w:numPr>
              <w:spacing w:line="264" w:lineRule="auto"/>
              <w:ind w:right="130"/>
              <w:rPr>
                <w:rFonts w:asciiTheme="minorHAnsi" w:hAnsiTheme="minorHAnsi" w:cstheme="minorHAnsi"/>
                <w:b/>
                <w:bCs/>
                <w:sz w:val="18"/>
                <w:szCs w:val="18"/>
              </w:rPr>
            </w:pPr>
            <w:r w:rsidRPr="009D0A4A">
              <w:rPr>
                <w:rFonts w:asciiTheme="minorHAnsi" w:hAnsiTheme="minorHAnsi" w:cstheme="minorHAnsi"/>
                <w:sz w:val="18"/>
                <w:szCs w:val="18"/>
              </w:rPr>
              <w:t>Engagement with behavioural insights consultants ($)</w:t>
            </w:r>
          </w:p>
        </w:tc>
        <w:tc>
          <w:tcPr>
            <w:tcW w:w="963" w:type="pct"/>
            <w:tcBorders>
              <w:top w:val="single" w:sz="8" w:space="0" w:color="D9D9D9"/>
              <w:left w:val="single" w:sz="8" w:space="0" w:color="D9D9D9"/>
              <w:right w:val="single" w:sz="8" w:space="0" w:color="D9D9D9"/>
            </w:tcBorders>
            <w:shd w:val="clear" w:color="auto" w:fill="FFFFFF" w:themeFill="background1"/>
            <w:vAlign w:val="center"/>
          </w:tcPr>
          <w:p w14:paraId="3BE83556"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r w:rsidRPr="009D0A4A">
              <w:rPr>
                <w:rFonts w:asciiTheme="minorHAnsi" w:hAnsiTheme="minorHAnsi" w:cstheme="minorHAnsi"/>
                <w:sz w:val="18"/>
                <w:szCs w:val="18"/>
              </w:rPr>
              <w:t>$120,000</w:t>
            </w:r>
            <w:r w:rsidRPr="009D0A4A">
              <w:rPr>
                <w:rStyle w:val="FootnoteReference"/>
                <w:rFonts w:asciiTheme="minorHAnsi" w:hAnsiTheme="minorHAnsi" w:cstheme="minorHAnsi"/>
                <w:sz w:val="18"/>
                <w:szCs w:val="18"/>
              </w:rPr>
              <w:footnoteReference w:id="31"/>
            </w:r>
          </w:p>
        </w:tc>
        <w:tc>
          <w:tcPr>
            <w:tcW w:w="1616" w:type="pct"/>
            <w:tcBorders>
              <w:top w:val="single" w:sz="8" w:space="0" w:color="D9D9D9"/>
              <w:left w:val="single" w:sz="8" w:space="0" w:color="D9D9D9"/>
              <w:right w:val="single" w:sz="8" w:space="0" w:color="D9D9D9"/>
            </w:tcBorders>
            <w:shd w:val="clear" w:color="auto" w:fill="FFFFFF" w:themeFill="background1"/>
            <w:vAlign w:val="center"/>
          </w:tcPr>
          <w:p w14:paraId="5652F324"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Cost of behaviour change initiative – planning and design</w:t>
            </w:r>
          </w:p>
          <w:p w14:paraId="4746902F"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w:t>
            </w:r>
          </w:p>
          <w:p w14:paraId="79162852"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Cost to plan and engage with behavioural insights consultants</w:t>
            </w:r>
          </w:p>
          <w:p w14:paraId="6215DC68" w14:textId="77777777" w:rsidR="00105526" w:rsidRPr="009D0A4A" w:rsidRDefault="00105526" w:rsidP="00FA6EE6">
            <w:pPr>
              <w:pStyle w:val="EYBulletnoparaspace"/>
              <w:numPr>
                <w:ilvl w:val="0"/>
                <w:numId w:val="0"/>
              </w:numPr>
              <w:spacing w:line="264" w:lineRule="auto"/>
              <w:ind w:right="269"/>
              <w:rPr>
                <w:rFonts w:asciiTheme="minorHAnsi" w:hAnsiTheme="minorHAnsi" w:cstheme="minorHAnsi"/>
                <w:color w:val="262626" w:themeColor="text1" w:themeTint="D9"/>
                <w:sz w:val="18"/>
                <w:szCs w:val="18"/>
              </w:rPr>
            </w:pPr>
          </w:p>
          <w:p w14:paraId="7BB55D1E" w14:textId="77777777" w:rsidR="00105526" w:rsidRPr="009D0A4A" w:rsidRDefault="00105526" w:rsidP="00FA6EE6">
            <w:pPr>
              <w:pStyle w:val="EYBulletnoparaspace"/>
              <w:numPr>
                <w:ilvl w:val="0"/>
                <w:numId w:val="0"/>
              </w:numPr>
              <w:spacing w:after="0" w:line="264" w:lineRule="auto"/>
              <w:ind w:right="130"/>
              <w:jc w:val="center"/>
              <w:rPr>
                <w:rFonts w:asciiTheme="minorHAnsi" w:hAnsiTheme="minorHAnsi" w:cstheme="minorHAnsi"/>
                <w:color w:val="262626" w:themeColor="text1" w:themeTint="D9"/>
                <w:sz w:val="18"/>
                <w:szCs w:val="18"/>
              </w:rPr>
            </w:pPr>
          </w:p>
        </w:tc>
      </w:tr>
      <w:tr w:rsidR="00105526" w:rsidRPr="009D0A4A" w14:paraId="7BC5746B" w14:textId="77777777" w:rsidTr="00D028B0">
        <w:trPr>
          <w:trHeight w:val="2541"/>
        </w:trPr>
        <w:tc>
          <w:tcPr>
            <w:tcW w:w="718" w:type="pc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6FFF25AD"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lastRenderedPageBreak/>
              <w:t xml:space="preserve">Behaviour change initiative – roll out across all industry sectors </w:t>
            </w:r>
          </w:p>
        </w:tc>
        <w:tc>
          <w:tcPr>
            <w:tcW w:w="867" w:type="pct"/>
            <w:tcBorders>
              <w:top w:val="single" w:sz="8" w:space="0" w:color="D9D9D9"/>
              <w:left w:val="single" w:sz="8" w:space="0" w:color="D9D9D9"/>
              <w:right w:val="single" w:sz="8" w:space="0" w:color="D9D9D9"/>
            </w:tcBorders>
            <w:shd w:val="clear" w:color="auto" w:fill="FFFFFF" w:themeFill="background1"/>
          </w:tcPr>
          <w:p w14:paraId="2A554194" w14:textId="77777777" w:rsidR="00105526" w:rsidRPr="009D0A4A" w:rsidRDefault="00105526" w:rsidP="00FA6EE6">
            <w:pPr>
              <w:pStyle w:val="BodyText"/>
              <w:ind w:left="157"/>
              <w:rPr>
                <w:rFonts w:cstheme="minorHAnsi"/>
                <w:color w:val="auto"/>
                <w:sz w:val="18"/>
                <w:szCs w:val="18"/>
              </w:rPr>
            </w:pPr>
            <w:r w:rsidRPr="009D0A4A">
              <w:rPr>
                <w:rFonts w:cstheme="minorHAnsi"/>
                <w:sz w:val="18"/>
                <w:szCs w:val="18"/>
              </w:rPr>
              <w:t>Costs related to the development and distribution of information for behaviour change and awareness campaigns</w:t>
            </w:r>
          </w:p>
        </w:tc>
        <w:tc>
          <w:tcPr>
            <w:tcW w:w="836" w:type="pct"/>
            <w:tcBorders>
              <w:top w:val="single" w:sz="8" w:space="0" w:color="D9D9D9"/>
              <w:left w:val="single" w:sz="8" w:space="0" w:color="D9D9D9"/>
              <w:right w:val="single" w:sz="8" w:space="0" w:color="D9D9D9"/>
            </w:tcBorders>
            <w:shd w:val="clear" w:color="auto" w:fill="FFFFFF" w:themeFill="background1"/>
          </w:tcPr>
          <w:p w14:paraId="23C19B9E" w14:textId="77777777" w:rsidR="00105526" w:rsidRPr="009D0A4A" w:rsidRDefault="00105526" w:rsidP="00FA6EE6">
            <w:pPr>
              <w:pStyle w:val="BodyText"/>
              <w:rPr>
                <w:rFonts w:cstheme="minorHAnsi"/>
                <w:b/>
                <w:bCs/>
                <w:sz w:val="18"/>
                <w:szCs w:val="18"/>
              </w:rPr>
            </w:pPr>
            <w:r w:rsidRPr="009D0A4A">
              <w:rPr>
                <w:rFonts w:cstheme="minorHAnsi"/>
                <w:sz w:val="18"/>
                <w:szCs w:val="18"/>
              </w:rPr>
              <w:t>Costs related to the development and distribution of information for behaviour change/awareness campaigns across seven jurisdictions ($)</w:t>
            </w:r>
          </w:p>
        </w:tc>
        <w:tc>
          <w:tcPr>
            <w:tcW w:w="963" w:type="pct"/>
            <w:tcBorders>
              <w:top w:val="single" w:sz="8" w:space="0" w:color="D9D9D9"/>
              <w:left w:val="single" w:sz="8" w:space="0" w:color="D9D9D9"/>
              <w:right w:val="single" w:sz="8" w:space="0" w:color="D9D9D9"/>
            </w:tcBorders>
            <w:shd w:val="clear" w:color="auto" w:fill="FFFFFF" w:themeFill="background1"/>
            <w:vAlign w:val="center"/>
          </w:tcPr>
          <w:p w14:paraId="557BAF80" w14:textId="77777777" w:rsidR="00105526" w:rsidRPr="009D0A4A" w:rsidRDefault="00105526" w:rsidP="00FA6EE6">
            <w:pPr>
              <w:pStyle w:val="EYBulletnoparaspace"/>
              <w:numPr>
                <w:ilvl w:val="0"/>
                <w:numId w:val="0"/>
              </w:numPr>
              <w:spacing w:line="264" w:lineRule="auto"/>
              <w:ind w:left="425" w:right="130" w:hanging="425"/>
              <w:jc w:val="center"/>
              <w:rPr>
                <w:rFonts w:asciiTheme="minorHAnsi" w:hAnsiTheme="minorHAnsi" w:cstheme="minorHAnsi"/>
                <w:b/>
                <w:bCs/>
                <w:sz w:val="18"/>
                <w:szCs w:val="18"/>
              </w:rPr>
            </w:pPr>
            <w:r w:rsidRPr="009D0A4A">
              <w:rPr>
                <w:rFonts w:asciiTheme="minorHAnsi" w:hAnsiTheme="minorHAnsi" w:cstheme="minorHAnsi"/>
                <w:sz w:val="18"/>
                <w:szCs w:val="18"/>
              </w:rPr>
              <w:t>$840,000</w:t>
            </w:r>
            <w:r w:rsidRPr="009D0A4A">
              <w:rPr>
                <w:rStyle w:val="FootnoteReference"/>
                <w:rFonts w:asciiTheme="minorHAnsi" w:hAnsiTheme="minorHAnsi" w:cstheme="minorHAnsi"/>
                <w:sz w:val="18"/>
                <w:szCs w:val="18"/>
              </w:rPr>
              <w:footnoteReference w:id="32"/>
            </w:r>
          </w:p>
        </w:tc>
        <w:tc>
          <w:tcPr>
            <w:tcW w:w="1616" w:type="pct"/>
            <w:tcBorders>
              <w:top w:val="single" w:sz="8" w:space="0" w:color="D9D9D9"/>
              <w:left w:val="single" w:sz="8" w:space="0" w:color="D9D9D9"/>
              <w:right w:val="single" w:sz="8" w:space="0" w:color="D9D9D9"/>
            </w:tcBorders>
            <w:shd w:val="clear" w:color="auto" w:fill="FFFFFF" w:themeFill="background1"/>
            <w:vAlign w:val="center"/>
          </w:tcPr>
          <w:p w14:paraId="050896B3"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Cost of behaviour change initiative – roll out across industry sectors</w:t>
            </w:r>
          </w:p>
          <w:p w14:paraId="3589F24C"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082119F7" w14:textId="77777777" w:rsidR="00105526" w:rsidRPr="009D0A4A" w:rsidRDefault="00105526" w:rsidP="00FA6EE6">
            <w:pPr>
              <w:pStyle w:val="EYBulletnoparaspace"/>
              <w:numPr>
                <w:ilvl w:val="0"/>
                <w:numId w:val="0"/>
              </w:numPr>
              <w:spacing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Cost to rollout behaviour change initiatives</w:t>
            </w:r>
          </w:p>
          <w:p w14:paraId="78EDCFBA" w14:textId="77777777" w:rsidR="00105526" w:rsidRPr="009D0A4A" w:rsidRDefault="00105526" w:rsidP="00FA6EE6">
            <w:pPr>
              <w:pStyle w:val="EYBulletnoparaspace"/>
              <w:numPr>
                <w:ilvl w:val="0"/>
                <w:numId w:val="0"/>
              </w:numPr>
              <w:spacing w:after="120"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x</w:t>
            </w:r>
          </w:p>
          <w:p w14:paraId="5646F8D9" w14:textId="77777777" w:rsidR="00105526" w:rsidRPr="009D0A4A" w:rsidRDefault="00105526" w:rsidP="00FA6EE6">
            <w:pPr>
              <w:pStyle w:val="EYBulletnoparaspace"/>
              <w:numPr>
                <w:ilvl w:val="0"/>
                <w:numId w:val="0"/>
              </w:numPr>
              <w:spacing w:after="0" w:line="264" w:lineRule="auto"/>
              <w:ind w:right="130"/>
              <w:jc w:val="center"/>
              <w:rPr>
                <w:rFonts w:asciiTheme="minorHAnsi" w:hAnsiTheme="minorHAnsi" w:cstheme="minorHAnsi"/>
                <w:b/>
                <w:bCs/>
                <w:color w:val="262626" w:themeColor="text1" w:themeTint="D9"/>
                <w:sz w:val="18"/>
                <w:szCs w:val="18"/>
              </w:rPr>
            </w:pPr>
            <w:r w:rsidRPr="009D0A4A">
              <w:rPr>
                <w:rFonts w:asciiTheme="minorHAnsi" w:hAnsiTheme="minorHAnsi" w:cstheme="minorHAnsi"/>
                <w:sz w:val="18"/>
                <w:szCs w:val="18"/>
              </w:rPr>
              <w:t>Number of jurisdictions</w:t>
            </w:r>
          </w:p>
        </w:tc>
      </w:tr>
      <w:tr w:rsidR="00105526" w:rsidRPr="009D0A4A" w14:paraId="468F4D33" w14:textId="77777777" w:rsidTr="00D028B0">
        <w:trPr>
          <w:trHeight w:val="139"/>
        </w:trPr>
        <w:tc>
          <w:tcPr>
            <w:tcW w:w="5000" w:type="pct"/>
            <w:gridSpan w:val="5"/>
            <w:tcBorders>
              <w:top w:val="single" w:sz="8" w:space="0" w:color="D9D9D9"/>
              <w:left w:val="single" w:sz="8" w:space="0" w:color="D9D9D9"/>
              <w:right w:val="single" w:sz="8" w:space="0" w:color="D9D9D9"/>
            </w:tcBorders>
            <w:shd w:val="clear" w:color="auto" w:fill="BFBFBF" w:themeFill="background1" w:themeFillShade="BF"/>
            <w:tcMar>
              <w:top w:w="72" w:type="dxa"/>
              <w:left w:w="144" w:type="dxa"/>
              <w:bottom w:w="72" w:type="dxa"/>
              <w:right w:w="144" w:type="dxa"/>
            </w:tcMar>
            <w:vAlign w:val="center"/>
          </w:tcPr>
          <w:p w14:paraId="61103A09" w14:textId="77777777" w:rsidR="00105526" w:rsidRPr="009D0A4A" w:rsidRDefault="00105526" w:rsidP="00FA6EE6">
            <w:pPr>
              <w:pStyle w:val="EYBulletnoparaspace"/>
              <w:numPr>
                <w:ilvl w:val="0"/>
                <w:numId w:val="0"/>
              </w:numPr>
              <w:spacing w:after="120" w:line="264" w:lineRule="auto"/>
              <w:ind w:left="425" w:right="130" w:hanging="425"/>
              <w:rPr>
                <w:rFonts w:asciiTheme="majorHAnsi" w:hAnsiTheme="majorHAnsi" w:cstheme="minorHAnsi"/>
                <w:b/>
                <w:bCs/>
                <w:color w:val="262626" w:themeColor="text1" w:themeTint="D9"/>
                <w:sz w:val="18"/>
                <w:szCs w:val="18"/>
              </w:rPr>
            </w:pPr>
            <w:r w:rsidRPr="009D0A4A">
              <w:rPr>
                <w:rFonts w:asciiTheme="majorHAnsi" w:hAnsiTheme="majorHAnsi" w:cstheme="minorHAnsi"/>
                <w:b/>
                <w:bCs/>
                <w:i/>
                <w:iCs/>
                <w:color w:val="262626" w:themeColor="text1" w:themeTint="D9"/>
                <w:sz w:val="18"/>
                <w:szCs w:val="18"/>
              </w:rPr>
              <w:t>Option 3</w:t>
            </w:r>
          </w:p>
        </w:tc>
      </w:tr>
      <w:tr w:rsidR="00105526" w:rsidRPr="009D0A4A" w14:paraId="2BC5B519" w14:textId="77777777" w:rsidTr="00D028B0">
        <w:trPr>
          <w:trHeight w:val="2493"/>
        </w:trPr>
        <w:tc>
          <w:tcPr>
            <w:tcW w:w="718" w:type="pc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7961128F"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Awareness campaign</w:t>
            </w:r>
          </w:p>
        </w:tc>
        <w:tc>
          <w:tcPr>
            <w:tcW w:w="867" w:type="pct"/>
            <w:tcBorders>
              <w:top w:val="single" w:sz="8" w:space="0" w:color="D9D9D9"/>
              <w:left w:val="single" w:sz="8" w:space="0" w:color="D9D9D9"/>
              <w:right w:val="single" w:sz="8" w:space="0" w:color="D9D9D9"/>
            </w:tcBorders>
            <w:shd w:val="clear" w:color="auto" w:fill="FFFFFF" w:themeFill="background1"/>
          </w:tcPr>
          <w:p w14:paraId="1C11FEAC" w14:textId="77777777" w:rsidR="00105526" w:rsidRPr="009D0A4A" w:rsidRDefault="00105526" w:rsidP="00FA6EE6">
            <w:pPr>
              <w:pStyle w:val="EYBulletnoparaspace"/>
              <w:numPr>
                <w:ilvl w:val="0"/>
                <w:numId w:val="0"/>
              </w:numPr>
              <w:spacing w:line="264" w:lineRule="auto"/>
              <w:ind w:left="134"/>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Cost of education/awareness campaign to inform PCBUs and other relevant duty holders of requirements resulting from regulatory changes</w:t>
            </w:r>
          </w:p>
        </w:tc>
        <w:tc>
          <w:tcPr>
            <w:tcW w:w="836" w:type="pct"/>
            <w:tcBorders>
              <w:top w:val="single" w:sz="8" w:space="0" w:color="D9D9D9"/>
              <w:left w:val="single" w:sz="8" w:space="0" w:color="D9D9D9"/>
              <w:right w:val="single" w:sz="8" w:space="0" w:color="D9D9D9"/>
            </w:tcBorders>
            <w:shd w:val="clear" w:color="auto" w:fill="FFFFFF" w:themeFill="background1"/>
          </w:tcPr>
          <w:p w14:paraId="7963D6BC" w14:textId="77777777" w:rsidR="00105526" w:rsidRPr="009D0A4A" w:rsidRDefault="00105526" w:rsidP="00FA6EE6">
            <w:pPr>
              <w:pStyle w:val="BodyText"/>
              <w:rPr>
                <w:rFonts w:cstheme="minorHAnsi"/>
                <w:b/>
                <w:bCs/>
                <w:sz w:val="18"/>
                <w:szCs w:val="18"/>
              </w:rPr>
            </w:pPr>
            <w:r w:rsidRPr="009D0A4A">
              <w:rPr>
                <w:rFonts w:cstheme="minorHAnsi"/>
                <w:sz w:val="18"/>
                <w:szCs w:val="18"/>
              </w:rPr>
              <w:t>Cost of education/awareness campaign to inform PCBUs and other relevant duty holders of requirements resulting from regulatory changes ($)</w:t>
            </w:r>
          </w:p>
        </w:tc>
        <w:tc>
          <w:tcPr>
            <w:tcW w:w="963" w:type="pct"/>
            <w:tcBorders>
              <w:top w:val="single" w:sz="8" w:space="0" w:color="D9D9D9"/>
              <w:left w:val="single" w:sz="8" w:space="0" w:color="D9D9D9"/>
              <w:right w:val="single" w:sz="8" w:space="0" w:color="D9D9D9"/>
            </w:tcBorders>
            <w:shd w:val="clear" w:color="auto" w:fill="FFFFFF" w:themeFill="background1"/>
            <w:vAlign w:val="center"/>
          </w:tcPr>
          <w:p w14:paraId="0631EABA" w14:textId="77777777" w:rsidR="00105526" w:rsidRPr="009D0A4A" w:rsidRDefault="00105526" w:rsidP="00FA6EE6">
            <w:pPr>
              <w:pStyle w:val="EYBulletnoparaspace"/>
              <w:numPr>
                <w:ilvl w:val="0"/>
                <w:numId w:val="0"/>
              </w:numPr>
              <w:spacing w:line="264" w:lineRule="auto"/>
              <w:ind w:left="134" w:right="130"/>
              <w:jc w:val="center"/>
              <w:rPr>
                <w:rFonts w:asciiTheme="minorHAnsi" w:hAnsiTheme="minorHAnsi" w:cstheme="minorHAnsi"/>
                <w:b/>
                <w:bCs/>
                <w:sz w:val="18"/>
                <w:szCs w:val="18"/>
              </w:rPr>
            </w:pPr>
            <w:r w:rsidRPr="009D0A4A">
              <w:rPr>
                <w:rFonts w:asciiTheme="minorHAnsi" w:hAnsiTheme="minorHAnsi" w:cstheme="minorHAnsi"/>
                <w:sz w:val="18"/>
                <w:szCs w:val="18"/>
              </w:rPr>
              <w:t>$120,000</w:t>
            </w:r>
            <w:r w:rsidRPr="009D0A4A">
              <w:rPr>
                <w:rStyle w:val="FootnoteReference"/>
                <w:rFonts w:asciiTheme="minorHAnsi" w:hAnsiTheme="minorHAnsi" w:cstheme="minorHAnsi"/>
                <w:sz w:val="18"/>
                <w:szCs w:val="18"/>
              </w:rPr>
              <w:footnoteReference w:id="33"/>
            </w:r>
          </w:p>
        </w:tc>
        <w:tc>
          <w:tcPr>
            <w:tcW w:w="1616" w:type="pct"/>
            <w:tcBorders>
              <w:top w:val="single" w:sz="8" w:space="0" w:color="D9D9D9"/>
              <w:left w:val="single" w:sz="8" w:space="0" w:color="D9D9D9"/>
              <w:right w:val="single" w:sz="8" w:space="0" w:color="D9D9D9"/>
            </w:tcBorders>
            <w:shd w:val="clear" w:color="auto" w:fill="FFFFFF" w:themeFill="background1"/>
            <w:vAlign w:val="center"/>
            <w:hideMark/>
          </w:tcPr>
          <w:p w14:paraId="4406A1EF" w14:textId="77777777" w:rsidR="00105526" w:rsidRPr="009D0A4A" w:rsidRDefault="00105526" w:rsidP="00FA6EE6">
            <w:pPr>
              <w:pStyle w:val="EYBulletnoparaspace"/>
              <w:numPr>
                <w:ilvl w:val="0"/>
                <w:numId w:val="0"/>
              </w:numPr>
              <w:spacing w:line="264" w:lineRule="auto"/>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Cost of awareness campaign</w:t>
            </w:r>
          </w:p>
          <w:p w14:paraId="4D7F28C9" w14:textId="77777777" w:rsidR="00105526" w:rsidRPr="009D0A4A" w:rsidRDefault="00105526" w:rsidP="00FA6EE6">
            <w:pPr>
              <w:pStyle w:val="EYBulletnoparaspace"/>
              <w:numPr>
                <w:ilvl w:val="0"/>
                <w:numId w:val="0"/>
              </w:numPr>
              <w:spacing w:line="264" w:lineRule="auto"/>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224C947E" w14:textId="77777777" w:rsidR="00105526" w:rsidRPr="009D0A4A" w:rsidRDefault="00105526" w:rsidP="00FA6EE6">
            <w:pPr>
              <w:pStyle w:val="EYBulletnoparaspace"/>
              <w:numPr>
                <w:ilvl w:val="0"/>
                <w:numId w:val="0"/>
              </w:numPr>
              <w:spacing w:line="264" w:lineRule="auto"/>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Cost of national awareness campaign</w:t>
            </w:r>
          </w:p>
          <w:p w14:paraId="6EE967B5" w14:textId="77777777" w:rsidR="00105526" w:rsidRPr="009D0A4A" w:rsidRDefault="00105526" w:rsidP="00FA6EE6">
            <w:pPr>
              <w:pStyle w:val="EYBulletnoparaspace"/>
              <w:numPr>
                <w:ilvl w:val="0"/>
                <w:numId w:val="0"/>
              </w:numPr>
              <w:spacing w:line="264" w:lineRule="auto"/>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0B3C84F7" w14:textId="77777777" w:rsidR="00105526" w:rsidRPr="009D0A4A" w:rsidRDefault="00105526" w:rsidP="00FA6EE6">
            <w:pPr>
              <w:pStyle w:val="EYBulletnoparaspace"/>
              <w:numPr>
                <w:ilvl w:val="0"/>
                <w:numId w:val="0"/>
              </w:numPr>
              <w:spacing w:after="120" w:line="264" w:lineRule="auto"/>
              <w:ind w:right="130"/>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Frequency of campaign (year 1 only)</w:t>
            </w:r>
          </w:p>
        </w:tc>
      </w:tr>
      <w:tr w:rsidR="00105526" w:rsidRPr="009D0A4A" w14:paraId="4547B40E" w14:textId="77777777" w:rsidTr="00D028B0">
        <w:trPr>
          <w:trHeight w:val="480"/>
        </w:trPr>
        <w:tc>
          <w:tcPr>
            <w:tcW w:w="5000" w:type="pct"/>
            <w:gridSpan w:val="5"/>
            <w:tcBorders>
              <w:top w:val="single" w:sz="8" w:space="0" w:color="D9D9D9"/>
              <w:left w:val="single" w:sz="8" w:space="0" w:color="D9D9D9"/>
              <w:right w:val="single" w:sz="8" w:space="0" w:color="D9D9D9"/>
            </w:tcBorders>
            <w:shd w:val="clear" w:color="auto" w:fill="BFBFBF" w:themeFill="background1" w:themeFillShade="BF"/>
            <w:tcMar>
              <w:top w:w="72" w:type="dxa"/>
              <w:left w:w="144" w:type="dxa"/>
              <w:bottom w:w="72" w:type="dxa"/>
              <w:right w:w="144" w:type="dxa"/>
            </w:tcMar>
            <w:vAlign w:val="center"/>
          </w:tcPr>
          <w:p w14:paraId="5AC150DA" w14:textId="77777777" w:rsidR="00105526" w:rsidRPr="009D0A4A" w:rsidRDefault="00105526" w:rsidP="00FA6EE6">
            <w:pPr>
              <w:pStyle w:val="EYBulletnoparaspace"/>
              <w:numPr>
                <w:ilvl w:val="0"/>
                <w:numId w:val="0"/>
              </w:numPr>
              <w:spacing w:after="120" w:line="264" w:lineRule="auto"/>
              <w:ind w:left="425" w:right="130" w:hanging="425"/>
              <w:rPr>
                <w:rFonts w:asciiTheme="majorHAnsi" w:hAnsiTheme="majorHAnsi" w:cstheme="minorHAnsi"/>
                <w:b/>
                <w:bCs/>
                <w:color w:val="262626" w:themeColor="text1" w:themeTint="D9"/>
                <w:sz w:val="18"/>
                <w:szCs w:val="18"/>
                <w:u w:val="single"/>
              </w:rPr>
            </w:pPr>
            <w:r w:rsidRPr="009D0A4A">
              <w:rPr>
                <w:rFonts w:asciiTheme="majorHAnsi" w:hAnsiTheme="majorHAnsi" w:cstheme="minorHAnsi"/>
                <w:b/>
                <w:bCs/>
                <w:i/>
                <w:iCs/>
                <w:color w:val="262626" w:themeColor="text1" w:themeTint="D9"/>
                <w:sz w:val="18"/>
                <w:szCs w:val="18"/>
              </w:rPr>
              <w:t>Option 4</w:t>
            </w:r>
          </w:p>
        </w:tc>
      </w:tr>
      <w:tr w:rsidR="00F90D6F" w:rsidRPr="009D0A4A" w14:paraId="55EE53CF" w14:textId="77777777" w:rsidTr="00D028B0">
        <w:trPr>
          <w:trHeight w:val="1364"/>
        </w:trPr>
        <w:tc>
          <w:tcPr>
            <w:tcW w:w="718"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tcPr>
          <w:p w14:paraId="6AD35666" w14:textId="171029B4" w:rsidR="00F90D6F" w:rsidRPr="009D0A4A" w:rsidRDefault="00F90D6F" w:rsidP="00F90D6F">
            <w:pPr>
              <w:pStyle w:val="EYBulletnoparaspace"/>
              <w:numPr>
                <w:ilvl w:val="0"/>
                <w:numId w:val="0"/>
              </w:numPr>
              <w:spacing w:line="264" w:lineRule="auto"/>
              <w:rPr>
                <w:rFonts w:asciiTheme="minorHAnsi" w:hAnsiTheme="minorHAnsi" w:cstheme="minorHAnsi"/>
                <w:i/>
                <w:iCs/>
                <w:color w:val="262626" w:themeColor="text1" w:themeTint="D9"/>
                <w:sz w:val="18"/>
                <w:szCs w:val="18"/>
              </w:rPr>
            </w:pPr>
            <w:bookmarkStart w:id="688" w:name="_Hlk103771175"/>
            <w:r w:rsidRPr="009D0A4A">
              <w:rPr>
                <w:rFonts w:asciiTheme="minorHAnsi" w:eastAsiaTheme="minorHAnsi" w:hAnsiTheme="minorHAnsi" w:cstheme="minorHAnsi"/>
                <w:color w:val="262626" w:themeColor="text1" w:themeTint="D9"/>
                <w:sz w:val="18"/>
                <w:szCs w:val="18"/>
              </w:rPr>
              <w:t>Development, implementation, and maintenance of a system for administration of licensing framework</w:t>
            </w:r>
            <w:bookmarkEnd w:id="688"/>
          </w:p>
        </w:tc>
        <w:tc>
          <w:tcPr>
            <w:tcW w:w="867" w:type="pct"/>
            <w:vMerge w:val="restart"/>
            <w:tcBorders>
              <w:top w:val="single" w:sz="8" w:space="0" w:color="D9D9D9"/>
              <w:left w:val="single" w:sz="8" w:space="0" w:color="D9D9D9"/>
              <w:right w:val="single" w:sz="8" w:space="0" w:color="D9D9D9"/>
            </w:tcBorders>
            <w:shd w:val="clear" w:color="auto" w:fill="FFFFFF" w:themeFill="background1"/>
          </w:tcPr>
          <w:p w14:paraId="48A674AD" w14:textId="27AF4FE9" w:rsidR="00F90D6F" w:rsidRPr="009D0A4A" w:rsidRDefault="00F90D6F" w:rsidP="00F90D6F">
            <w:pPr>
              <w:pStyle w:val="BodyText"/>
              <w:ind w:left="157"/>
              <w:rPr>
                <w:rFonts w:cstheme="minorHAnsi"/>
                <w:color w:val="auto"/>
                <w:sz w:val="18"/>
                <w:szCs w:val="18"/>
              </w:rPr>
            </w:pPr>
            <w:r w:rsidRPr="009D0A4A">
              <w:rPr>
                <w:rFonts w:cstheme="minorHAnsi"/>
                <w:sz w:val="18"/>
                <w:szCs w:val="18"/>
              </w:rPr>
              <w:t xml:space="preserve">Cost of developing of a licensing platform(s) and implementation across in each jurisdiction. </w:t>
            </w:r>
            <w:r w:rsidRPr="009D0A4A">
              <w:rPr>
                <w:rFonts w:cstheme="minorHAnsi"/>
                <w:sz w:val="18"/>
                <w:szCs w:val="18"/>
              </w:rPr>
              <w:br/>
            </w:r>
          </w:p>
        </w:tc>
        <w:tc>
          <w:tcPr>
            <w:tcW w:w="836"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34D6E0CC" w14:textId="0B996368" w:rsidR="00F90D6F" w:rsidRPr="009D0A4A" w:rsidRDefault="00F90D6F" w:rsidP="00F90D6F">
            <w:pPr>
              <w:pStyle w:val="BodyText"/>
              <w:rPr>
                <w:rFonts w:cstheme="minorHAnsi"/>
                <w:b/>
                <w:bCs/>
                <w:sz w:val="18"/>
                <w:szCs w:val="18"/>
              </w:rPr>
            </w:pPr>
            <w:r w:rsidRPr="009D0A4A">
              <w:rPr>
                <w:rFonts w:cstheme="minorHAnsi"/>
                <w:sz w:val="18"/>
                <w:szCs w:val="18"/>
              </w:rPr>
              <w:t>Cost of developing of a licensing platform(s)</w:t>
            </w:r>
          </w:p>
        </w:tc>
        <w:tc>
          <w:tcPr>
            <w:tcW w:w="96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327AC4AE" w14:textId="33805ED1" w:rsidR="00F90D6F" w:rsidRPr="009D0A4A" w:rsidRDefault="00F90D6F" w:rsidP="00733855">
            <w:pPr>
              <w:pStyle w:val="EYBulletnoparaspace"/>
              <w:numPr>
                <w:ilvl w:val="0"/>
                <w:numId w:val="0"/>
              </w:numPr>
              <w:spacing w:line="264" w:lineRule="auto"/>
              <w:ind w:left="425" w:right="269" w:hanging="425"/>
              <w:jc w:val="center"/>
              <w:rPr>
                <w:rFonts w:asciiTheme="minorHAnsi" w:hAnsiTheme="minorHAnsi" w:cstheme="minorHAnsi"/>
                <w:b/>
                <w:bCs/>
                <w:sz w:val="18"/>
                <w:szCs w:val="18"/>
              </w:rPr>
            </w:pPr>
            <w:r w:rsidRPr="009D0A4A">
              <w:rPr>
                <w:rFonts w:asciiTheme="minorHAnsi" w:hAnsiTheme="minorHAnsi" w:cstheme="minorHAnsi"/>
                <w:sz w:val="18"/>
                <w:szCs w:val="18"/>
              </w:rPr>
              <w:t>$750,000</w:t>
            </w:r>
            <w:r w:rsidR="00733855" w:rsidRPr="009D0A4A">
              <w:t xml:space="preserve"> </w:t>
            </w:r>
            <w:r w:rsidR="00733855"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{"citationID":"kJ6OfcGu","properties":{"formattedCitation":"(Deloitte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00733855" w:rsidRPr="009D0A4A">
              <w:rPr>
                <w:rFonts w:asciiTheme="minorHAnsi" w:hAnsiTheme="minorHAnsi" w:cstheme="minorHAnsi"/>
                <w:sz w:val="18"/>
                <w:szCs w:val="18"/>
              </w:rPr>
              <w:fldChar w:fldCharType="separate"/>
            </w:r>
            <w:r w:rsidR="006B4A7D" w:rsidRPr="009D0A4A">
              <w:rPr>
                <w:rFonts w:ascii="Calibri" w:hAnsi="Calibri" w:cs="Calibri"/>
                <w:sz w:val="18"/>
              </w:rPr>
              <w:t>(Deloitte 2021)</w:t>
            </w:r>
            <w:r w:rsidR="00733855" w:rsidRPr="009D0A4A">
              <w:rPr>
                <w:rFonts w:asciiTheme="minorHAnsi" w:hAnsiTheme="minorHAnsi" w:cstheme="minorHAnsi"/>
                <w:sz w:val="18"/>
                <w:szCs w:val="18"/>
              </w:rPr>
              <w:fldChar w:fldCharType="end"/>
            </w:r>
          </w:p>
        </w:tc>
        <w:tc>
          <w:tcPr>
            <w:tcW w:w="1616" w:type="pct"/>
            <w:vMerge w:val="restart"/>
            <w:tcBorders>
              <w:top w:val="single" w:sz="8" w:space="0" w:color="D9D9D9"/>
              <w:left w:val="single" w:sz="8" w:space="0" w:color="D9D9D9"/>
              <w:right w:val="single" w:sz="8" w:space="0" w:color="D9D9D9"/>
            </w:tcBorders>
            <w:shd w:val="clear" w:color="auto" w:fill="FFFFFF" w:themeFill="background1"/>
            <w:vAlign w:val="center"/>
          </w:tcPr>
          <w:p w14:paraId="2AD8277F" w14:textId="089749F7" w:rsidR="00F90D6F" w:rsidRPr="009D0A4A" w:rsidRDefault="00F90D6F" w:rsidP="00F90D6F">
            <w:pPr>
              <w:pStyle w:val="EYBulletnoparaspace"/>
              <w:numPr>
                <w:ilvl w:val="0"/>
                <w:numId w:val="0"/>
              </w:numPr>
              <w:spacing w:line="264" w:lineRule="auto"/>
              <w:jc w:val="center"/>
              <w:rPr>
                <w:rFonts w:asciiTheme="minorHAnsi" w:hAnsiTheme="minorHAnsi" w:cstheme="minorHAnsi"/>
                <w:b/>
                <w:bCs/>
                <w:sz w:val="18"/>
                <w:szCs w:val="18"/>
              </w:rPr>
            </w:pPr>
            <w:r w:rsidRPr="009D0A4A">
              <w:rPr>
                <w:rFonts w:asciiTheme="minorHAnsi" w:hAnsiTheme="minorHAnsi" w:cstheme="minorHAnsi"/>
                <w:b/>
                <w:bCs/>
                <w:sz w:val="18"/>
                <w:szCs w:val="18"/>
              </w:rPr>
              <w:t xml:space="preserve">Cost of developing of a licensing platform </w:t>
            </w:r>
          </w:p>
          <w:p w14:paraId="416FF646" w14:textId="77777777" w:rsidR="00F90D6F" w:rsidRPr="009D0A4A" w:rsidRDefault="00F90D6F" w:rsidP="00F90D6F">
            <w:pPr>
              <w:pStyle w:val="EYBulletnoparaspace"/>
              <w:numPr>
                <w:ilvl w:val="0"/>
                <w:numId w:val="0"/>
              </w:numPr>
              <w:spacing w:line="264" w:lineRule="auto"/>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w:t>
            </w:r>
          </w:p>
          <w:p w14:paraId="7F47ABAD" w14:textId="45BFB137" w:rsidR="00F90D6F" w:rsidRPr="009D0A4A" w:rsidRDefault="00F90D6F" w:rsidP="00F90D6F">
            <w:pPr>
              <w:pStyle w:val="EYBulletnoparaspace"/>
              <w:numPr>
                <w:ilvl w:val="0"/>
                <w:numId w:val="0"/>
              </w:numPr>
              <w:spacing w:line="264" w:lineRule="auto"/>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Cost to acquire online licensing portal</w:t>
            </w:r>
          </w:p>
          <w:p w14:paraId="7B91FA4A" w14:textId="77777777" w:rsidR="00F90D6F" w:rsidRPr="009D0A4A" w:rsidRDefault="00F90D6F" w:rsidP="00F90D6F">
            <w:pPr>
              <w:pStyle w:val="EYBulletnoparaspace"/>
              <w:numPr>
                <w:ilvl w:val="0"/>
                <w:numId w:val="0"/>
              </w:numPr>
              <w:spacing w:line="264" w:lineRule="auto"/>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2A3BDF32" w14:textId="77777777" w:rsidR="00F90D6F" w:rsidRPr="009D0A4A" w:rsidRDefault="00F90D6F" w:rsidP="00F90D6F">
            <w:pPr>
              <w:pStyle w:val="EYBulletnoparaspace"/>
              <w:numPr>
                <w:ilvl w:val="0"/>
                <w:numId w:val="0"/>
              </w:numPr>
              <w:spacing w:after="120" w:line="264" w:lineRule="auto"/>
              <w:ind w:right="130"/>
              <w:jc w:val="center"/>
              <w:rPr>
                <w:rFonts w:asciiTheme="minorHAnsi" w:hAnsiTheme="minorHAnsi" w:cstheme="minorHAnsi"/>
                <w:color w:val="262626" w:themeColor="text1" w:themeTint="D9"/>
                <w:sz w:val="18"/>
                <w:szCs w:val="18"/>
                <w:u w:val="single"/>
              </w:rPr>
            </w:pPr>
            <w:r w:rsidRPr="009D0A4A">
              <w:rPr>
                <w:rFonts w:asciiTheme="minorHAnsi" w:hAnsiTheme="minorHAnsi" w:cstheme="minorHAnsi"/>
                <w:sz w:val="18"/>
                <w:szCs w:val="18"/>
              </w:rPr>
              <w:t>Number of jurisdictions (excluding Victoria)</w:t>
            </w:r>
          </w:p>
        </w:tc>
      </w:tr>
      <w:tr w:rsidR="00105526" w:rsidRPr="009D0A4A" w14:paraId="25C7AC84" w14:textId="77777777" w:rsidTr="00D028B0">
        <w:trPr>
          <w:trHeight w:val="1341"/>
        </w:trPr>
        <w:tc>
          <w:tcPr>
            <w:tcW w:w="718"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33121374"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867" w:type="pct"/>
            <w:vMerge/>
            <w:tcBorders>
              <w:left w:val="single" w:sz="8" w:space="0" w:color="D9D9D9"/>
              <w:right w:val="single" w:sz="8" w:space="0" w:color="D9D9D9"/>
            </w:tcBorders>
            <w:shd w:val="clear" w:color="auto" w:fill="FFFFFF" w:themeFill="background1"/>
          </w:tcPr>
          <w:p w14:paraId="57810827" w14:textId="77777777" w:rsidR="00105526" w:rsidRPr="009D0A4A" w:rsidRDefault="00105526" w:rsidP="00FA6EE6">
            <w:pPr>
              <w:pStyle w:val="BodyText"/>
              <w:ind w:left="157"/>
              <w:rPr>
                <w:rFonts w:cstheme="minorHAnsi"/>
                <w:color w:val="auto"/>
                <w:sz w:val="18"/>
                <w:szCs w:val="18"/>
              </w:rPr>
            </w:pPr>
          </w:p>
        </w:tc>
        <w:tc>
          <w:tcPr>
            <w:tcW w:w="836" w:type="pct"/>
            <w:tcBorders>
              <w:top w:val="single" w:sz="8" w:space="0" w:color="D9D9D9"/>
              <w:left w:val="single" w:sz="8" w:space="0" w:color="D9D9D9"/>
              <w:right w:val="single" w:sz="8" w:space="0" w:color="D9D9D9"/>
            </w:tcBorders>
            <w:shd w:val="clear" w:color="auto" w:fill="FFFFFF" w:themeFill="background1"/>
          </w:tcPr>
          <w:p w14:paraId="0C22B728" w14:textId="665BC970" w:rsidR="00105526" w:rsidRPr="009D0A4A" w:rsidRDefault="00105526" w:rsidP="00FA6EE6">
            <w:pPr>
              <w:pStyle w:val="BodyText"/>
              <w:rPr>
                <w:rFonts w:cstheme="minorHAnsi"/>
                <w:b/>
                <w:bCs/>
                <w:sz w:val="18"/>
                <w:szCs w:val="18"/>
              </w:rPr>
            </w:pPr>
            <w:r w:rsidRPr="009D0A4A">
              <w:rPr>
                <w:rFonts w:cstheme="minorHAnsi"/>
                <w:color w:val="auto"/>
                <w:sz w:val="18"/>
                <w:szCs w:val="18"/>
              </w:rPr>
              <w:t>Number</w:t>
            </w:r>
            <w:r w:rsidR="004E3E36" w:rsidRPr="009D0A4A">
              <w:rPr>
                <w:rFonts w:cstheme="minorHAnsi"/>
                <w:color w:val="auto"/>
                <w:sz w:val="18"/>
                <w:szCs w:val="18"/>
              </w:rPr>
              <w:t xml:space="preserve"> of</w:t>
            </w:r>
            <w:r w:rsidRPr="009D0A4A">
              <w:rPr>
                <w:rFonts w:cstheme="minorHAnsi"/>
                <w:color w:val="auto"/>
                <w:sz w:val="18"/>
                <w:szCs w:val="18"/>
              </w:rPr>
              <w:t xml:space="preserve"> jurisdictions </w:t>
            </w:r>
            <w:r w:rsidRPr="009D0A4A">
              <w:rPr>
                <w:rFonts w:cstheme="minorHAnsi"/>
                <w:sz w:val="18"/>
                <w:szCs w:val="18"/>
              </w:rPr>
              <w:t>(excluding Victoria) (#)</w:t>
            </w:r>
          </w:p>
        </w:tc>
        <w:tc>
          <w:tcPr>
            <w:tcW w:w="963" w:type="pct"/>
            <w:tcBorders>
              <w:top w:val="single" w:sz="8" w:space="0" w:color="D9D9D9"/>
              <w:left w:val="single" w:sz="8" w:space="0" w:color="D9D9D9"/>
              <w:right w:val="single" w:sz="8" w:space="0" w:color="D9D9D9"/>
            </w:tcBorders>
            <w:shd w:val="clear" w:color="auto" w:fill="FFFFFF" w:themeFill="background1"/>
            <w:vAlign w:val="center"/>
          </w:tcPr>
          <w:p w14:paraId="2AD93E18" w14:textId="77777777" w:rsidR="00105526" w:rsidRPr="009D0A4A" w:rsidRDefault="00105526" w:rsidP="00FA6EE6">
            <w:pPr>
              <w:pStyle w:val="EYBulletnoparaspace"/>
              <w:numPr>
                <w:ilvl w:val="0"/>
                <w:numId w:val="0"/>
              </w:numPr>
              <w:spacing w:line="264" w:lineRule="auto"/>
              <w:ind w:left="134" w:right="269"/>
              <w:jc w:val="center"/>
              <w:rPr>
                <w:rFonts w:asciiTheme="minorHAnsi" w:hAnsiTheme="minorHAnsi" w:cstheme="minorHAnsi"/>
                <w:b/>
                <w:bCs/>
                <w:sz w:val="18"/>
                <w:szCs w:val="18"/>
              </w:rPr>
            </w:pPr>
            <w:r w:rsidRPr="009D0A4A">
              <w:rPr>
                <w:rFonts w:asciiTheme="minorHAnsi" w:hAnsiTheme="minorHAnsi" w:cstheme="minorHAnsi"/>
                <w:sz w:val="18"/>
                <w:szCs w:val="18"/>
              </w:rPr>
              <w:t>7</w:t>
            </w:r>
            <w:r w:rsidRPr="009D0A4A">
              <w:rPr>
                <w:rStyle w:val="FootnoteReference"/>
                <w:rFonts w:asciiTheme="minorHAnsi" w:hAnsiTheme="minorHAnsi" w:cstheme="minorHAnsi"/>
                <w:sz w:val="18"/>
                <w:szCs w:val="18"/>
              </w:rPr>
              <w:footnoteReference w:id="34"/>
            </w:r>
          </w:p>
        </w:tc>
        <w:tc>
          <w:tcPr>
            <w:tcW w:w="1616" w:type="pct"/>
            <w:vMerge/>
            <w:tcBorders>
              <w:left w:val="single" w:sz="8" w:space="0" w:color="D9D9D9"/>
              <w:right w:val="single" w:sz="8" w:space="0" w:color="D9D9D9"/>
            </w:tcBorders>
            <w:shd w:val="clear" w:color="auto" w:fill="FFFFFF" w:themeFill="background1"/>
            <w:vAlign w:val="center"/>
          </w:tcPr>
          <w:p w14:paraId="6B2FD9E9"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b/>
                <w:bCs/>
                <w:sz w:val="18"/>
                <w:szCs w:val="18"/>
              </w:rPr>
            </w:pPr>
          </w:p>
        </w:tc>
      </w:tr>
      <w:tr w:rsidR="00105526" w:rsidRPr="009D0A4A" w14:paraId="4069B0CA" w14:textId="77777777" w:rsidTr="00D028B0">
        <w:trPr>
          <w:trHeight w:val="560"/>
        </w:trPr>
        <w:tc>
          <w:tcPr>
            <w:tcW w:w="718"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78321AF1" w14:textId="0A807687" w:rsidR="00105526" w:rsidRPr="009D0A4A" w:rsidRDefault="00105526" w:rsidP="00FA6EE6">
            <w:pPr>
              <w:pStyle w:val="EYBulletnoparaspace"/>
              <w:numPr>
                <w:ilvl w:val="0"/>
                <w:numId w:val="0"/>
              </w:numPr>
              <w:spacing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Implementation and processing of licen</w:t>
            </w:r>
            <w:r w:rsidR="001165D9" w:rsidRPr="009D0A4A">
              <w:rPr>
                <w:rFonts w:asciiTheme="minorHAnsi" w:hAnsiTheme="minorHAnsi" w:cstheme="minorHAnsi"/>
                <w:i/>
                <w:iCs/>
                <w:sz w:val="18"/>
                <w:szCs w:val="18"/>
              </w:rPr>
              <w:t>c</w:t>
            </w:r>
            <w:r w:rsidRPr="009D0A4A">
              <w:rPr>
                <w:rFonts w:asciiTheme="minorHAnsi" w:hAnsiTheme="minorHAnsi" w:cstheme="minorHAnsi"/>
                <w:i/>
                <w:iCs/>
                <w:sz w:val="18"/>
                <w:szCs w:val="18"/>
              </w:rPr>
              <w:t>es</w:t>
            </w:r>
          </w:p>
        </w:tc>
        <w:tc>
          <w:tcPr>
            <w:tcW w:w="867" w:type="pct"/>
            <w:vMerge w:val="restart"/>
            <w:tcBorders>
              <w:top w:val="single" w:sz="8" w:space="0" w:color="D9D9D9"/>
              <w:left w:val="single" w:sz="8" w:space="0" w:color="D9D9D9"/>
              <w:right w:val="single" w:sz="8" w:space="0" w:color="D9D9D9"/>
            </w:tcBorders>
            <w:shd w:val="clear" w:color="auto" w:fill="FFFFFF" w:themeFill="background1"/>
          </w:tcPr>
          <w:p w14:paraId="35408B55" w14:textId="7B1228B7" w:rsidR="00105526" w:rsidRPr="009D0A4A" w:rsidRDefault="00105526" w:rsidP="00FA6EE6">
            <w:pPr>
              <w:pStyle w:val="BodyText"/>
              <w:ind w:left="157"/>
              <w:rPr>
                <w:rFonts w:cstheme="minorHAnsi"/>
                <w:color w:val="auto"/>
                <w:sz w:val="18"/>
                <w:szCs w:val="18"/>
              </w:rPr>
            </w:pPr>
            <w:r w:rsidRPr="009D0A4A">
              <w:rPr>
                <w:rFonts w:cstheme="minorHAnsi"/>
                <w:sz w:val="18"/>
                <w:szCs w:val="18"/>
              </w:rPr>
              <w:t xml:space="preserve">Labour to implement </w:t>
            </w:r>
            <w:r w:rsidR="007C706E" w:rsidRPr="009D0A4A">
              <w:rPr>
                <w:rFonts w:cstheme="minorHAnsi"/>
                <w:sz w:val="18"/>
                <w:szCs w:val="18"/>
              </w:rPr>
              <w:t>licensing</w:t>
            </w:r>
            <w:r w:rsidRPr="009D0A4A">
              <w:rPr>
                <w:rFonts w:cstheme="minorHAnsi"/>
                <w:sz w:val="18"/>
                <w:szCs w:val="18"/>
              </w:rPr>
              <w:t xml:space="preserve"> software and assess </w:t>
            </w:r>
            <w:r w:rsidR="007C706E" w:rsidRPr="009D0A4A">
              <w:rPr>
                <w:rFonts w:cstheme="minorHAnsi"/>
                <w:sz w:val="18"/>
                <w:szCs w:val="18"/>
              </w:rPr>
              <w:t xml:space="preserve">licence </w:t>
            </w:r>
            <w:r w:rsidRPr="009D0A4A">
              <w:rPr>
                <w:rFonts w:cstheme="minorHAnsi"/>
                <w:sz w:val="18"/>
                <w:szCs w:val="18"/>
              </w:rPr>
              <w:t>applications</w:t>
            </w:r>
          </w:p>
        </w:tc>
        <w:tc>
          <w:tcPr>
            <w:tcW w:w="836"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082E186B" w14:textId="77777777" w:rsidR="00105526" w:rsidRPr="009D0A4A" w:rsidRDefault="00105526" w:rsidP="00FA6EE6">
            <w:pPr>
              <w:pStyle w:val="BodyText"/>
              <w:rPr>
                <w:rFonts w:cstheme="minorHAnsi"/>
                <w:b/>
                <w:bCs/>
                <w:sz w:val="18"/>
                <w:szCs w:val="18"/>
              </w:rPr>
            </w:pPr>
            <w:r w:rsidRPr="009D0A4A">
              <w:rPr>
                <w:rFonts w:cstheme="minorHAnsi"/>
                <w:color w:val="auto"/>
                <w:sz w:val="18"/>
                <w:szCs w:val="18"/>
              </w:rPr>
              <w:t>Number of workers to implement licensing and assess applications (#)</w:t>
            </w:r>
          </w:p>
        </w:tc>
        <w:tc>
          <w:tcPr>
            <w:tcW w:w="96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6B6B80DC" w14:textId="1CB114D3" w:rsidR="00105526" w:rsidRPr="009D0A4A" w:rsidRDefault="00105526" w:rsidP="00733855">
            <w:pPr>
              <w:pStyle w:val="EYBulletnoparaspace"/>
              <w:numPr>
                <w:ilvl w:val="0"/>
                <w:numId w:val="0"/>
              </w:numPr>
              <w:spacing w:line="264" w:lineRule="auto"/>
              <w:ind w:left="425" w:right="269" w:hanging="425"/>
              <w:jc w:val="center"/>
              <w:rPr>
                <w:rFonts w:asciiTheme="minorHAnsi" w:hAnsiTheme="minorHAnsi" w:cstheme="minorHAnsi"/>
                <w:b/>
                <w:bCs/>
                <w:sz w:val="18"/>
                <w:szCs w:val="18"/>
              </w:rPr>
            </w:pPr>
            <w:r w:rsidRPr="009D0A4A">
              <w:rPr>
                <w:rFonts w:asciiTheme="minorHAnsi" w:hAnsiTheme="minorHAnsi" w:cstheme="minorHAnsi"/>
                <w:sz w:val="18"/>
                <w:szCs w:val="18"/>
              </w:rPr>
              <w:t>1</w:t>
            </w:r>
            <w:r w:rsidR="00733855" w:rsidRPr="009D0A4A">
              <w:rPr>
                <w:rStyle w:val="FootnoteReference"/>
              </w:rPr>
              <w:t xml:space="preserve"> </w:t>
            </w:r>
            <w:r w:rsidR="00733855" w:rsidRPr="009D0A4A">
              <w:rPr>
                <w:rFonts w:asciiTheme="minorHAnsi" w:hAnsiTheme="minorHAnsi" w:cstheme="minorHAnsi"/>
                <w:sz w:val="18"/>
                <w:szCs w:val="18"/>
              </w:rPr>
              <w:fldChar w:fldCharType="begin"/>
            </w:r>
            <w:r w:rsidR="004067E3">
              <w:rPr>
                <w:rFonts w:asciiTheme="minorHAnsi" w:hAnsiTheme="minorHAnsi" w:cstheme="minorHAnsi"/>
                <w:sz w:val="18"/>
                <w:szCs w:val="18"/>
              </w:rPr>
              <w:instrText xml:space="preserve"> ADDIN ZOTERO_ITEM CSL_CITATION {"citationID":"ButccgeU","properties":{"formattedCitation":"(Deloitte 2021)","plainCitation":"(Deloitte 2021)","noteIndex":0},"citationItems":[{"id":917,"uris":["http://zotero.org/users/6230888/items/DDIZNKBY"],"itemData":{"id":917,"type":"article-journal","language":"en","page":"75","source":"Zotero","title":"Occupational Health and Safety Amendment (Crystalline Silica) Regulations 2021","author":[{"literal":"Deloitte"}],"issued":{"date-parts":[["2021"]]}}}],"schema":"https://github.com/citation-style-language/schema/raw/master/csl-citation.json"} </w:instrText>
            </w:r>
            <w:r w:rsidR="00733855" w:rsidRPr="009D0A4A">
              <w:rPr>
                <w:rFonts w:asciiTheme="minorHAnsi" w:hAnsiTheme="minorHAnsi" w:cstheme="minorHAnsi"/>
                <w:sz w:val="18"/>
                <w:szCs w:val="18"/>
              </w:rPr>
              <w:fldChar w:fldCharType="separate"/>
            </w:r>
            <w:r w:rsidR="006B4A7D" w:rsidRPr="009D0A4A">
              <w:rPr>
                <w:rFonts w:ascii="Calibri" w:hAnsi="Calibri" w:cs="Calibri"/>
                <w:sz w:val="18"/>
              </w:rPr>
              <w:t>(Deloitte 2021)</w:t>
            </w:r>
            <w:r w:rsidR="00733855" w:rsidRPr="009D0A4A">
              <w:rPr>
                <w:rFonts w:asciiTheme="minorHAnsi" w:hAnsiTheme="minorHAnsi" w:cstheme="minorHAnsi"/>
                <w:sz w:val="18"/>
                <w:szCs w:val="18"/>
              </w:rPr>
              <w:fldChar w:fldCharType="end"/>
            </w:r>
          </w:p>
        </w:tc>
        <w:tc>
          <w:tcPr>
            <w:tcW w:w="1616" w:type="pct"/>
            <w:vMerge w:val="restart"/>
            <w:tcBorders>
              <w:top w:val="single" w:sz="8" w:space="0" w:color="D9D9D9"/>
              <w:left w:val="single" w:sz="8" w:space="0" w:color="D9D9D9"/>
              <w:right w:val="single" w:sz="8" w:space="0" w:color="D9D9D9"/>
            </w:tcBorders>
            <w:shd w:val="clear" w:color="auto" w:fill="FFFFFF" w:themeFill="background1"/>
            <w:vAlign w:val="center"/>
          </w:tcPr>
          <w:p w14:paraId="163B5669" w14:textId="02B0F416" w:rsidR="00105526" w:rsidRPr="009D0A4A" w:rsidRDefault="00105526" w:rsidP="00FA6EE6">
            <w:pPr>
              <w:pStyle w:val="EYBulletnoparaspace"/>
              <w:numPr>
                <w:ilvl w:val="0"/>
                <w:numId w:val="0"/>
              </w:numPr>
              <w:spacing w:line="264" w:lineRule="auto"/>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 xml:space="preserve">Cost to implement </w:t>
            </w:r>
            <w:r w:rsidR="007C706E" w:rsidRPr="009D0A4A">
              <w:rPr>
                <w:rFonts w:asciiTheme="minorHAnsi" w:hAnsiTheme="minorHAnsi" w:cstheme="minorHAnsi"/>
                <w:b/>
                <w:bCs/>
                <w:sz w:val="18"/>
                <w:szCs w:val="18"/>
              </w:rPr>
              <w:t xml:space="preserve">licence </w:t>
            </w:r>
            <w:r w:rsidRPr="009D0A4A">
              <w:rPr>
                <w:rFonts w:asciiTheme="minorHAnsi" w:hAnsiTheme="minorHAnsi" w:cstheme="minorHAnsi"/>
                <w:b/>
                <w:bCs/>
                <w:sz w:val="18"/>
                <w:szCs w:val="18"/>
              </w:rPr>
              <w:t>software and process applications</w:t>
            </w:r>
          </w:p>
          <w:p w14:paraId="7D6EAF91" w14:textId="77777777" w:rsidR="00105526" w:rsidRPr="009D0A4A" w:rsidRDefault="00105526" w:rsidP="00FA6EE6">
            <w:pPr>
              <w:pStyle w:val="EYBulletnoparaspace"/>
              <w:numPr>
                <w:ilvl w:val="0"/>
                <w:numId w:val="0"/>
              </w:numPr>
              <w:spacing w:line="264" w:lineRule="auto"/>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1A523B13" w14:textId="77777777" w:rsidR="00105526" w:rsidRPr="009D0A4A" w:rsidRDefault="00105526" w:rsidP="00FA6EE6">
            <w:pPr>
              <w:pStyle w:val="EYBulletnoparaspace"/>
              <w:numPr>
                <w:ilvl w:val="0"/>
                <w:numId w:val="0"/>
              </w:numPr>
              <w:spacing w:line="264" w:lineRule="auto"/>
              <w:ind w:right="137"/>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Number of workers to implement licensing and assess applications</w:t>
            </w:r>
          </w:p>
          <w:p w14:paraId="5FB102DF" w14:textId="77777777" w:rsidR="00105526" w:rsidRPr="009D0A4A" w:rsidRDefault="00105526" w:rsidP="00FA6EE6">
            <w:pPr>
              <w:pStyle w:val="EYBulletnoparaspace"/>
              <w:numPr>
                <w:ilvl w:val="0"/>
                <w:numId w:val="0"/>
              </w:numPr>
              <w:spacing w:line="264" w:lineRule="auto"/>
              <w:ind w:right="137"/>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24C7FCFB" w14:textId="77777777" w:rsidR="00105526" w:rsidRPr="009D0A4A" w:rsidRDefault="00105526" w:rsidP="00FA6EE6">
            <w:pPr>
              <w:pStyle w:val="EYBulletnoparaspace"/>
              <w:numPr>
                <w:ilvl w:val="0"/>
                <w:numId w:val="0"/>
              </w:numPr>
              <w:spacing w:line="264" w:lineRule="auto"/>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lastRenderedPageBreak/>
              <w:t>Labour cost to implement licensing and assess applications</w:t>
            </w:r>
          </w:p>
          <w:p w14:paraId="2740E61A" w14:textId="77777777" w:rsidR="00105526" w:rsidRPr="009D0A4A" w:rsidRDefault="00105526" w:rsidP="00FA6EE6">
            <w:pPr>
              <w:pStyle w:val="EYBulletnoparaspace"/>
              <w:numPr>
                <w:ilvl w:val="0"/>
                <w:numId w:val="0"/>
              </w:numPr>
              <w:spacing w:line="264" w:lineRule="auto"/>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7FC840C5" w14:textId="77777777" w:rsidR="00105526" w:rsidRPr="009D0A4A" w:rsidRDefault="00105526" w:rsidP="00FA6EE6">
            <w:pPr>
              <w:pStyle w:val="EYBulletnoparaspace"/>
              <w:numPr>
                <w:ilvl w:val="0"/>
                <w:numId w:val="0"/>
              </w:numPr>
              <w:spacing w:after="120" w:line="264" w:lineRule="auto"/>
              <w:ind w:right="130"/>
              <w:jc w:val="center"/>
              <w:rPr>
                <w:rFonts w:asciiTheme="minorHAnsi" w:hAnsiTheme="minorHAnsi" w:cstheme="minorHAnsi"/>
                <w:color w:val="262626" w:themeColor="text1" w:themeTint="D9"/>
                <w:sz w:val="18"/>
                <w:szCs w:val="18"/>
                <w:u w:val="single"/>
              </w:rPr>
            </w:pPr>
            <w:r w:rsidRPr="009D0A4A">
              <w:rPr>
                <w:rFonts w:asciiTheme="minorHAnsi" w:hAnsiTheme="minorHAnsi" w:cstheme="minorHAnsi"/>
                <w:sz w:val="18"/>
                <w:szCs w:val="18"/>
              </w:rPr>
              <w:t>Number of jurisdictions</w:t>
            </w:r>
          </w:p>
        </w:tc>
      </w:tr>
      <w:tr w:rsidR="00105526" w:rsidRPr="009D0A4A" w14:paraId="4BE48024" w14:textId="77777777" w:rsidTr="00D028B0">
        <w:trPr>
          <w:trHeight w:val="560"/>
        </w:trPr>
        <w:tc>
          <w:tcPr>
            <w:tcW w:w="718"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31B00C87"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867" w:type="pct"/>
            <w:vMerge/>
            <w:tcBorders>
              <w:left w:val="single" w:sz="8" w:space="0" w:color="D9D9D9"/>
              <w:right w:val="single" w:sz="8" w:space="0" w:color="D9D9D9"/>
            </w:tcBorders>
            <w:shd w:val="clear" w:color="auto" w:fill="FFFFFF" w:themeFill="background1"/>
          </w:tcPr>
          <w:p w14:paraId="49DD5409" w14:textId="77777777" w:rsidR="00105526" w:rsidRPr="009D0A4A" w:rsidRDefault="00105526" w:rsidP="00FA6EE6">
            <w:pPr>
              <w:pStyle w:val="BodyText"/>
              <w:ind w:left="157"/>
              <w:rPr>
                <w:rFonts w:cstheme="minorHAnsi"/>
                <w:color w:val="auto"/>
                <w:sz w:val="18"/>
                <w:szCs w:val="18"/>
              </w:rPr>
            </w:pPr>
          </w:p>
        </w:tc>
        <w:tc>
          <w:tcPr>
            <w:tcW w:w="836"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4AEDB190" w14:textId="00BA3ECB" w:rsidR="00105526" w:rsidRPr="009D0A4A" w:rsidRDefault="00105526" w:rsidP="00FA6EE6">
            <w:pPr>
              <w:pStyle w:val="BodyText"/>
              <w:rPr>
                <w:rFonts w:cstheme="minorHAnsi"/>
                <w:b/>
                <w:bCs/>
                <w:sz w:val="18"/>
                <w:szCs w:val="18"/>
              </w:rPr>
            </w:pPr>
            <w:r w:rsidRPr="009D0A4A">
              <w:rPr>
                <w:rFonts w:cstheme="minorHAnsi"/>
                <w:color w:val="auto"/>
                <w:sz w:val="18"/>
                <w:szCs w:val="18"/>
              </w:rPr>
              <w:t xml:space="preserve">Labour </w:t>
            </w:r>
            <w:r w:rsidR="00904BE5" w:rsidRPr="009D0A4A">
              <w:rPr>
                <w:rFonts w:cstheme="minorHAnsi"/>
                <w:color w:val="auto"/>
                <w:sz w:val="18"/>
                <w:szCs w:val="18"/>
              </w:rPr>
              <w:t xml:space="preserve">per year </w:t>
            </w:r>
            <w:r w:rsidRPr="009D0A4A">
              <w:rPr>
                <w:rFonts w:cstheme="minorHAnsi"/>
                <w:color w:val="auto"/>
                <w:sz w:val="18"/>
                <w:szCs w:val="18"/>
              </w:rPr>
              <w:t xml:space="preserve">to implement licensing </w:t>
            </w:r>
            <w:r w:rsidRPr="009D0A4A">
              <w:rPr>
                <w:rFonts w:cstheme="minorHAnsi"/>
                <w:color w:val="auto"/>
                <w:sz w:val="18"/>
                <w:szCs w:val="18"/>
              </w:rPr>
              <w:lastRenderedPageBreak/>
              <w:t>and assess applications ($</w:t>
            </w:r>
            <w:r w:rsidR="00904BE5" w:rsidRPr="009D0A4A">
              <w:rPr>
                <w:rFonts w:cstheme="minorHAnsi"/>
                <w:color w:val="auto"/>
                <w:sz w:val="18"/>
                <w:szCs w:val="18"/>
              </w:rPr>
              <w:t>/year</w:t>
            </w:r>
            <w:r w:rsidRPr="009D0A4A">
              <w:rPr>
                <w:rFonts w:cstheme="minorHAnsi"/>
                <w:color w:val="auto"/>
                <w:sz w:val="18"/>
                <w:szCs w:val="18"/>
              </w:rPr>
              <w:t>)</w:t>
            </w:r>
          </w:p>
        </w:tc>
        <w:tc>
          <w:tcPr>
            <w:tcW w:w="96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1BC1C86B" w14:textId="5C73FB47" w:rsidR="00105526" w:rsidRPr="0007022D" w:rsidRDefault="00105526" w:rsidP="00FA6EE6">
            <w:pPr>
              <w:pStyle w:val="EYBulletnoparaspace"/>
              <w:numPr>
                <w:ilvl w:val="0"/>
                <w:numId w:val="0"/>
              </w:numPr>
              <w:spacing w:line="264" w:lineRule="auto"/>
              <w:ind w:left="425" w:right="269" w:hanging="425"/>
              <w:jc w:val="center"/>
              <w:rPr>
                <w:rFonts w:asciiTheme="minorHAnsi" w:hAnsiTheme="minorHAnsi" w:cstheme="minorHAnsi"/>
                <w:b/>
                <w:bCs/>
                <w:sz w:val="18"/>
                <w:szCs w:val="18"/>
              </w:rPr>
            </w:pPr>
            <w:r w:rsidRPr="0007022D">
              <w:rPr>
                <w:rStyle w:val="BodyTextChar"/>
                <w:rFonts w:asciiTheme="minorHAnsi" w:hAnsiTheme="minorHAnsi" w:cstheme="minorHAnsi"/>
                <w:sz w:val="18"/>
                <w:szCs w:val="18"/>
              </w:rPr>
              <w:lastRenderedPageBreak/>
              <w:t>Refer to</w:t>
            </w:r>
            <w:r w:rsidR="00EF4444">
              <w:rPr>
                <w:rStyle w:val="BodyTextChar"/>
                <w:rFonts w:asciiTheme="minorHAnsi" w:hAnsiTheme="minorHAnsi" w:cstheme="minorHAnsi"/>
                <w:sz w:val="18"/>
                <w:szCs w:val="18"/>
              </w:rPr>
              <w:t xml:space="preserve"> </w:t>
            </w:r>
            <w:r w:rsidR="00EF4444" w:rsidRPr="00EF4444">
              <w:rPr>
                <w:rStyle w:val="BodyTextChar"/>
                <w:rFonts w:asciiTheme="minorHAnsi" w:hAnsiTheme="minorHAnsi" w:cstheme="minorHAnsi"/>
                <w:sz w:val="18"/>
                <w:szCs w:val="18"/>
              </w:rPr>
              <w:t>Table 28</w:t>
            </w:r>
            <w:r w:rsidRPr="0007022D">
              <w:rPr>
                <w:rStyle w:val="BodyTextChar"/>
                <w:rFonts w:asciiTheme="minorHAnsi" w:hAnsiTheme="minorHAnsi" w:cstheme="minorHAnsi"/>
                <w:sz w:val="18"/>
                <w:szCs w:val="18"/>
              </w:rPr>
              <w:t xml:space="preserve"> </w:t>
            </w:r>
            <w:r w:rsidR="00C9663F" w:rsidRPr="0007022D">
              <w:rPr>
                <w:rStyle w:val="BodyTextChar"/>
                <w:rFonts w:asciiTheme="minorHAnsi" w:hAnsiTheme="minorHAnsi" w:cstheme="minorHAnsi"/>
                <w:sz w:val="18"/>
                <w:szCs w:val="18"/>
              </w:rPr>
              <w:fldChar w:fldCharType="begin"/>
            </w:r>
            <w:r w:rsidR="00C9663F" w:rsidRPr="0007022D">
              <w:rPr>
                <w:rStyle w:val="BodyTextChar"/>
                <w:rFonts w:asciiTheme="minorHAnsi" w:hAnsiTheme="minorHAnsi" w:cstheme="minorHAnsi"/>
                <w:sz w:val="18"/>
                <w:szCs w:val="18"/>
              </w:rPr>
              <w:instrText xml:space="preserve"> REF _Ref105773225 \h  \* MERGEFORMAT </w:instrText>
            </w:r>
            <w:r w:rsidR="00C9663F" w:rsidRPr="0007022D">
              <w:rPr>
                <w:rStyle w:val="BodyTextChar"/>
                <w:rFonts w:asciiTheme="minorHAnsi" w:hAnsiTheme="minorHAnsi" w:cstheme="minorHAnsi"/>
                <w:sz w:val="18"/>
                <w:szCs w:val="18"/>
              </w:rPr>
            </w:r>
            <w:r w:rsidR="00C9663F" w:rsidRPr="0007022D">
              <w:rPr>
                <w:rStyle w:val="BodyTextChar"/>
                <w:rFonts w:asciiTheme="minorHAnsi" w:hAnsiTheme="minorHAnsi" w:cstheme="minorHAnsi"/>
                <w:sz w:val="18"/>
                <w:szCs w:val="18"/>
              </w:rPr>
              <w:fldChar w:fldCharType="separate"/>
            </w:r>
            <w:r w:rsidR="007A56E1" w:rsidRPr="009D0A4A">
              <w:rPr>
                <w:rFonts w:asciiTheme="majorHAnsi" w:hAnsiTheme="majorHAnsi"/>
                <w:b/>
                <w:iCs/>
                <w:noProof/>
                <w:color w:val="014463" w:themeColor="text2"/>
                <w:szCs w:val="18"/>
              </w:rPr>
              <w:t xml:space="preserve">Table </w:t>
            </w:r>
            <w:r w:rsidR="00C9663F" w:rsidRPr="0007022D">
              <w:rPr>
                <w:rStyle w:val="BodyTextChar"/>
                <w:rFonts w:asciiTheme="minorHAnsi" w:hAnsiTheme="minorHAnsi" w:cstheme="minorHAnsi"/>
                <w:sz w:val="18"/>
                <w:szCs w:val="18"/>
              </w:rPr>
              <w:fldChar w:fldCharType="end"/>
            </w:r>
          </w:p>
        </w:tc>
        <w:tc>
          <w:tcPr>
            <w:tcW w:w="1616" w:type="pct"/>
            <w:vMerge/>
            <w:tcBorders>
              <w:left w:val="single" w:sz="8" w:space="0" w:color="D9D9D9"/>
              <w:right w:val="single" w:sz="8" w:space="0" w:color="D9D9D9"/>
            </w:tcBorders>
            <w:shd w:val="clear" w:color="auto" w:fill="FFFFFF" w:themeFill="background1"/>
            <w:vAlign w:val="center"/>
          </w:tcPr>
          <w:p w14:paraId="743261F2"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b/>
                <w:bCs/>
                <w:sz w:val="18"/>
                <w:szCs w:val="18"/>
              </w:rPr>
            </w:pPr>
          </w:p>
        </w:tc>
      </w:tr>
      <w:tr w:rsidR="00105526" w:rsidRPr="009D0A4A" w14:paraId="79A731DE" w14:textId="77777777" w:rsidTr="00D028B0">
        <w:trPr>
          <w:trHeight w:val="560"/>
        </w:trPr>
        <w:tc>
          <w:tcPr>
            <w:tcW w:w="718" w:type="pct"/>
            <w:vMerge/>
            <w:tcBorders>
              <w:left w:val="single" w:sz="8" w:space="0" w:color="D9D9D9"/>
              <w:bottom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1814CF67"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867" w:type="pct"/>
            <w:vMerge/>
            <w:tcBorders>
              <w:left w:val="single" w:sz="8" w:space="0" w:color="D9D9D9"/>
              <w:bottom w:val="single" w:sz="8" w:space="0" w:color="D9D9D9"/>
              <w:right w:val="single" w:sz="8" w:space="0" w:color="D9D9D9"/>
            </w:tcBorders>
            <w:shd w:val="clear" w:color="auto" w:fill="FFFFFF" w:themeFill="background1"/>
          </w:tcPr>
          <w:p w14:paraId="71657297" w14:textId="77777777" w:rsidR="00105526" w:rsidRPr="009D0A4A" w:rsidRDefault="00105526" w:rsidP="00FA6EE6">
            <w:pPr>
              <w:pStyle w:val="BodyText"/>
              <w:ind w:left="157"/>
              <w:rPr>
                <w:rFonts w:cstheme="minorHAnsi"/>
                <w:color w:val="auto"/>
                <w:sz w:val="18"/>
                <w:szCs w:val="18"/>
              </w:rPr>
            </w:pPr>
          </w:p>
        </w:tc>
        <w:tc>
          <w:tcPr>
            <w:tcW w:w="836"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5BE9F254" w14:textId="77777777" w:rsidR="00105526" w:rsidRPr="009D0A4A" w:rsidRDefault="00105526" w:rsidP="00FA6EE6">
            <w:pPr>
              <w:pStyle w:val="BodyText"/>
              <w:rPr>
                <w:rFonts w:cstheme="minorHAnsi"/>
                <w:b/>
                <w:bCs/>
                <w:sz w:val="18"/>
                <w:szCs w:val="18"/>
              </w:rPr>
            </w:pPr>
            <w:r w:rsidRPr="009D0A4A">
              <w:rPr>
                <w:rFonts w:cstheme="minorHAnsi"/>
                <w:sz w:val="18"/>
                <w:szCs w:val="18"/>
              </w:rPr>
              <w:t>Number of jurisdictions (excluding Victoria) (#)</w:t>
            </w:r>
          </w:p>
        </w:tc>
        <w:tc>
          <w:tcPr>
            <w:tcW w:w="96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39027AE0"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b/>
                <w:bCs/>
                <w:sz w:val="18"/>
                <w:szCs w:val="18"/>
              </w:rPr>
            </w:pPr>
            <w:r w:rsidRPr="009D0A4A">
              <w:rPr>
                <w:rFonts w:asciiTheme="minorHAnsi" w:hAnsiTheme="minorHAnsi" w:cstheme="minorHAnsi"/>
                <w:sz w:val="18"/>
                <w:szCs w:val="18"/>
              </w:rPr>
              <w:t>7</w:t>
            </w:r>
            <w:r w:rsidRPr="009D0A4A">
              <w:rPr>
                <w:rStyle w:val="FootnoteReference"/>
                <w:rFonts w:asciiTheme="minorHAnsi" w:hAnsiTheme="minorHAnsi" w:cstheme="minorHAnsi"/>
                <w:sz w:val="18"/>
                <w:szCs w:val="18"/>
              </w:rPr>
              <w:footnoteReference w:id="35"/>
            </w:r>
          </w:p>
        </w:tc>
        <w:tc>
          <w:tcPr>
            <w:tcW w:w="1616" w:type="pct"/>
            <w:vMerge/>
            <w:tcBorders>
              <w:left w:val="single" w:sz="8" w:space="0" w:color="D9D9D9"/>
              <w:bottom w:val="single" w:sz="8" w:space="0" w:color="D9D9D9"/>
              <w:right w:val="single" w:sz="8" w:space="0" w:color="D9D9D9"/>
            </w:tcBorders>
            <w:shd w:val="clear" w:color="auto" w:fill="FFFFFF" w:themeFill="background1"/>
            <w:vAlign w:val="center"/>
          </w:tcPr>
          <w:p w14:paraId="2F30AE9B"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b/>
                <w:bCs/>
                <w:sz w:val="18"/>
                <w:szCs w:val="18"/>
              </w:rPr>
            </w:pPr>
          </w:p>
        </w:tc>
      </w:tr>
      <w:tr w:rsidR="00C2625D" w:rsidRPr="009D0A4A" w14:paraId="29538EF7" w14:textId="77777777" w:rsidTr="00D028B0">
        <w:trPr>
          <w:trHeight w:val="560"/>
        </w:trPr>
        <w:tc>
          <w:tcPr>
            <w:tcW w:w="718" w:type="pct"/>
            <w:vMerge w:val="restart"/>
            <w:tcBorders>
              <w:top w:val="single" w:sz="8" w:space="0" w:color="D9D9D9"/>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1E310F61" w14:textId="0BBF9E87" w:rsidR="00C2625D" w:rsidRPr="009D0A4A" w:rsidRDefault="00C2625D" w:rsidP="00FA6EE6">
            <w:pPr>
              <w:pStyle w:val="EYBulletnoparaspace"/>
              <w:numPr>
                <w:ilvl w:val="0"/>
                <w:numId w:val="0"/>
              </w:numPr>
              <w:spacing w:line="264" w:lineRule="auto"/>
              <w:rPr>
                <w:rFonts w:asciiTheme="minorHAnsi" w:hAnsiTheme="minorHAnsi" w:cstheme="minorHAnsi"/>
                <w:i/>
                <w:iCs/>
                <w:color w:val="262626" w:themeColor="text1" w:themeTint="D9"/>
                <w:sz w:val="18"/>
                <w:szCs w:val="18"/>
              </w:rPr>
            </w:pPr>
            <w:r w:rsidRPr="009D0A4A">
              <w:rPr>
                <w:rFonts w:asciiTheme="minorHAnsi" w:hAnsiTheme="minorHAnsi" w:cstheme="minorHAnsi"/>
                <w:i/>
                <w:iCs/>
                <w:sz w:val="18"/>
                <w:szCs w:val="18"/>
              </w:rPr>
              <w:t xml:space="preserve">Compliance </w:t>
            </w:r>
            <w:r w:rsidR="004E3629" w:rsidRPr="009D0A4A">
              <w:rPr>
                <w:rFonts w:asciiTheme="minorHAnsi" w:hAnsiTheme="minorHAnsi" w:cstheme="minorHAnsi"/>
                <w:i/>
                <w:iCs/>
                <w:sz w:val="18"/>
                <w:szCs w:val="18"/>
              </w:rPr>
              <w:t>monitoring and</w:t>
            </w:r>
            <w:r w:rsidRPr="009D0A4A">
              <w:rPr>
                <w:rFonts w:asciiTheme="minorHAnsi" w:hAnsiTheme="minorHAnsi" w:cstheme="minorHAnsi"/>
                <w:i/>
                <w:iCs/>
                <w:sz w:val="18"/>
                <w:szCs w:val="18"/>
              </w:rPr>
              <w:t xml:space="preserve"> enforcement</w:t>
            </w:r>
          </w:p>
        </w:tc>
        <w:tc>
          <w:tcPr>
            <w:tcW w:w="867" w:type="pct"/>
            <w:vMerge w:val="restart"/>
            <w:tcBorders>
              <w:top w:val="single" w:sz="8" w:space="0" w:color="D9D9D9"/>
              <w:left w:val="single" w:sz="8" w:space="0" w:color="D9D9D9"/>
              <w:right w:val="single" w:sz="8" w:space="0" w:color="D9D9D9"/>
            </w:tcBorders>
            <w:shd w:val="clear" w:color="auto" w:fill="FFFFFF" w:themeFill="background1"/>
          </w:tcPr>
          <w:p w14:paraId="5B27CE49" w14:textId="77777777" w:rsidR="00C2625D" w:rsidRPr="009D0A4A" w:rsidRDefault="00C2625D" w:rsidP="00FA6EE6">
            <w:pPr>
              <w:pStyle w:val="BodyText"/>
              <w:ind w:left="157"/>
              <w:rPr>
                <w:rFonts w:cstheme="minorHAnsi"/>
                <w:color w:val="auto"/>
                <w:sz w:val="18"/>
                <w:szCs w:val="18"/>
              </w:rPr>
            </w:pPr>
            <w:r w:rsidRPr="009D0A4A">
              <w:rPr>
                <w:rFonts w:cstheme="minorHAnsi"/>
                <w:sz w:val="18"/>
                <w:szCs w:val="18"/>
              </w:rPr>
              <w:t>Labour to participate in additional scheduled and unscheduled audits</w:t>
            </w:r>
          </w:p>
        </w:tc>
        <w:tc>
          <w:tcPr>
            <w:tcW w:w="836"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21219C64" w14:textId="0137B769" w:rsidR="00C2625D" w:rsidRPr="009D0A4A" w:rsidRDefault="00C2625D" w:rsidP="00FA6EE6">
            <w:pPr>
              <w:pStyle w:val="BodyText"/>
              <w:rPr>
                <w:rFonts w:cstheme="minorHAnsi"/>
                <w:b/>
                <w:bCs/>
                <w:sz w:val="18"/>
                <w:szCs w:val="18"/>
              </w:rPr>
            </w:pPr>
            <w:r w:rsidRPr="009D0A4A">
              <w:rPr>
                <w:rFonts w:cstheme="minorHAnsi"/>
                <w:sz w:val="18"/>
                <w:szCs w:val="18"/>
              </w:rPr>
              <w:t xml:space="preserve">Average number of scheduled and unscheduled per </w:t>
            </w:r>
            <w:r w:rsidR="00904BE5" w:rsidRPr="009D0A4A">
              <w:rPr>
                <w:rFonts w:cstheme="minorHAnsi"/>
                <w:sz w:val="18"/>
                <w:szCs w:val="18"/>
              </w:rPr>
              <w:t>year</w:t>
            </w:r>
            <w:r w:rsidRPr="009D0A4A">
              <w:rPr>
                <w:rFonts w:cstheme="minorHAnsi"/>
                <w:sz w:val="18"/>
                <w:szCs w:val="18"/>
              </w:rPr>
              <w:t xml:space="preserve"> (#</w:t>
            </w:r>
            <w:r w:rsidR="00904BE5" w:rsidRPr="009D0A4A">
              <w:rPr>
                <w:rFonts w:cstheme="minorHAnsi"/>
                <w:sz w:val="18"/>
                <w:szCs w:val="18"/>
              </w:rPr>
              <w:t>/year</w:t>
            </w:r>
            <w:r w:rsidRPr="009D0A4A">
              <w:rPr>
                <w:rFonts w:cstheme="minorHAnsi"/>
                <w:sz w:val="18"/>
                <w:szCs w:val="18"/>
              </w:rPr>
              <w:t>)</w:t>
            </w:r>
          </w:p>
        </w:tc>
        <w:tc>
          <w:tcPr>
            <w:tcW w:w="96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5EE6A90B" w14:textId="3E101CF7" w:rsidR="00C2625D" w:rsidRPr="009D0A4A" w:rsidRDefault="00C2625D"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1</w:t>
            </w:r>
          </w:p>
        </w:tc>
        <w:tc>
          <w:tcPr>
            <w:tcW w:w="1616" w:type="pct"/>
            <w:vMerge w:val="restart"/>
            <w:tcBorders>
              <w:top w:val="single" w:sz="8" w:space="0" w:color="D9D9D9"/>
              <w:left w:val="single" w:sz="8" w:space="0" w:color="D9D9D9"/>
              <w:right w:val="single" w:sz="8" w:space="0" w:color="D9D9D9"/>
            </w:tcBorders>
            <w:shd w:val="clear" w:color="auto" w:fill="FFFFFF" w:themeFill="background1"/>
            <w:vAlign w:val="center"/>
          </w:tcPr>
          <w:p w14:paraId="51EFEC07" w14:textId="77777777" w:rsidR="00C2625D" w:rsidRPr="009D0A4A" w:rsidRDefault="00C2625D" w:rsidP="00FA6EE6">
            <w:pPr>
              <w:pStyle w:val="EYBulletnoparaspace"/>
              <w:numPr>
                <w:ilvl w:val="0"/>
                <w:numId w:val="0"/>
              </w:numPr>
              <w:spacing w:line="264" w:lineRule="auto"/>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Cost of compliance monitoring and enforcement</w:t>
            </w:r>
          </w:p>
          <w:p w14:paraId="7C3EAAFF" w14:textId="77777777" w:rsidR="00C2625D" w:rsidRPr="009D0A4A" w:rsidRDefault="00C2625D" w:rsidP="00FA6EE6">
            <w:pPr>
              <w:pStyle w:val="EYBulletnoparaspace"/>
              <w:numPr>
                <w:ilvl w:val="0"/>
                <w:numId w:val="0"/>
              </w:numPr>
              <w:spacing w:line="264" w:lineRule="auto"/>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0B32EC68" w14:textId="77777777" w:rsidR="00C2625D" w:rsidRPr="009D0A4A" w:rsidRDefault="00C2625D" w:rsidP="00FA6EE6">
            <w:pPr>
              <w:pStyle w:val="EYBulletnoparaspace"/>
              <w:numPr>
                <w:ilvl w:val="0"/>
                <w:numId w:val="0"/>
              </w:numPr>
              <w:spacing w:line="264" w:lineRule="auto"/>
              <w:ind w:right="12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Average number of scheduled and unscheduled audits per annum</w:t>
            </w:r>
          </w:p>
          <w:p w14:paraId="3BA3F752" w14:textId="77777777" w:rsidR="00C2625D" w:rsidRPr="009D0A4A" w:rsidRDefault="00C2625D" w:rsidP="00FA6EE6">
            <w:pPr>
              <w:pStyle w:val="EYBulletnoparaspace"/>
              <w:numPr>
                <w:ilvl w:val="0"/>
                <w:numId w:val="0"/>
              </w:numPr>
              <w:spacing w:line="264" w:lineRule="auto"/>
              <w:ind w:right="12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1C53DEB5" w14:textId="77777777" w:rsidR="00C2625D" w:rsidRPr="009D0A4A" w:rsidRDefault="00C2625D" w:rsidP="00FA6EE6">
            <w:pPr>
              <w:pStyle w:val="EYBulletnoparaspace"/>
              <w:numPr>
                <w:ilvl w:val="0"/>
                <w:numId w:val="0"/>
              </w:numPr>
              <w:spacing w:line="264" w:lineRule="auto"/>
              <w:ind w:right="12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Time to participate in scheduled and unscheduled audits</w:t>
            </w:r>
          </w:p>
          <w:p w14:paraId="58937808" w14:textId="77777777" w:rsidR="00C2625D" w:rsidRPr="009D0A4A" w:rsidRDefault="00C2625D" w:rsidP="00FA6EE6">
            <w:pPr>
              <w:pStyle w:val="EYBulletnoparaspace"/>
              <w:numPr>
                <w:ilvl w:val="0"/>
                <w:numId w:val="0"/>
              </w:numPr>
              <w:spacing w:line="264" w:lineRule="auto"/>
              <w:ind w:right="12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2C70A02D" w14:textId="77777777" w:rsidR="00C2625D" w:rsidRPr="009D0A4A" w:rsidRDefault="00C2625D" w:rsidP="00FA6EE6">
            <w:pPr>
              <w:pStyle w:val="EYBulletnoparaspace"/>
              <w:numPr>
                <w:ilvl w:val="0"/>
                <w:numId w:val="0"/>
              </w:numPr>
              <w:spacing w:line="264" w:lineRule="auto"/>
              <w:ind w:right="12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Average wage/hour ($)</w:t>
            </w:r>
          </w:p>
          <w:p w14:paraId="77BDACF2" w14:textId="77777777" w:rsidR="00C2625D" w:rsidRPr="009D0A4A" w:rsidRDefault="00C2625D" w:rsidP="00FA6EE6">
            <w:pPr>
              <w:pStyle w:val="EYBulletnoparaspace"/>
              <w:numPr>
                <w:ilvl w:val="0"/>
                <w:numId w:val="0"/>
              </w:numPr>
              <w:spacing w:line="264" w:lineRule="auto"/>
              <w:ind w:right="12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42A0AE82" w14:textId="77777777" w:rsidR="00C2625D" w:rsidRPr="009D0A4A" w:rsidRDefault="00C2625D" w:rsidP="00FA6EE6">
            <w:pPr>
              <w:pStyle w:val="EYBulletnoparaspace"/>
              <w:numPr>
                <w:ilvl w:val="0"/>
                <w:numId w:val="0"/>
              </w:numPr>
              <w:spacing w:after="120" w:line="264" w:lineRule="auto"/>
              <w:ind w:right="266"/>
              <w:jc w:val="center"/>
              <w:rPr>
                <w:rFonts w:asciiTheme="minorHAnsi" w:hAnsiTheme="minorHAnsi" w:cstheme="minorHAnsi"/>
                <w:b/>
                <w:bCs/>
                <w:color w:val="262626" w:themeColor="text1" w:themeTint="D9"/>
                <w:sz w:val="18"/>
                <w:szCs w:val="18"/>
              </w:rPr>
            </w:pPr>
            <w:r w:rsidRPr="009D0A4A">
              <w:rPr>
                <w:rFonts w:asciiTheme="minorHAnsi" w:hAnsiTheme="minorHAnsi" w:cstheme="minorHAnsi"/>
                <w:sz w:val="18"/>
                <w:szCs w:val="18"/>
              </w:rPr>
              <w:t>Number of employees required for scheduled and unscheduled audits</w:t>
            </w:r>
          </w:p>
        </w:tc>
      </w:tr>
      <w:tr w:rsidR="00C2625D" w:rsidRPr="009D0A4A" w14:paraId="43176476" w14:textId="77777777" w:rsidTr="00D028B0">
        <w:trPr>
          <w:trHeight w:val="560"/>
        </w:trPr>
        <w:tc>
          <w:tcPr>
            <w:tcW w:w="718"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05A05620" w14:textId="77777777" w:rsidR="00C2625D" w:rsidRPr="009D0A4A" w:rsidRDefault="00C2625D" w:rsidP="00FA6EE6">
            <w:pPr>
              <w:pStyle w:val="EYBulletnoparaspace"/>
              <w:numPr>
                <w:ilvl w:val="0"/>
                <w:numId w:val="0"/>
              </w:numPr>
              <w:spacing w:line="264" w:lineRule="auto"/>
              <w:rPr>
                <w:rFonts w:asciiTheme="minorHAnsi" w:hAnsiTheme="minorHAnsi" w:cstheme="minorHAnsi"/>
                <w:i/>
                <w:iCs/>
                <w:sz w:val="18"/>
                <w:szCs w:val="18"/>
              </w:rPr>
            </w:pPr>
          </w:p>
        </w:tc>
        <w:tc>
          <w:tcPr>
            <w:tcW w:w="867" w:type="pct"/>
            <w:vMerge/>
            <w:tcBorders>
              <w:left w:val="single" w:sz="8" w:space="0" w:color="D9D9D9"/>
              <w:right w:val="single" w:sz="8" w:space="0" w:color="D9D9D9"/>
            </w:tcBorders>
            <w:shd w:val="clear" w:color="auto" w:fill="FFFFFF" w:themeFill="background1"/>
          </w:tcPr>
          <w:p w14:paraId="7314CC88" w14:textId="77777777" w:rsidR="00C2625D" w:rsidRPr="009D0A4A" w:rsidRDefault="00C2625D" w:rsidP="00FA6EE6">
            <w:pPr>
              <w:pStyle w:val="BodyText"/>
              <w:ind w:left="157"/>
              <w:rPr>
                <w:rFonts w:cstheme="minorHAnsi"/>
                <w:color w:val="auto"/>
                <w:sz w:val="18"/>
                <w:szCs w:val="18"/>
              </w:rPr>
            </w:pPr>
          </w:p>
        </w:tc>
        <w:tc>
          <w:tcPr>
            <w:tcW w:w="836"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7FF78579" w14:textId="77777777" w:rsidR="00C2625D" w:rsidRPr="009D0A4A" w:rsidRDefault="00C2625D" w:rsidP="00FA6EE6">
            <w:pPr>
              <w:pStyle w:val="BodyText"/>
              <w:rPr>
                <w:rFonts w:cstheme="minorHAnsi"/>
                <w:b/>
                <w:bCs/>
                <w:sz w:val="18"/>
                <w:szCs w:val="18"/>
              </w:rPr>
            </w:pPr>
            <w:r w:rsidRPr="009D0A4A">
              <w:rPr>
                <w:rFonts w:cstheme="minorHAnsi"/>
                <w:color w:val="auto"/>
                <w:sz w:val="18"/>
                <w:szCs w:val="18"/>
              </w:rPr>
              <w:t>Time to participation in scheduled and unscheduled audits (hours)</w:t>
            </w:r>
          </w:p>
        </w:tc>
        <w:tc>
          <w:tcPr>
            <w:tcW w:w="96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553CB411" w14:textId="349AE657" w:rsidR="00C2625D" w:rsidRPr="009D0A4A" w:rsidRDefault="00C2625D"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2</w:t>
            </w:r>
          </w:p>
        </w:tc>
        <w:tc>
          <w:tcPr>
            <w:tcW w:w="1616" w:type="pct"/>
            <w:vMerge/>
            <w:tcBorders>
              <w:left w:val="single" w:sz="8" w:space="0" w:color="D9D9D9"/>
              <w:right w:val="single" w:sz="8" w:space="0" w:color="D9D9D9"/>
            </w:tcBorders>
            <w:shd w:val="clear" w:color="auto" w:fill="FFFFFF" w:themeFill="background1"/>
            <w:vAlign w:val="center"/>
          </w:tcPr>
          <w:p w14:paraId="14D4CF0A" w14:textId="77777777" w:rsidR="00C2625D" w:rsidRPr="009D0A4A" w:rsidRDefault="00C2625D" w:rsidP="00FA6EE6">
            <w:pPr>
              <w:pStyle w:val="EYBulletnoparaspace"/>
              <w:numPr>
                <w:ilvl w:val="0"/>
                <w:numId w:val="0"/>
              </w:numPr>
              <w:spacing w:line="264" w:lineRule="auto"/>
              <w:ind w:left="425" w:right="269"/>
              <w:jc w:val="center"/>
              <w:rPr>
                <w:rFonts w:asciiTheme="minorHAnsi" w:hAnsiTheme="minorHAnsi" w:cstheme="minorHAnsi"/>
                <w:b/>
                <w:bCs/>
                <w:sz w:val="18"/>
                <w:szCs w:val="18"/>
              </w:rPr>
            </w:pPr>
          </w:p>
        </w:tc>
      </w:tr>
      <w:tr w:rsidR="00C2625D" w:rsidRPr="009D0A4A" w14:paraId="3CDC3229" w14:textId="77777777" w:rsidTr="00D028B0">
        <w:trPr>
          <w:trHeight w:val="560"/>
        </w:trPr>
        <w:tc>
          <w:tcPr>
            <w:tcW w:w="718"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7375D4B0" w14:textId="77777777" w:rsidR="00C2625D" w:rsidRPr="009D0A4A" w:rsidRDefault="00C2625D" w:rsidP="00FA6EE6">
            <w:pPr>
              <w:pStyle w:val="EYBulletnoparaspace"/>
              <w:numPr>
                <w:ilvl w:val="0"/>
                <w:numId w:val="0"/>
              </w:numPr>
              <w:spacing w:line="264" w:lineRule="auto"/>
              <w:rPr>
                <w:rFonts w:asciiTheme="minorHAnsi" w:hAnsiTheme="minorHAnsi" w:cstheme="minorHAnsi"/>
                <w:i/>
                <w:iCs/>
                <w:sz w:val="18"/>
                <w:szCs w:val="18"/>
              </w:rPr>
            </w:pPr>
          </w:p>
        </w:tc>
        <w:tc>
          <w:tcPr>
            <w:tcW w:w="867" w:type="pct"/>
            <w:vMerge/>
            <w:tcBorders>
              <w:left w:val="single" w:sz="8" w:space="0" w:color="D9D9D9"/>
              <w:right w:val="single" w:sz="8" w:space="0" w:color="D9D9D9"/>
            </w:tcBorders>
            <w:shd w:val="clear" w:color="auto" w:fill="FFFFFF" w:themeFill="background1"/>
          </w:tcPr>
          <w:p w14:paraId="0A6D4B44" w14:textId="77777777" w:rsidR="00C2625D" w:rsidRPr="009D0A4A" w:rsidRDefault="00C2625D" w:rsidP="00FA6EE6">
            <w:pPr>
              <w:pStyle w:val="BodyText"/>
              <w:ind w:left="157"/>
              <w:rPr>
                <w:rFonts w:cstheme="minorHAnsi"/>
                <w:color w:val="auto"/>
                <w:sz w:val="18"/>
                <w:szCs w:val="18"/>
              </w:rPr>
            </w:pPr>
          </w:p>
        </w:tc>
        <w:tc>
          <w:tcPr>
            <w:tcW w:w="836"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1DED35C3" w14:textId="77777777" w:rsidR="00C2625D" w:rsidRPr="009D0A4A" w:rsidRDefault="00C2625D" w:rsidP="00FA6EE6">
            <w:pPr>
              <w:pStyle w:val="BodyText"/>
              <w:rPr>
                <w:rFonts w:cstheme="minorHAnsi"/>
                <w:b/>
                <w:bCs/>
                <w:sz w:val="18"/>
                <w:szCs w:val="18"/>
              </w:rPr>
            </w:pPr>
            <w:r w:rsidRPr="009D0A4A">
              <w:rPr>
                <w:rFonts w:cstheme="minorHAnsi"/>
                <w:sz w:val="18"/>
                <w:szCs w:val="18"/>
              </w:rPr>
              <w:t>Number of workers required for scheduled and unscheduled audits (#)</w:t>
            </w:r>
          </w:p>
        </w:tc>
        <w:tc>
          <w:tcPr>
            <w:tcW w:w="96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6F90FE0A" w14:textId="778B1DB8" w:rsidR="00C2625D" w:rsidRPr="009D0A4A" w:rsidRDefault="00C2625D" w:rsidP="00FA6EE6">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2</w:t>
            </w:r>
          </w:p>
        </w:tc>
        <w:tc>
          <w:tcPr>
            <w:tcW w:w="1616" w:type="pct"/>
            <w:vMerge/>
            <w:tcBorders>
              <w:left w:val="single" w:sz="8" w:space="0" w:color="D9D9D9"/>
              <w:right w:val="single" w:sz="8" w:space="0" w:color="D9D9D9"/>
            </w:tcBorders>
            <w:shd w:val="clear" w:color="auto" w:fill="FFFFFF" w:themeFill="background1"/>
            <w:vAlign w:val="center"/>
          </w:tcPr>
          <w:p w14:paraId="286EC730" w14:textId="77777777" w:rsidR="00C2625D" w:rsidRPr="009D0A4A" w:rsidRDefault="00C2625D" w:rsidP="00FA6EE6">
            <w:pPr>
              <w:pStyle w:val="EYBulletnoparaspace"/>
              <w:numPr>
                <w:ilvl w:val="0"/>
                <w:numId w:val="0"/>
              </w:numPr>
              <w:spacing w:line="264" w:lineRule="auto"/>
              <w:ind w:left="425" w:right="269"/>
              <w:jc w:val="center"/>
              <w:rPr>
                <w:rFonts w:asciiTheme="minorHAnsi" w:hAnsiTheme="minorHAnsi" w:cstheme="minorHAnsi"/>
                <w:b/>
                <w:bCs/>
                <w:sz w:val="18"/>
                <w:szCs w:val="18"/>
              </w:rPr>
            </w:pPr>
          </w:p>
        </w:tc>
      </w:tr>
      <w:tr w:rsidR="00105526" w:rsidRPr="009D0A4A" w14:paraId="29CF2E84" w14:textId="77777777" w:rsidTr="00D028B0">
        <w:trPr>
          <w:trHeight w:val="560"/>
        </w:trPr>
        <w:tc>
          <w:tcPr>
            <w:tcW w:w="718"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667D31CC"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867" w:type="pct"/>
            <w:vMerge/>
            <w:tcBorders>
              <w:left w:val="single" w:sz="8" w:space="0" w:color="D9D9D9"/>
              <w:right w:val="single" w:sz="8" w:space="0" w:color="D9D9D9"/>
            </w:tcBorders>
            <w:shd w:val="clear" w:color="auto" w:fill="FFFFFF" w:themeFill="background1"/>
          </w:tcPr>
          <w:p w14:paraId="6BEC5651" w14:textId="77777777" w:rsidR="00105526" w:rsidRPr="009D0A4A" w:rsidRDefault="00105526" w:rsidP="00FA6EE6">
            <w:pPr>
              <w:pStyle w:val="BodyText"/>
              <w:ind w:left="157"/>
              <w:rPr>
                <w:rFonts w:cstheme="minorHAnsi"/>
                <w:color w:val="auto"/>
                <w:sz w:val="18"/>
                <w:szCs w:val="18"/>
              </w:rPr>
            </w:pPr>
          </w:p>
        </w:tc>
        <w:tc>
          <w:tcPr>
            <w:tcW w:w="836"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64B86140" w14:textId="77777777" w:rsidR="00105526" w:rsidRPr="009D0A4A" w:rsidRDefault="00105526" w:rsidP="00FA6EE6">
            <w:pPr>
              <w:pStyle w:val="BodyText"/>
              <w:rPr>
                <w:rFonts w:cstheme="minorHAnsi"/>
                <w:b/>
                <w:bCs/>
                <w:sz w:val="18"/>
                <w:szCs w:val="18"/>
              </w:rPr>
            </w:pPr>
            <w:r w:rsidRPr="009D0A4A">
              <w:rPr>
                <w:rFonts w:cstheme="minorHAnsi"/>
                <w:sz w:val="18"/>
                <w:szCs w:val="18"/>
              </w:rPr>
              <w:t>Number of businesses undertaking high risk silica work in Australia</w:t>
            </w:r>
            <w:r w:rsidRPr="009D0A4A">
              <w:rPr>
                <w:rFonts w:cstheme="minorHAnsi"/>
                <w:color w:val="auto"/>
                <w:sz w:val="18"/>
                <w:szCs w:val="18"/>
              </w:rPr>
              <w:t xml:space="preserve"> (#)</w:t>
            </w:r>
          </w:p>
        </w:tc>
        <w:tc>
          <w:tcPr>
            <w:tcW w:w="96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1077CFF6" w14:textId="501729D0"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b/>
                <w:bCs/>
                <w:sz w:val="18"/>
                <w:szCs w:val="18"/>
              </w:rPr>
            </w:pPr>
            <w:r w:rsidRPr="009D0A4A">
              <w:rPr>
                <w:rStyle w:val="BodyTextChar"/>
                <w:rFonts w:asciiTheme="minorHAnsi" w:hAnsiTheme="minorHAnsi" w:cstheme="minorHAnsi"/>
                <w:sz w:val="18"/>
                <w:szCs w:val="18"/>
              </w:rPr>
              <w:t xml:space="preserve">Refer to </w:t>
            </w:r>
            <w:r w:rsidR="00733855" w:rsidRPr="009D0A4A">
              <w:rPr>
                <w:rStyle w:val="BodyTextChar"/>
                <w:rFonts w:asciiTheme="minorHAnsi" w:hAnsiTheme="minorHAnsi" w:cstheme="minorHAnsi"/>
                <w:sz w:val="18"/>
                <w:szCs w:val="18"/>
              </w:rPr>
              <w:t>Table 26</w:t>
            </w:r>
          </w:p>
        </w:tc>
        <w:tc>
          <w:tcPr>
            <w:tcW w:w="1616" w:type="pct"/>
            <w:vMerge/>
            <w:tcBorders>
              <w:left w:val="single" w:sz="8" w:space="0" w:color="D9D9D9"/>
              <w:right w:val="single" w:sz="8" w:space="0" w:color="D9D9D9"/>
            </w:tcBorders>
            <w:shd w:val="clear" w:color="auto" w:fill="FFFFFF" w:themeFill="background1"/>
            <w:vAlign w:val="center"/>
          </w:tcPr>
          <w:p w14:paraId="5F71BF92" w14:textId="77777777" w:rsidR="00105526" w:rsidRPr="009D0A4A" w:rsidRDefault="00105526" w:rsidP="00FA6EE6">
            <w:pPr>
              <w:pStyle w:val="EYBulletnoparaspace"/>
              <w:numPr>
                <w:ilvl w:val="0"/>
                <w:numId w:val="0"/>
              </w:numPr>
              <w:spacing w:line="264" w:lineRule="auto"/>
              <w:ind w:left="425" w:right="269"/>
              <w:jc w:val="center"/>
              <w:rPr>
                <w:rFonts w:asciiTheme="minorHAnsi" w:hAnsiTheme="minorHAnsi" w:cstheme="minorHAnsi"/>
                <w:b/>
                <w:bCs/>
                <w:sz w:val="18"/>
                <w:szCs w:val="18"/>
              </w:rPr>
            </w:pPr>
          </w:p>
        </w:tc>
      </w:tr>
      <w:tr w:rsidR="00105526" w:rsidRPr="009D0A4A" w14:paraId="173A4562" w14:textId="77777777" w:rsidTr="00D028B0">
        <w:trPr>
          <w:trHeight w:val="560"/>
        </w:trPr>
        <w:tc>
          <w:tcPr>
            <w:tcW w:w="718"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0C3835B4"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p>
        </w:tc>
        <w:tc>
          <w:tcPr>
            <w:tcW w:w="867" w:type="pct"/>
            <w:vMerge/>
            <w:tcBorders>
              <w:left w:val="single" w:sz="8" w:space="0" w:color="D9D9D9"/>
              <w:right w:val="single" w:sz="8" w:space="0" w:color="D9D9D9"/>
            </w:tcBorders>
            <w:shd w:val="clear" w:color="auto" w:fill="FFFFFF" w:themeFill="background1"/>
          </w:tcPr>
          <w:p w14:paraId="6370F342" w14:textId="77777777" w:rsidR="00105526" w:rsidRPr="009D0A4A" w:rsidRDefault="00105526" w:rsidP="00FA6EE6">
            <w:pPr>
              <w:pStyle w:val="BodyText"/>
              <w:ind w:left="157"/>
              <w:rPr>
                <w:rFonts w:cstheme="minorHAnsi"/>
                <w:color w:val="auto"/>
                <w:sz w:val="18"/>
                <w:szCs w:val="18"/>
              </w:rPr>
            </w:pPr>
          </w:p>
        </w:tc>
        <w:tc>
          <w:tcPr>
            <w:tcW w:w="836"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7F312601" w14:textId="22E094EC" w:rsidR="00105526" w:rsidRPr="009D0A4A" w:rsidRDefault="00105526" w:rsidP="00FA6EE6">
            <w:pPr>
              <w:pStyle w:val="BodyText"/>
              <w:rPr>
                <w:rFonts w:cstheme="minorHAnsi"/>
                <w:b/>
                <w:bCs/>
                <w:sz w:val="18"/>
                <w:szCs w:val="18"/>
              </w:rPr>
            </w:pPr>
            <w:r w:rsidRPr="009D0A4A">
              <w:rPr>
                <w:rFonts w:cstheme="minorHAnsi"/>
                <w:sz w:val="18"/>
                <w:szCs w:val="18"/>
              </w:rPr>
              <w:t xml:space="preserve">Annual </w:t>
            </w:r>
            <w:r w:rsidR="00612B2C" w:rsidRPr="009D0A4A">
              <w:rPr>
                <w:rFonts w:cstheme="minorHAnsi"/>
                <w:sz w:val="18"/>
                <w:szCs w:val="18"/>
              </w:rPr>
              <w:t xml:space="preserve">salary </w:t>
            </w:r>
            <w:r w:rsidRPr="009D0A4A">
              <w:rPr>
                <w:rFonts w:cstheme="minorHAnsi"/>
                <w:sz w:val="18"/>
                <w:szCs w:val="18"/>
              </w:rPr>
              <w:t>for government workers</w:t>
            </w:r>
          </w:p>
        </w:tc>
        <w:tc>
          <w:tcPr>
            <w:tcW w:w="963" w:type="pct"/>
            <w:tcBorders>
              <w:top w:val="single" w:sz="8" w:space="0" w:color="D9D9D9"/>
              <w:left w:val="single" w:sz="8" w:space="0" w:color="D9D9D9"/>
              <w:bottom w:val="single" w:sz="8" w:space="0" w:color="D9D9D9"/>
              <w:right w:val="single" w:sz="8" w:space="0" w:color="D9D9D9"/>
            </w:tcBorders>
            <w:shd w:val="clear" w:color="auto" w:fill="FFFFFF" w:themeFill="background1"/>
            <w:vAlign w:val="center"/>
          </w:tcPr>
          <w:p w14:paraId="1B8BFE4F" w14:textId="7881824C"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b/>
                <w:bCs/>
                <w:sz w:val="18"/>
                <w:szCs w:val="18"/>
              </w:rPr>
            </w:pPr>
            <w:r w:rsidRPr="009D0A4A">
              <w:rPr>
                <w:rStyle w:val="BodyTextChar"/>
                <w:rFonts w:asciiTheme="minorHAnsi" w:hAnsiTheme="minorHAnsi" w:cstheme="minorHAnsi"/>
                <w:sz w:val="18"/>
                <w:szCs w:val="18"/>
              </w:rPr>
              <w:t>Refer to</w:t>
            </w:r>
            <w:r w:rsidR="00733855" w:rsidRPr="009D0A4A">
              <w:rPr>
                <w:rStyle w:val="BodyTextChar"/>
                <w:rFonts w:asciiTheme="minorHAnsi" w:hAnsiTheme="minorHAnsi" w:cstheme="minorHAnsi"/>
                <w:sz w:val="18"/>
                <w:szCs w:val="18"/>
              </w:rPr>
              <w:t xml:space="preserve"> Table 28</w:t>
            </w:r>
          </w:p>
        </w:tc>
        <w:tc>
          <w:tcPr>
            <w:tcW w:w="1616" w:type="pct"/>
            <w:vMerge/>
            <w:tcBorders>
              <w:left w:val="single" w:sz="8" w:space="0" w:color="D9D9D9"/>
              <w:right w:val="single" w:sz="8" w:space="0" w:color="D9D9D9"/>
            </w:tcBorders>
            <w:shd w:val="clear" w:color="auto" w:fill="FFFFFF" w:themeFill="background1"/>
            <w:vAlign w:val="center"/>
          </w:tcPr>
          <w:p w14:paraId="64A7DF9C" w14:textId="77777777" w:rsidR="00105526" w:rsidRPr="009D0A4A" w:rsidRDefault="00105526" w:rsidP="00FA6EE6">
            <w:pPr>
              <w:pStyle w:val="EYBulletnoparaspace"/>
              <w:numPr>
                <w:ilvl w:val="0"/>
                <w:numId w:val="0"/>
              </w:numPr>
              <w:spacing w:line="264" w:lineRule="auto"/>
              <w:ind w:left="425" w:right="269"/>
              <w:jc w:val="center"/>
              <w:rPr>
                <w:rFonts w:asciiTheme="minorHAnsi" w:hAnsiTheme="minorHAnsi" w:cstheme="minorHAnsi"/>
                <w:b/>
                <w:bCs/>
                <w:sz w:val="18"/>
                <w:szCs w:val="18"/>
              </w:rPr>
            </w:pPr>
          </w:p>
        </w:tc>
      </w:tr>
      <w:tr w:rsidR="00105526" w:rsidRPr="009D0A4A" w14:paraId="71623794" w14:textId="77777777" w:rsidTr="000823EF">
        <w:trPr>
          <w:trHeight w:val="3976"/>
        </w:trPr>
        <w:tc>
          <w:tcPr>
            <w:tcW w:w="718" w:type="pct"/>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31846EAF" w14:textId="77777777" w:rsidR="00105526" w:rsidRPr="009D0A4A" w:rsidRDefault="00105526" w:rsidP="00FA6EE6">
            <w:pPr>
              <w:pStyle w:val="EYBulletnoparaspace"/>
              <w:numPr>
                <w:ilvl w:val="0"/>
                <w:numId w:val="0"/>
              </w:numPr>
              <w:spacing w:line="264" w:lineRule="auto"/>
              <w:rPr>
                <w:rFonts w:asciiTheme="minorHAnsi" w:hAnsiTheme="minorHAnsi" w:cstheme="minorHAnsi"/>
                <w:i/>
                <w:iCs/>
                <w:sz w:val="18"/>
                <w:szCs w:val="18"/>
              </w:rPr>
            </w:pPr>
            <w:r w:rsidRPr="009D0A4A">
              <w:rPr>
                <w:rFonts w:asciiTheme="minorHAnsi" w:hAnsiTheme="minorHAnsi" w:cstheme="minorHAnsi"/>
                <w:i/>
                <w:iCs/>
                <w:sz w:val="18"/>
                <w:szCs w:val="18"/>
              </w:rPr>
              <w:t>Awareness campaign</w:t>
            </w:r>
          </w:p>
        </w:tc>
        <w:tc>
          <w:tcPr>
            <w:tcW w:w="867" w:type="pct"/>
            <w:tcBorders>
              <w:left w:val="single" w:sz="8" w:space="0" w:color="D9D9D9"/>
              <w:right w:val="single" w:sz="8" w:space="0" w:color="D9D9D9"/>
            </w:tcBorders>
            <w:shd w:val="clear" w:color="auto" w:fill="FFFFFF" w:themeFill="background1"/>
          </w:tcPr>
          <w:p w14:paraId="4096FE40" w14:textId="77777777" w:rsidR="00105526" w:rsidRPr="009D0A4A" w:rsidRDefault="00105526" w:rsidP="00FA6EE6">
            <w:pPr>
              <w:pStyle w:val="BodyText"/>
              <w:ind w:left="157"/>
              <w:rPr>
                <w:rFonts w:cstheme="minorHAnsi"/>
                <w:sz w:val="18"/>
                <w:szCs w:val="18"/>
              </w:rPr>
            </w:pPr>
            <w:r w:rsidRPr="009D0A4A">
              <w:rPr>
                <w:rFonts w:cstheme="minorHAnsi"/>
                <w:sz w:val="18"/>
                <w:szCs w:val="18"/>
              </w:rPr>
              <w:t>Implementation of a national awareness campaign to support the regulatory change</w:t>
            </w:r>
          </w:p>
        </w:tc>
        <w:tc>
          <w:tcPr>
            <w:tcW w:w="836" w:type="pct"/>
            <w:tcBorders>
              <w:top w:val="single" w:sz="8" w:space="0" w:color="D9D9D9"/>
              <w:left w:val="single" w:sz="8" w:space="0" w:color="D9D9D9"/>
              <w:right w:val="single" w:sz="8" w:space="0" w:color="D9D9D9"/>
            </w:tcBorders>
            <w:shd w:val="clear" w:color="auto" w:fill="FFFFFF" w:themeFill="background1"/>
          </w:tcPr>
          <w:p w14:paraId="7BA4AC72" w14:textId="77777777" w:rsidR="00105526" w:rsidRPr="009D0A4A" w:rsidRDefault="00105526" w:rsidP="00FA6EE6">
            <w:pPr>
              <w:pStyle w:val="BodyText"/>
              <w:rPr>
                <w:rFonts w:cstheme="minorHAnsi"/>
                <w:b/>
                <w:bCs/>
                <w:sz w:val="18"/>
                <w:szCs w:val="18"/>
              </w:rPr>
            </w:pPr>
            <w:r w:rsidRPr="009D0A4A">
              <w:rPr>
                <w:rFonts w:cstheme="minorHAnsi"/>
                <w:color w:val="auto"/>
                <w:sz w:val="18"/>
                <w:szCs w:val="18"/>
              </w:rPr>
              <w:t>Cost of national awareness campaign ($)</w:t>
            </w:r>
          </w:p>
        </w:tc>
        <w:tc>
          <w:tcPr>
            <w:tcW w:w="963" w:type="pct"/>
            <w:tcBorders>
              <w:top w:val="single" w:sz="8" w:space="0" w:color="D9D9D9"/>
              <w:left w:val="single" w:sz="8" w:space="0" w:color="D9D9D9"/>
              <w:right w:val="single" w:sz="8" w:space="0" w:color="D9D9D9"/>
            </w:tcBorders>
            <w:shd w:val="clear" w:color="auto" w:fill="FFFFFF" w:themeFill="background1"/>
            <w:vAlign w:val="center"/>
          </w:tcPr>
          <w:p w14:paraId="77789163" w14:textId="77777777" w:rsidR="00105526" w:rsidRPr="009D0A4A" w:rsidRDefault="00105526" w:rsidP="00FA6EE6">
            <w:pPr>
              <w:pStyle w:val="EYBulletnoparaspace"/>
              <w:numPr>
                <w:ilvl w:val="0"/>
                <w:numId w:val="0"/>
              </w:numPr>
              <w:spacing w:line="264" w:lineRule="auto"/>
              <w:ind w:left="425" w:right="269" w:hanging="425"/>
              <w:jc w:val="center"/>
              <w:rPr>
                <w:rFonts w:asciiTheme="minorHAnsi" w:hAnsiTheme="minorHAnsi" w:cstheme="minorHAnsi"/>
                <w:b/>
                <w:bCs/>
                <w:sz w:val="18"/>
                <w:szCs w:val="18"/>
              </w:rPr>
            </w:pPr>
            <w:r w:rsidRPr="009D0A4A">
              <w:rPr>
                <w:rFonts w:asciiTheme="minorHAnsi" w:hAnsiTheme="minorHAnsi" w:cstheme="minorHAnsi"/>
                <w:sz w:val="18"/>
                <w:szCs w:val="18"/>
              </w:rPr>
              <w:t>$120,000</w:t>
            </w:r>
            <w:r w:rsidRPr="009D0A4A">
              <w:rPr>
                <w:rStyle w:val="FootnoteReference"/>
                <w:rFonts w:asciiTheme="minorHAnsi" w:hAnsiTheme="minorHAnsi" w:cstheme="minorHAnsi"/>
                <w:sz w:val="18"/>
                <w:szCs w:val="18"/>
              </w:rPr>
              <w:footnoteReference w:id="36"/>
            </w:r>
          </w:p>
        </w:tc>
        <w:tc>
          <w:tcPr>
            <w:tcW w:w="1616" w:type="pct"/>
            <w:tcBorders>
              <w:left w:val="single" w:sz="8" w:space="0" w:color="D9D9D9"/>
              <w:right w:val="single" w:sz="8" w:space="0" w:color="D9D9D9"/>
            </w:tcBorders>
            <w:shd w:val="clear" w:color="auto" w:fill="FFFFFF" w:themeFill="background1"/>
            <w:vAlign w:val="center"/>
          </w:tcPr>
          <w:p w14:paraId="676E8C75" w14:textId="77777777" w:rsidR="00105526" w:rsidRPr="009D0A4A" w:rsidRDefault="00105526" w:rsidP="00FA6EE6">
            <w:pPr>
              <w:pStyle w:val="EYBulletnoparaspace"/>
              <w:numPr>
                <w:ilvl w:val="0"/>
                <w:numId w:val="0"/>
              </w:numPr>
              <w:spacing w:line="264" w:lineRule="auto"/>
              <w:jc w:val="center"/>
              <w:rPr>
                <w:rFonts w:asciiTheme="minorHAnsi" w:hAnsiTheme="minorHAnsi" w:cstheme="minorHAnsi"/>
                <w:b/>
                <w:bCs/>
                <w:color w:val="262626" w:themeColor="text1" w:themeTint="D9"/>
                <w:sz w:val="18"/>
                <w:szCs w:val="18"/>
              </w:rPr>
            </w:pPr>
            <w:r w:rsidRPr="009D0A4A">
              <w:rPr>
                <w:rFonts w:asciiTheme="minorHAnsi" w:hAnsiTheme="minorHAnsi" w:cstheme="minorHAnsi"/>
                <w:b/>
                <w:bCs/>
                <w:sz w:val="18"/>
                <w:szCs w:val="18"/>
              </w:rPr>
              <w:t>Cost of awareness campaigns</w:t>
            </w:r>
          </w:p>
          <w:p w14:paraId="170F4A56" w14:textId="77777777" w:rsidR="00105526" w:rsidRPr="009D0A4A" w:rsidRDefault="00105526" w:rsidP="00FA6EE6">
            <w:pPr>
              <w:pStyle w:val="EYBulletnoparaspace"/>
              <w:numPr>
                <w:ilvl w:val="0"/>
                <w:numId w:val="0"/>
              </w:numPr>
              <w:spacing w:line="264" w:lineRule="auto"/>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40A372F3" w14:textId="77777777" w:rsidR="00105526" w:rsidRPr="009D0A4A" w:rsidRDefault="00105526" w:rsidP="00FA6EE6">
            <w:pPr>
              <w:pStyle w:val="EYBulletnoparaspace"/>
              <w:numPr>
                <w:ilvl w:val="0"/>
                <w:numId w:val="0"/>
              </w:numPr>
              <w:spacing w:line="264" w:lineRule="auto"/>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Average annual cost of national awareness campaign</w:t>
            </w:r>
          </w:p>
          <w:p w14:paraId="597DA679" w14:textId="77777777" w:rsidR="00105526" w:rsidRPr="009D0A4A" w:rsidRDefault="00105526" w:rsidP="00FA6EE6">
            <w:pPr>
              <w:pStyle w:val="EYBulletnoparaspace"/>
              <w:numPr>
                <w:ilvl w:val="0"/>
                <w:numId w:val="0"/>
              </w:numPr>
              <w:spacing w:line="264" w:lineRule="auto"/>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446853C3" w14:textId="77777777" w:rsidR="00105526" w:rsidRPr="009D0A4A" w:rsidRDefault="00105526" w:rsidP="00FA6EE6">
            <w:pPr>
              <w:pStyle w:val="EYBulletnoparaspace"/>
              <w:numPr>
                <w:ilvl w:val="0"/>
                <w:numId w:val="0"/>
              </w:numPr>
              <w:spacing w:line="264" w:lineRule="auto"/>
              <w:ind w:right="269"/>
              <w:jc w:val="center"/>
              <w:rPr>
                <w:rFonts w:asciiTheme="minorHAnsi" w:hAnsiTheme="minorHAnsi" w:cstheme="minorHAnsi"/>
                <w:b/>
                <w:bCs/>
                <w:sz w:val="18"/>
                <w:szCs w:val="18"/>
              </w:rPr>
            </w:pPr>
            <w:r w:rsidRPr="009D0A4A">
              <w:rPr>
                <w:rFonts w:asciiTheme="minorHAnsi" w:hAnsiTheme="minorHAnsi" w:cstheme="minorHAnsi"/>
                <w:sz w:val="18"/>
                <w:szCs w:val="18"/>
              </w:rPr>
              <w:t>Frequency of campaign (Year 1 only)</w:t>
            </w:r>
          </w:p>
        </w:tc>
      </w:tr>
      <w:tr w:rsidR="00105526" w:rsidRPr="009D0A4A" w14:paraId="35FF1239" w14:textId="77777777" w:rsidTr="00D028B0">
        <w:trPr>
          <w:trHeight w:val="297"/>
        </w:trPr>
        <w:tc>
          <w:tcPr>
            <w:tcW w:w="5000" w:type="pct"/>
            <w:gridSpan w:val="5"/>
            <w:tcBorders>
              <w:left w:val="single" w:sz="8" w:space="0" w:color="D9D9D9"/>
              <w:right w:val="single" w:sz="8" w:space="0" w:color="D9D9D9"/>
            </w:tcBorders>
            <w:shd w:val="clear" w:color="auto" w:fill="BFBFBF" w:themeFill="background1" w:themeFillShade="BF"/>
            <w:tcMar>
              <w:top w:w="72" w:type="dxa"/>
              <w:left w:w="144" w:type="dxa"/>
              <w:bottom w:w="72" w:type="dxa"/>
              <w:right w:w="144" w:type="dxa"/>
            </w:tcMar>
            <w:vAlign w:val="center"/>
          </w:tcPr>
          <w:p w14:paraId="4B271936" w14:textId="77777777" w:rsidR="00105526" w:rsidRPr="009D0A4A" w:rsidRDefault="00105526" w:rsidP="00FA6EE6">
            <w:pPr>
              <w:pStyle w:val="EYBulletnoparaspace"/>
              <w:numPr>
                <w:ilvl w:val="0"/>
                <w:numId w:val="0"/>
              </w:numPr>
              <w:spacing w:after="0" w:line="264" w:lineRule="auto"/>
              <w:ind w:left="425" w:right="266" w:hanging="425"/>
              <w:rPr>
                <w:rFonts w:asciiTheme="majorHAnsi" w:hAnsiTheme="majorHAnsi" w:cstheme="minorHAnsi"/>
                <w:b/>
                <w:bCs/>
                <w:sz w:val="18"/>
                <w:szCs w:val="18"/>
              </w:rPr>
            </w:pPr>
            <w:r w:rsidRPr="009D0A4A">
              <w:rPr>
                <w:rFonts w:asciiTheme="majorHAnsi" w:hAnsiTheme="majorHAnsi" w:cstheme="minorHAnsi"/>
                <w:b/>
                <w:bCs/>
                <w:sz w:val="18"/>
                <w:szCs w:val="18"/>
              </w:rPr>
              <w:lastRenderedPageBreak/>
              <w:t>Option 5a and 5b</w:t>
            </w:r>
          </w:p>
        </w:tc>
      </w:tr>
      <w:tr w:rsidR="00FB2330" w:rsidRPr="009D0A4A" w14:paraId="4D387039" w14:textId="77777777" w:rsidTr="00D028B0">
        <w:trPr>
          <w:trHeight w:val="1980"/>
        </w:trPr>
        <w:tc>
          <w:tcPr>
            <w:tcW w:w="718" w:type="pct"/>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1004AAA0" w14:textId="74BF4141" w:rsidR="00FB2330" w:rsidRPr="009D0A4A" w:rsidRDefault="00FB2330" w:rsidP="00FB2330">
            <w:pPr>
              <w:pStyle w:val="EYBulletnoparaspace"/>
              <w:numPr>
                <w:ilvl w:val="0"/>
                <w:numId w:val="0"/>
              </w:numPr>
              <w:spacing w:line="264" w:lineRule="auto"/>
              <w:rPr>
                <w:rFonts w:asciiTheme="minorHAnsi" w:hAnsiTheme="minorHAnsi" w:cstheme="minorHAnsi"/>
                <w:i/>
                <w:iCs/>
                <w:sz w:val="18"/>
                <w:szCs w:val="18"/>
              </w:rPr>
            </w:pPr>
            <w:r w:rsidRPr="009D0A4A">
              <w:rPr>
                <w:rFonts w:asciiTheme="minorHAnsi" w:hAnsiTheme="minorHAnsi" w:cstheme="minorHAnsi"/>
                <w:i/>
                <w:iCs/>
                <w:sz w:val="18"/>
                <w:szCs w:val="18"/>
              </w:rPr>
              <w:t>Awareness campaign (year 1 only)</w:t>
            </w:r>
          </w:p>
        </w:tc>
        <w:tc>
          <w:tcPr>
            <w:tcW w:w="867" w:type="pct"/>
            <w:tcBorders>
              <w:left w:val="single" w:sz="8" w:space="0" w:color="D9D9D9"/>
              <w:right w:val="single" w:sz="8" w:space="0" w:color="D9D9D9"/>
            </w:tcBorders>
            <w:shd w:val="clear" w:color="auto" w:fill="FFFFFF" w:themeFill="background1"/>
          </w:tcPr>
          <w:p w14:paraId="1E12846F" w14:textId="77777777" w:rsidR="00FB2330" w:rsidRPr="009D0A4A" w:rsidRDefault="00FB2330" w:rsidP="00FB2330">
            <w:pPr>
              <w:pStyle w:val="BodyText"/>
              <w:ind w:left="157"/>
              <w:rPr>
                <w:rFonts w:cstheme="minorHAnsi"/>
                <w:sz w:val="18"/>
                <w:szCs w:val="18"/>
              </w:rPr>
            </w:pPr>
            <w:r w:rsidRPr="009D0A4A">
              <w:rPr>
                <w:rFonts w:cstheme="minorHAnsi"/>
                <w:sz w:val="18"/>
                <w:szCs w:val="18"/>
              </w:rPr>
              <w:t>Cost of education/awareness campaign to inform PCBUs and other relevant duty holders of requirements resulting from regulatory changes</w:t>
            </w:r>
          </w:p>
        </w:tc>
        <w:tc>
          <w:tcPr>
            <w:tcW w:w="836" w:type="pct"/>
            <w:tcBorders>
              <w:top w:val="single" w:sz="8" w:space="0" w:color="D9D9D9"/>
              <w:left w:val="single" w:sz="8" w:space="0" w:color="D9D9D9"/>
              <w:right w:val="single" w:sz="8" w:space="0" w:color="D9D9D9"/>
            </w:tcBorders>
            <w:shd w:val="clear" w:color="auto" w:fill="FFFFFF" w:themeFill="background1"/>
          </w:tcPr>
          <w:p w14:paraId="476F54AA" w14:textId="77777777" w:rsidR="00FB2330" w:rsidRPr="009D0A4A" w:rsidRDefault="00FB2330" w:rsidP="00FB2330">
            <w:pPr>
              <w:pStyle w:val="BodyText"/>
              <w:rPr>
                <w:rFonts w:cstheme="minorHAnsi"/>
                <w:sz w:val="18"/>
                <w:szCs w:val="18"/>
              </w:rPr>
            </w:pPr>
            <w:r w:rsidRPr="009D0A4A">
              <w:rPr>
                <w:rFonts w:cstheme="minorHAnsi"/>
                <w:sz w:val="18"/>
                <w:szCs w:val="18"/>
              </w:rPr>
              <w:t xml:space="preserve">Cost of education/awareness campaign </w:t>
            </w:r>
          </w:p>
        </w:tc>
        <w:tc>
          <w:tcPr>
            <w:tcW w:w="963" w:type="pct"/>
            <w:tcBorders>
              <w:top w:val="single" w:sz="8" w:space="0" w:color="D9D9D9"/>
              <w:left w:val="single" w:sz="8" w:space="0" w:color="D9D9D9"/>
              <w:right w:val="single" w:sz="8" w:space="0" w:color="D9D9D9"/>
            </w:tcBorders>
            <w:shd w:val="clear" w:color="auto" w:fill="FFFFFF" w:themeFill="background1"/>
            <w:vAlign w:val="center"/>
          </w:tcPr>
          <w:p w14:paraId="150FDC65" w14:textId="77777777" w:rsidR="00FB2330" w:rsidRPr="009D0A4A" w:rsidRDefault="00FB2330" w:rsidP="00FB2330">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$120,000</w:t>
            </w:r>
            <w:r w:rsidRPr="009D0A4A">
              <w:rPr>
                <w:rStyle w:val="FootnoteReference"/>
                <w:rFonts w:asciiTheme="minorHAnsi" w:hAnsiTheme="minorHAnsi" w:cstheme="minorHAnsi"/>
                <w:sz w:val="18"/>
                <w:szCs w:val="18"/>
              </w:rPr>
              <w:footnoteReference w:id="37"/>
            </w:r>
          </w:p>
        </w:tc>
        <w:tc>
          <w:tcPr>
            <w:tcW w:w="1616" w:type="pct"/>
            <w:tcBorders>
              <w:left w:val="single" w:sz="8" w:space="0" w:color="D9D9D9"/>
              <w:right w:val="single" w:sz="8" w:space="0" w:color="D9D9D9"/>
            </w:tcBorders>
            <w:shd w:val="clear" w:color="auto" w:fill="FFFFFF" w:themeFill="background1"/>
          </w:tcPr>
          <w:p w14:paraId="7BE9A3A8" w14:textId="6979C8A7" w:rsidR="00FB2330" w:rsidRPr="009D0A4A" w:rsidRDefault="00FB2330" w:rsidP="00FB2330">
            <w:pPr>
              <w:pStyle w:val="EYBulletnoparaspace"/>
              <w:numPr>
                <w:ilvl w:val="0"/>
                <w:numId w:val="0"/>
              </w:numPr>
              <w:spacing w:line="264" w:lineRule="auto"/>
              <w:ind w:right="269"/>
              <w:jc w:val="center"/>
              <w:rPr>
                <w:rFonts w:asciiTheme="minorHAnsi" w:hAnsiTheme="minorHAnsi" w:cstheme="minorHAnsi"/>
                <w:b/>
                <w:bCs/>
                <w:sz w:val="18"/>
                <w:szCs w:val="18"/>
              </w:rPr>
            </w:pPr>
            <w:r w:rsidRPr="009D0A4A">
              <w:rPr>
                <w:rFonts w:asciiTheme="minorHAnsi" w:hAnsiTheme="minorHAnsi" w:cstheme="minorHAnsi"/>
                <w:b/>
                <w:bCs/>
                <w:sz w:val="18"/>
                <w:szCs w:val="18"/>
              </w:rPr>
              <w:t>Cost of education/awareness campaign</w:t>
            </w:r>
            <w:r w:rsidRPr="009D0A4A">
              <w:rPr>
                <w:rFonts w:cstheme="minorHAnsi"/>
                <w:sz w:val="18"/>
                <w:szCs w:val="18"/>
              </w:rPr>
              <w:t xml:space="preserve"> </w:t>
            </w:r>
          </w:p>
        </w:tc>
      </w:tr>
      <w:tr w:rsidR="00FB2330" w:rsidRPr="009D0A4A" w14:paraId="16918910" w14:textId="77777777" w:rsidTr="00D028B0">
        <w:trPr>
          <w:trHeight w:val="462"/>
        </w:trPr>
        <w:tc>
          <w:tcPr>
            <w:tcW w:w="718" w:type="pct"/>
            <w:vMerge w:val="restart"/>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tcPr>
          <w:p w14:paraId="09360EDB" w14:textId="77777777" w:rsidR="00FB2330" w:rsidRPr="009D0A4A" w:rsidRDefault="00FB2330" w:rsidP="00FB2330">
            <w:pPr>
              <w:pStyle w:val="EYBulletnoparaspace"/>
              <w:numPr>
                <w:ilvl w:val="0"/>
                <w:numId w:val="0"/>
              </w:numPr>
              <w:spacing w:line="264" w:lineRule="auto"/>
              <w:rPr>
                <w:rFonts w:asciiTheme="minorHAnsi" w:hAnsiTheme="minorHAnsi" w:cstheme="minorHAnsi"/>
                <w:i/>
                <w:iCs/>
                <w:sz w:val="18"/>
                <w:szCs w:val="18"/>
              </w:rPr>
            </w:pPr>
            <w:r w:rsidRPr="009D0A4A">
              <w:rPr>
                <w:rFonts w:asciiTheme="minorHAnsi" w:hAnsiTheme="minorHAnsi" w:cstheme="minorHAnsi"/>
                <w:i/>
                <w:iCs/>
                <w:sz w:val="18"/>
                <w:szCs w:val="18"/>
              </w:rPr>
              <w:t>Data analysis and reporting</w:t>
            </w:r>
          </w:p>
        </w:tc>
        <w:tc>
          <w:tcPr>
            <w:tcW w:w="867" w:type="pct"/>
            <w:vMerge w:val="restart"/>
            <w:tcBorders>
              <w:left w:val="single" w:sz="8" w:space="0" w:color="D9D9D9"/>
              <w:right w:val="single" w:sz="8" w:space="0" w:color="D9D9D9"/>
            </w:tcBorders>
            <w:shd w:val="clear" w:color="auto" w:fill="FFFFFF" w:themeFill="background1"/>
          </w:tcPr>
          <w:p w14:paraId="79E49A5B" w14:textId="77777777" w:rsidR="00FB2330" w:rsidRPr="009D0A4A" w:rsidRDefault="00FB2330" w:rsidP="00FB2330">
            <w:pPr>
              <w:pStyle w:val="BodyText"/>
              <w:ind w:left="157"/>
              <w:rPr>
                <w:rFonts w:cstheme="minorHAnsi"/>
                <w:sz w:val="18"/>
                <w:szCs w:val="18"/>
              </w:rPr>
            </w:pPr>
            <w:r w:rsidRPr="009D0A4A">
              <w:rPr>
                <w:rFonts w:cstheme="minorHAnsi"/>
                <w:sz w:val="18"/>
                <w:szCs w:val="18"/>
              </w:rPr>
              <w:t>Labour associated with processing of health monitoring and air monitoring reports submitted by PCBUs on an annual basis</w:t>
            </w:r>
          </w:p>
        </w:tc>
        <w:tc>
          <w:tcPr>
            <w:tcW w:w="836"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52029B1B" w14:textId="77777777" w:rsidR="00FB2330" w:rsidRPr="009D0A4A" w:rsidRDefault="00FB2330" w:rsidP="00FB2330">
            <w:pPr>
              <w:pStyle w:val="BodyText"/>
              <w:rPr>
                <w:rFonts w:cstheme="minorHAnsi"/>
                <w:sz w:val="18"/>
                <w:szCs w:val="18"/>
              </w:rPr>
            </w:pPr>
            <w:r w:rsidRPr="009D0A4A">
              <w:rPr>
                <w:rFonts w:cstheme="minorHAnsi"/>
                <w:sz w:val="18"/>
                <w:szCs w:val="18"/>
              </w:rPr>
              <w:t>Number of workers to conduct data analysis and reporting (#)</w:t>
            </w:r>
          </w:p>
        </w:tc>
        <w:tc>
          <w:tcPr>
            <w:tcW w:w="963" w:type="pct"/>
            <w:tcBorders>
              <w:top w:val="single" w:sz="8" w:space="0" w:color="D9D9D9"/>
              <w:left w:val="single" w:sz="8" w:space="0" w:color="D9D9D9"/>
              <w:right w:val="single" w:sz="8" w:space="0" w:color="D9D9D9"/>
            </w:tcBorders>
            <w:shd w:val="clear" w:color="auto" w:fill="FFFFFF" w:themeFill="background1"/>
            <w:vAlign w:val="center"/>
          </w:tcPr>
          <w:p w14:paraId="49053300" w14:textId="77777777" w:rsidR="00FB2330" w:rsidRPr="009D0A4A" w:rsidRDefault="00FB2330" w:rsidP="00FB2330">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2</w:t>
            </w:r>
            <w:r w:rsidRPr="009D0A4A">
              <w:rPr>
                <w:rStyle w:val="FootnoteReference"/>
                <w:rFonts w:asciiTheme="minorHAnsi" w:hAnsiTheme="minorHAnsi" w:cstheme="minorHAnsi"/>
                <w:sz w:val="18"/>
                <w:szCs w:val="18"/>
              </w:rPr>
              <w:footnoteReference w:id="38"/>
            </w:r>
          </w:p>
        </w:tc>
        <w:tc>
          <w:tcPr>
            <w:tcW w:w="1616" w:type="pct"/>
            <w:vMerge w:val="restart"/>
            <w:tcBorders>
              <w:left w:val="single" w:sz="8" w:space="0" w:color="D9D9D9"/>
              <w:right w:val="single" w:sz="8" w:space="0" w:color="D9D9D9"/>
            </w:tcBorders>
            <w:shd w:val="clear" w:color="auto" w:fill="FFFFFF" w:themeFill="background1"/>
            <w:vAlign w:val="center"/>
          </w:tcPr>
          <w:p w14:paraId="678258D2" w14:textId="77777777" w:rsidR="00FB2330" w:rsidRPr="009D0A4A" w:rsidRDefault="00FB2330" w:rsidP="00FB2330">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b/>
                <w:bCs/>
                <w:sz w:val="18"/>
                <w:szCs w:val="18"/>
              </w:rPr>
              <w:t xml:space="preserve">Cost of data analysis and reporting </w:t>
            </w:r>
            <w:r w:rsidRPr="009D0A4A">
              <w:rPr>
                <w:rFonts w:asciiTheme="minorHAnsi" w:hAnsiTheme="minorHAnsi" w:cstheme="minorHAnsi"/>
                <w:b/>
                <w:bCs/>
                <w:sz w:val="18"/>
                <w:szCs w:val="18"/>
              </w:rPr>
              <w:br/>
              <w:t>=</w:t>
            </w:r>
            <w:r w:rsidRPr="009D0A4A">
              <w:rPr>
                <w:rFonts w:asciiTheme="minorHAnsi" w:hAnsiTheme="minorHAnsi" w:cstheme="minorHAnsi"/>
                <w:b/>
                <w:bCs/>
                <w:sz w:val="18"/>
                <w:szCs w:val="18"/>
              </w:rPr>
              <w:br/>
            </w:r>
            <w:r w:rsidRPr="009D0A4A">
              <w:rPr>
                <w:rFonts w:asciiTheme="minorHAnsi" w:hAnsiTheme="minorHAnsi" w:cstheme="minorHAnsi"/>
                <w:sz w:val="18"/>
                <w:szCs w:val="18"/>
              </w:rPr>
              <w:t>Number of workers</w:t>
            </w:r>
          </w:p>
          <w:p w14:paraId="0E96579E" w14:textId="77777777" w:rsidR="00FB2330" w:rsidRPr="009D0A4A" w:rsidRDefault="00FB2330" w:rsidP="00FB2330">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38AC0E62" w14:textId="77777777" w:rsidR="00FB2330" w:rsidRPr="009D0A4A" w:rsidRDefault="00FB2330" w:rsidP="00FB2330">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Duration of employment (years)</w:t>
            </w:r>
          </w:p>
          <w:p w14:paraId="3BB0921B" w14:textId="77777777" w:rsidR="00FB2330" w:rsidRPr="009D0A4A" w:rsidRDefault="00FB2330" w:rsidP="00FB2330">
            <w:pPr>
              <w:pStyle w:val="EYBulletnoparaspace"/>
              <w:numPr>
                <w:ilvl w:val="0"/>
                <w:numId w:val="0"/>
              </w:numPr>
              <w:spacing w:line="264" w:lineRule="auto"/>
              <w:ind w:right="269"/>
              <w:jc w:val="center"/>
              <w:rPr>
                <w:rFonts w:asciiTheme="minorHAnsi" w:hAnsiTheme="minorHAnsi" w:cstheme="minorHAnsi"/>
                <w:color w:val="262626" w:themeColor="text1" w:themeTint="D9"/>
                <w:sz w:val="18"/>
                <w:szCs w:val="18"/>
              </w:rPr>
            </w:pPr>
            <w:r w:rsidRPr="009D0A4A">
              <w:rPr>
                <w:rFonts w:asciiTheme="minorHAnsi" w:hAnsiTheme="minorHAnsi" w:cstheme="minorHAnsi"/>
                <w:sz w:val="18"/>
                <w:szCs w:val="18"/>
              </w:rPr>
              <w:t>×</w:t>
            </w:r>
          </w:p>
          <w:p w14:paraId="7FE1DABD" w14:textId="77777777" w:rsidR="00FB2330" w:rsidRPr="009D0A4A" w:rsidRDefault="00FB2330" w:rsidP="00FB2330">
            <w:pPr>
              <w:pStyle w:val="EYBulletnoparaspace"/>
              <w:numPr>
                <w:ilvl w:val="0"/>
                <w:numId w:val="0"/>
              </w:numPr>
              <w:spacing w:line="264" w:lineRule="auto"/>
              <w:ind w:right="269"/>
              <w:jc w:val="center"/>
              <w:rPr>
                <w:rFonts w:asciiTheme="minorHAnsi" w:hAnsiTheme="minorHAnsi" w:cstheme="minorHAnsi"/>
                <w:b/>
                <w:bCs/>
                <w:sz w:val="18"/>
                <w:szCs w:val="18"/>
              </w:rPr>
            </w:pPr>
            <w:r w:rsidRPr="009D0A4A">
              <w:rPr>
                <w:rFonts w:asciiTheme="minorHAnsi" w:hAnsiTheme="minorHAnsi" w:cstheme="minorHAnsi"/>
                <w:sz w:val="18"/>
                <w:szCs w:val="18"/>
              </w:rPr>
              <w:t>Average wage/hour ($)</w:t>
            </w:r>
          </w:p>
        </w:tc>
      </w:tr>
      <w:tr w:rsidR="00FB2330" w:rsidRPr="009D0A4A" w14:paraId="73BDDD61" w14:textId="77777777" w:rsidTr="00D028B0">
        <w:trPr>
          <w:trHeight w:val="365"/>
        </w:trPr>
        <w:tc>
          <w:tcPr>
            <w:tcW w:w="718"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tcPr>
          <w:p w14:paraId="6843DCCA" w14:textId="77777777" w:rsidR="00FB2330" w:rsidRPr="009D0A4A" w:rsidRDefault="00FB2330" w:rsidP="00FB2330">
            <w:pPr>
              <w:pStyle w:val="EYBulletnoparaspace"/>
              <w:numPr>
                <w:ilvl w:val="0"/>
                <w:numId w:val="0"/>
              </w:numPr>
              <w:spacing w:line="264" w:lineRule="auto"/>
              <w:rPr>
                <w:rFonts w:asciiTheme="minorHAnsi" w:hAnsiTheme="minorHAnsi" w:cstheme="minorHAnsi"/>
                <w:i/>
                <w:iCs/>
                <w:szCs w:val="20"/>
              </w:rPr>
            </w:pPr>
          </w:p>
        </w:tc>
        <w:tc>
          <w:tcPr>
            <w:tcW w:w="867" w:type="pct"/>
            <w:vMerge/>
            <w:tcBorders>
              <w:left w:val="single" w:sz="8" w:space="0" w:color="D9D9D9"/>
              <w:right w:val="single" w:sz="8" w:space="0" w:color="D9D9D9"/>
            </w:tcBorders>
            <w:shd w:val="clear" w:color="auto" w:fill="FFFFFF" w:themeFill="background1"/>
            <w:vAlign w:val="center"/>
          </w:tcPr>
          <w:p w14:paraId="0E7A1125" w14:textId="77777777" w:rsidR="00FB2330" w:rsidRPr="009D0A4A" w:rsidRDefault="00FB2330" w:rsidP="00FB2330">
            <w:pPr>
              <w:pStyle w:val="BodyText"/>
              <w:ind w:left="157"/>
              <w:rPr>
                <w:rFonts w:cstheme="minorHAnsi"/>
                <w:color w:val="auto"/>
              </w:rPr>
            </w:pPr>
          </w:p>
        </w:tc>
        <w:tc>
          <w:tcPr>
            <w:tcW w:w="836"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7BF07129" w14:textId="77777777" w:rsidR="00FB2330" w:rsidRPr="009D0A4A" w:rsidRDefault="00FB2330" w:rsidP="00FB2330">
            <w:pPr>
              <w:pStyle w:val="BodyText"/>
              <w:rPr>
                <w:rFonts w:cstheme="minorHAnsi"/>
                <w:sz w:val="18"/>
                <w:szCs w:val="18"/>
              </w:rPr>
            </w:pPr>
            <w:r w:rsidRPr="009D0A4A">
              <w:rPr>
                <w:rFonts w:cstheme="minorHAnsi"/>
                <w:sz w:val="18"/>
                <w:szCs w:val="18"/>
              </w:rPr>
              <w:t>Duration of employment (years)</w:t>
            </w:r>
          </w:p>
        </w:tc>
        <w:tc>
          <w:tcPr>
            <w:tcW w:w="963" w:type="pct"/>
            <w:tcBorders>
              <w:left w:val="single" w:sz="8" w:space="0" w:color="D9D9D9"/>
              <w:right w:val="single" w:sz="8" w:space="0" w:color="D9D9D9"/>
            </w:tcBorders>
            <w:shd w:val="clear" w:color="auto" w:fill="FFFFFF" w:themeFill="background1"/>
            <w:vAlign w:val="center"/>
          </w:tcPr>
          <w:p w14:paraId="52321EFD" w14:textId="77777777" w:rsidR="00FB2330" w:rsidRPr="009D0A4A" w:rsidRDefault="00FB2330" w:rsidP="00FB2330">
            <w:pPr>
              <w:pStyle w:val="EYBulletnoparaspace"/>
              <w:numPr>
                <w:ilvl w:val="0"/>
                <w:numId w:val="0"/>
              </w:numPr>
              <w:spacing w:line="264" w:lineRule="auto"/>
              <w:ind w:left="425" w:right="269" w:hanging="425"/>
              <w:jc w:val="center"/>
              <w:rPr>
                <w:rFonts w:asciiTheme="minorHAnsi" w:hAnsiTheme="minorHAnsi" w:cstheme="minorHAnsi"/>
                <w:sz w:val="18"/>
                <w:szCs w:val="18"/>
              </w:rPr>
            </w:pPr>
            <w:r w:rsidRPr="009D0A4A">
              <w:rPr>
                <w:rFonts w:asciiTheme="minorHAnsi" w:hAnsiTheme="minorHAnsi" w:cstheme="minorHAnsi"/>
                <w:sz w:val="18"/>
                <w:szCs w:val="18"/>
              </w:rPr>
              <w:t>0.25</w:t>
            </w:r>
            <w:r w:rsidRPr="009D0A4A">
              <w:rPr>
                <w:rStyle w:val="FootnoteReference"/>
                <w:rFonts w:asciiTheme="minorHAnsi" w:hAnsiTheme="minorHAnsi" w:cstheme="minorHAnsi"/>
                <w:sz w:val="18"/>
                <w:szCs w:val="18"/>
              </w:rPr>
              <w:footnoteReference w:id="39"/>
            </w:r>
          </w:p>
        </w:tc>
        <w:tc>
          <w:tcPr>
            <w:tcW w:w="1616" w:type="pct"/>
            <w:vMerge/>
            <w:tcBorders>
              <w:left w:val="single" w:sz="8" w:space="0" w:color="D9D9D9"/>
              <w:right w:val="single" w:sz="8" w:space="0" w:color="D9D9D9"/>
            </w:tcBorders>
            <w:shd w:val="clear" w:color="auto" w:fill="FFFFFF" w:themeFill="background1"/>
            <w:vAlign w:val="center"/>
          </w:tcPr>
          <w:p w14:paraId="67DBBBBB" w14:textId="77777777" w:rsidR="00FB2330" w:rsidRPr="009D0A4A" w:rsidRDefault="00FB2330" w:rsidP="00FB2330">
            <w:pPr>
              <w:pStyle w:val="EYBulletnoparaspace"/>
              <w:numPr>
                <w:ilvl w:val="0"/>
                <w:numId w:val="0"/>
              </w:numPr>
              <w:spacing w:line="264" w:lineRule="auto"/>
              <w:ind w:left="425" w:right="130" w:hanging="425"/>
              <w:jc w:val="center"/>
              <w:rPr>
                <w:rFonts w:asciiTheme="minorHAnsi" w:hAnsiTheme="minorHAnsi" w:cstheme="minorHAnsi"/>
                <w:b/>
                <w:bCs/>
                <w:szCs w:val="20"/>
              </w:rPr>
            </w:pPr>
          </w:p>
        </w:tc>
      </w:tr>
      <w:tr w:rsidR="00FB2330" w:rsidRPr="00744B54" w14:paraId="2DAA4F12" w14:textId="77777777" w:rsidTr="00D028B0">
        <w:trPr>
          <w:trHeight w:val="1464"/>
        </w:trPr>
        <w:tc>
          <w:tcPr>
            <w:tcW w:w="718" w:type="pct"/>
            <w:vMerge/>
            <w:tcBorders>
              <w:left w:val="single" w:sz="8" w:space="0" w:color="D9D9D9"/>
              <w:right w:val="single" w:sz="8" w:space="0" w:color="D9D9D9"/>
            </w:tcBorders>
            <w:shd w:val="clear" w:color="auto" w:fill="F2F2F2" w:themeFill="background1" w:themeFillShade="F2"/>
            <w:tcMar>
              <w:top w:w="72" w:type="dxa"/>
              <w:left w:w="144" w:type="dxa"/>
              <w:bottom w:w="72" w:type="dxa"/>
              <w:right w:w="144" w:type="dxa"/>
            </w:tcMar>
            <w:vAlign w:val="center"/>
          </w:tcPr>
          <w:p w14:paraId="55E2DA62" w14:textId="77777777" w:rsidR="00FB2330" w:rsidRPr="009D0A4A" w:rsidRDefault="00FB2330" w:rsidP="00FB2330">
            <w:pPr>
              <w:pStyle w:val="EYBulletnoparaspace"/>
              <w:numPr>
                <w:ilvl w:val="0"/>
                <w:numId w:val="0"/>
              </w:numPr>
              <w:spacing w:line="264" w:lineRule="auto"/>
              <w:rPr>
                <w:rFonts w:asciiTheme="minorHAnsi" w:hAnsiTheme="minorHAnsi" w:cstheme="minorHAnsi"/>
                <w:i/>
                <w:iCs/>
                <w:szCs w:val="20"/>
              </w:rPr>
            </w:pPr>
          </w:p>
        </w:tc>
        <w:tc>
          <w:tcPr>
            <w:tcW w:w="867" w:type="pct"/>
            <w:vMerge/>
            <w:tcBorders>
              <w:left w:val="single" w:sz="8" w:space="0" w:color="D9D9D9"/>
              <w:right w:val="single" w:sz="8" w:space="0" w:color="D9D9D9"/>
            </w:tcBorders>
            <w:shd w:val="clear" w:color="auto" w:fill="FFFFFF" w:themeFill="background1"/>
            <w:vAlign w:val="center"/>
          </w:tcPr>
          <w:p w14:paraId="7AE0BD16" w14:textId="77777777" w:rsidR="00FB2330" w:rsidRPr="009D0A4A" w:rsidRDefault="00FB2330" w:rsidP="00FB2330">
            <w:pPr>
              <w:pStyle w:val="BodyText"/>
              <w:ind w:left="157"/>
              <w:rPr>
                <w:rFonts w:cstheme="minorHAnsi"/>
                <w:color w:val="auto"/>
              </w:rPr>
            </w:pPr>
          </w:p>
        </w:tc>
        <w:tc>
          <w:tcPr>
            <w:tcW w:w="836" w:type="pct"/>
            <w:tcBorders>
              <w:top w:val="single" w:sz="8" w:space="0" w:color="D9D9D9"/>
              <w:left w:val="single" w:sz="8" w:space="0" w:color="D9D9D9"/>
              <w:bottom w:val="single" w:sz="8" w:space="0" w:color="D9D9D9"/>
              <w:right w:val="single" w:sz="8" w:space="0" w:color="D9D9D9"/>
            </w:tcBorders>
            <w:shd w:val="clear" w:color="auto" w:fill="FFFFFF" w:themeFill="background1"/>
          </w:tcPr>
          <w:p w14:paraId="1AC2ECE1" w14:textId="1CBDF834" w:rsidR="00FB2330" w:rsidRPr="009D0A4A" w:rsidRDefault="00FB2330" w:rsidP="00FB2330">
            <w:pPr>
              <w:pStyle w:val="BodyText"/>
              <w:rPr>
                <w:rFonts w:cstheme="minorHAnsi"/>
                <w:sz w:val="18"/>
                <w:szCs w:val="18"/>
              </w:rPr>
            </w:pPr>
            <w:r w:rsidRPr="009D0A4A">
              <w:rPr>
                <w:rFonts w:cstheme="minorHAnsi"/>
                <w:sz w:val="18"/>
                <w:szCs w:val="18"/>
              </w:rPr>
              <w:t xml:space="preserve">Annual </w:t>
            </w:r>
            <w:r w:rsidR="00C811E3" w:rsidRPr="009D0A4A">
              <w:rPr>
                <w:rFonts w:cstheme="minorHAnsi"/>
                <w:sz w:val="18"/>
                <w:szCs w:val="18"/>
              </w:rPr>
              <w:t>salary</w:t>
            </w:r>
            <w:r w:rsidRPr="009D0A4A">
              <w:rPr>
                <w:rFonts w:cstheme="minorHAnsi"/>
                <w:sz w:val="18"/>
                <w:szCs w:val="18"/>
              </w:rPr>
              <w:t>/worker ($)</w:t>
            </w:r>
          </w:p>
        </w:tc>
        <w:tc>
          <w:tcPr>
            <w:tcW w:w="963" w:type="pct"/>
            <w:tcBorders>
              <w:left w:val="single" w:sz="8" w:space="0" w:color="D9D9D9"/>
              <w:bottom w:val="single" w:sz="8" w:space="0" w:color="D9D9D9"/>
              <w:right w:val="single" w:sz="8" w:space="0" w:color="D9D9D9"/>
            </w:tcBorders>
            <w:shd w:val="clear" w:color="auto" w:fill="FFFFFF" w:themeFill="background1"/>
            <w:vAlign w:val="center"/>
          </w:tcPr>
          <w:p w14:paraId="43063F31" w14:textId="629BF6E6" w:rsidR="00FB2330" w:rsidRPr="0007022D" w:rsidRDefault="00FB2330" w:rsidP="00FB2330">
            <w:pPr>
              <w:pStyle w:val="BodyText"/>
              <w:jc w:val="center"/>
              <w:rPr>
                <w:sz w:val="18"/>
                <w:szCs w:val="18"/>
              </w:rPr>
            </w:pPr>
            <w:r w:rsidRPr="0007022D">
              <w:rPr>
                <w:sz w:val="18"/>
                <w:szCs w:val="18"/>
              </w:rPr>
              <w:t>Refer to</w:t>
            </w:r>
            <w:r w:rsidR="00733855" w:rsidRPr="00A9354B">
              <w:rPr>
                <w:sz w:val="18"/>
                <w:szCs w:val="18"/>
              </w:rPr>
              <w:t xml:space="preserve"> T</w:t>
            </w:r>
            <w:r w:rsidR="00733855" w:rsidRPr="00EF4444">
              <w:rPr>
                <w:sz w:val="18"/>
                <w:szCs w:val="18"/>
              </w:rPr>
              <w:t>able 28</w:t>
            </w:r>
          </w:p>
        </w:tc>
        <w:tc>
          <w:tcPr>
            <w:tcW w:w="1616" w:type="pct"/>
            <w:vMerge/>
            <w:tcBorders>
              <w:left w:val="single" w:sz="8" w:space="0" w:color="D9D9D9"/>
              <w:right w:val="single" w:sz="8" w:space="0" w:color="D9D9D9"/>
            </w:tcBorders>
            <w:shd w:val="clear" w:color="auto" w:fill="FFFFFF" w:themeFill="background1"/>
            <w:vAlign w:val="center"/>
          </w:tcPr>
          <w:p w14:paraId="61B31144" w14:textId="77777777" w:rsidR="00FB2330" w:rsidRPr="00744B54" w:rsidRDefault="00FB2330" w:rsidP="00FB2330">
            <w:pPr>
              <w:pStyle w:val="EYBulletnoparaspace"/>
              <w:numPr>
                <w:ilvl w:val="0"/>
                <w:numId w:val="0"/>
              </w:numPr>
              <w:spacing w:line="264" w:lineRule="auto"/>
              <w:ind w:left="425" w:right="130" w:hanging="425"/>
              <w:jc w:val="center"/>
              <w:rPr>
                <w:rFonts w:asciiTheme="minorHAnsi" w:hAnsiTheme="minorHAnsi" w:cstheme="minorHAnsi"/>
                <w:b/>
                <w:bCs/>
                <w:szCs w:val="20"/>
              </w:rPr>
            </w:pPr>
          </w:p>
        </w:tc>
      </w:tr>
    </w:tbl>
    <w:p w14:paraId="119CC0C5" w14:textId="06A5EE92" w:rsidR="00651F89" w:rsidRDefault="00651F89" w:rsidP="00C64F37">
      <w:pPr>
        <w:pStyle w:val="BodyText"/>
        <w:tabs>
          <w:tab w:val="left" w:pos="1074"/>
        </w:tabs>
        <w:jc w:val="both"/>
        <w:rPr>
          <w:b/>
          <w:sz w:val="60"/>
          <w:szCs w:val="60"/>
        </w:rPr>
      </w:pPr>
    </w:p>
    <w:sectPr w:rsidR="00651F89" w:rsidSect="007012B9">
      <w:headerReference w:type="even" r:id="rId37"/>
      <w:headerReference w:type="default" r:id="rId38"/>
      <w:footerReference w:type="default" r:id="rId39"/>
      <w:headerReference w:type="first" r:id="rId40"/>
      <w:footerReference w:type="first" r:id="rId41"/>
      <w:pgSz w:w="11906" w:h="16838"/>
      <w:pgMar w:top="1559" w:right="851" w:bottom="1701"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CCADE" w14:textId="77777777" w:rsidR="00E26661" w:rsidRDefault="00E26661" w:rsidP="00B95533">
      <w:pPr>
        <w:spacing w:after="0" w:line="240" w:lineRule="auto"/>
      </w:pPr>
      <w:r>
        <w:separator/>
      </w:r>
    </w:p>
  </w:endnote>
  <w:endnote w:type="continuationSeparator" w:id="0">
    <w:p w14:paraId="6CCE4C6B" w14:textId="77777777" w:rsidR="00E26661" w:rsidRDefault="00E26661" w:rsidP="00B95533">
      <w:pPr>
        <w:spacing w:after="0" w:line="240" w:lineRule="auto"/>
      </w:pPr>
      <w:r>
        <w:continuationSeparator/>
      </w:r>
    </w:p>
  </w:endnote>
  <w:endnote w:type="continuationNotice" w:id="1">
    <w:p w14:paraId="2FE00B80" w14:textId="77777777" w:rsidR="00E26661" w:rsidRDefault="00E266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EYInterstate Light">
    <w:altName w:val="Franklin Gothic Medium Cond"/>
    <w:charset w:val="00"/>
    <w:family w:val="auto"/>
    <w:pitch w:val="variable"/>
    <w:sig w:usb0="A00002AF" w:usb1="5000206A"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720C0" w14:textId="77777777" w:rsidR="00937401" w:rsidRDefault="00937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7BFE2" w14:textId="4FE680DA" w:rsidR="00F1382E" w:rsidRPr="00B87E45" w:rsidRDefault="00E26661" w:rsidP="001007B9">
    <w:pPr>
      <w:pStyle w:val="ProtectiveMarking"/>
    </w:pPr>
    <w:sdt>
      <w:sdtPr>
        <w:alias w:val="Classification"/>
        <w:tag w:val="Classification"/>
        <w:id w:val="-706402449"/>
        <w:dataBinding w:xpath="/root[1]/Classification[1]" w:storeItemID="{00000000-0000-0000-0000-000000000000}"/>
        <w:text/>
      </w:sdtPr>
      <w:sdtEndPr/>
      <w:sdtContent>
        <w:r w:rsidR="00F1382E">
          <w:t>Choose Classifiction</w:t>
        </w:r>
      </w:sdtContent>
    </w:sdt>
  </w:p>
  <w:p w14:paraId="5C88FE04" w14:textId="77777777" w:rsidR="00F1382E" w:rsidRPr="00073D52" w:rsidRDefault="00F1382E" w:rsidP="001007B9">
    <w:pPr>
      <w:pStyle w:val="Footerline"/>
    </w:pPr>
    <w:r>
      <w:rPr>
        <w:color w:val="2B579A"/>
        <w:shd w:val="clear" w:color="auto" w:fill="E6E6E6"/>
        <w:lang w:eastAsia="en-AU"/>
      </w:rPr>
      <mc:AlternateContent>
        <mc:Choice Requires="wps">
          <w:drawing>
            <wp:anchor distT="45720" distB="45720" distL="114300" distR="114300" simplePos="0" relativeHeight="251658241" behindDoc="0" locked="1" layoutInCell="1" allowOverlap="1" wp14:anchorId="1AEE6B03" wp14:editId="478C0710">
              <wp:simplePos x="0" y="0"/>
              <wp:positionH relativeFrom="margin">
                <wp:posOffset>6142355</wp:posOffset>
              </wp:positionH>
              <wp:positionV relativeFrom="page">
                <wp:posOffset>9950450</wp:posOffset>
              </wp:positionV>
              <wp:extent cx="332105" cy="726440"/>
              <wp:effectExtent l="0" t="0" r="10795"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04FAC34D" w14:textId="6CB88452" w:rsidR="00F1382E" w:rsidRPr="00073D52" w:rsidRDefault="00F1382E" w:rsidP="001007B9">
                          <w:pPr>
                            <w:pStyle w:val="Footer"/>
                            <w:rPr>
                              <w:b w:val="0"/>
                              <w:bCs/>
                              <w:sz w:val="16"/>
                              <w:szCs w:val="16"/>
                            </w:rPr>
                          </w:pPr>
                          <w:r w:rsidRPr="00073D52">
                            <w:rPr>
                              <w:b w:val="0"/>
                              <w:bCs/>
                              <w:color w:val="2B579A"/>
                              <w:sz w:val="16"/>
                              <w:szCs w:val="16"/>
                              <w:shd w:val="clear" w:color="auto" w:fill="E6E6E6"/>
                            </w:rPr>
                            <w:fldChar w:fldCharType="begin"/>
                          </w:r>
                          <w:r w:rsidRPr="00073D52">
                            <w:rPr>
                              <w:b w:val="0"/>
                              <w:bCs/>
                              <w:sz w:val="16"/>
                              <w:szCs w:val="16"/>
                            </w:rPr>
                            <w:instrText xml:space="preserve"> PAGE   \* MERGEFORMAT </w:instrText>
                          </w:r>
                          <w:r w:rsidRPr="00073D52">
                            <w:rPr>
                              <w:b w:val="0"/>
                              <w:bCs/>
                              <w:color w:val="2B579A"/>
                              <w:sz w:val="16"/>
                              <w:szCs w:val="16"/>
                              <w:shd w:val="clear" w:color="auto" w:fill="E6E6E6"/>
                            </w:rPr>
                            <w:fldChar w:fldCharType="separate"/>
                          </w:r>
                          <w:r w:rsidR="001A5B00">
                            <w:rPr>
                              <w:b w:val="0"/>
                              <w:bCs/>
                              <w:noProof/>
                              <w:sz w:val="16"/>
                              <w:szCs w:val="16"/>
                            </w:rPr>
                            <w:t>9</w:t>
                          </w:r>
                          <w:r w:rsidRPr="00073D52">
                            <w:rPr>
                              <w:b w:val="0"/>
                              <w:bCs/>
                              <w:noProof/>
                              <w:color w:val="2B579A"/>
                              <w:sz w:val="16"/>
                              <w:szCs w:val="16"/>
                              <w:shd w:val="clear" w:color="auto" w:fill="E6E6E6"/>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AEE6B03" id="_x0000_t202" coordsize="21600,21600" o:spt="202" path="m,l,21600r21600,l21600,xe">
              <v:stroke joinstyle="miter"/>
              <v:path gradientshapeok="t" o:connecttype="rect"/>
            </v:shapetype>
            <v:shape id="_x0000_s1028" type="#_x0000_t202" style="position:absolute;margin-left:483.65pt;margin-top:783.5pt;width:26.15pt;height:57.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" filled="f" stroked="f">
              <v:textbox inset="0,0,0,0">
                <w:txbxContent>
                  <w:p w14:paraId="04FAC34D" w14:textId="6CB88452" w:rsidR="00F1382E" w:rsidRPr="00073D52" w:rsidRDefault="00F1382E" w:rsidP="001007B9">
                    <w:pPr>
                      <w:pStyle w:val="Footer"/>
                      <w:rPr>
                        <w:b w:val="0"/>
                        <w:bCs/>
                        <w:sz w:val="16"/>
                        <w:szCs w:val="16"/>
                      </w:rPr>
                    </w:pPr>
                    <w:r w:rsidRPr="00073D52">
                      <w:rPr>
                        <w:b w:val="0"/>
                        <w:bCs/>
                        <w:color w:val="2B579A"/>
                        <w:sz w:val="16"/>
                        <w:szCs w:val="16"/>
                        <w:shd w:val="clear" w:color="auto" w:fill="E6E6E6"/>
                      </w:rPr>
                      <w:fldChar w:fldCharType="begin"/>
                    </w:r>
                    <w:r w:rsidRPr="00073D52">
                      <w:rPr>
                        <w:b w:val="0"/>
                        <w:bCs/>
                        <w:sz w:val="16"/>
                        <w:szCs w:val="16"/>
                      </w:rPr>
                      <w:instrText xml:space="preserve"> PAGE   \* MERGEFORMAT </w:instrText>
                    </w:r>
                    <w:r w:rsidRPr="00073D52">
                      <w:rPr>
                        <w:b w:val="0"/>
                        <w:bCs/>
                        <w:color w:val="2B579A"/>
                        <w:sz w:val="16"/>
                        <w:szCs w:val="16"/>
                        <w:shd w:val="clear" w:color="auto" w:fill="E6E6E6"/>
                      </w:rPr>
                      <w:fldChar w:fldCharType="separate"/>
                    </w:r>
                    <w:r w:rsidR="001A5B00">
                      <w:rPr>
                        <w:b w:val="0"/>
                        <w:bCs/>
                        <w:noProof/>
                        <w:sz w:val="16"/>
                        <w:szCs w:val="16"/>
                      </w:rPr>
                      <w:t>9</w:t>
                    </w:r>
                    <w:r w:rsidRPr="00073D52">
                      <w:rPr>
                        <w:b w:val="0"/>
                        <w:bCs/>
                        <w:noProof/>
                        <w:color w:val="2B579A"/>
                        <w:sz w:val="16"/>
                        <w:szCs w:val="16"/>
                        <w:shd w:val="clear" w:color="auto" w:fill="E6E6E6"/>
                      </w:rPr>
                      <w:fldChar w:fldCharType="end"/>
                    </w:r>
                  </w:p>
                </w:txbxContent>
              </v:textbox>
              <w10:wrap anchorx="margin" anchory="page"/>
              <w10:anchorlock/>
            </v:shape>
          </w:pict>
        </mc:Fallback>
      </mc:AlternateContent>
    </w:r>
  </w:p>
  <w:p w14:paraId="0E85D325" w14:textId="77777777" w:rsidR="00F1382E" w:rsidRPr="001007B9" w:rsidRDefault="00F1382E" w:rsidP="009B4379">
    <w:pPr>
      <w:pStyle w:val="Footer"/>
      <w:spacing w:after="500"/>
      <w:contextualSpacing/>
      <w:jc w:val="left"/>
      <w:rPr>
        <w:color w:val="25303B" w:themeColor="accent1"/>
      </w:rPr>
    </w:pPr>
    <w:r w:rsidRPr="00073D52">
      <w:rPr>
        <w:color w:val="25303B" w:themeColor="accent1"/>
      </w:rPr>
      <w:t>PM</w:t>
    </w:r>
    <w:r>
      <w:rPr>
        <w:color w:val="25303B" w:themeColor="accent1"/>
      </w:rPr>
      <w:t>&amp;</w:t>
    </w:r>
    <w:r w:rsidRPr="00073D52">
      <w:rPr>
        <w:color w:val="25303B" w:themeColor="accent1"/>
      </w:rPr>
      <w:t xml:space="preserve">C </w:t>
    </w:r>
    <w:r w:rsidRPr="00BC24CA">
      <w:rPr>
        <w:color w:val="25303B" w:themeColor="accent1"/>
        <w:sz w:val="16"/>
        <w:szCs w:val="16"/>
      </w:rPr>
      <w:t>|</w:t>
    </w:r>
    <w:r w:rsidRPr="00073D52">
      <w:rPr>
        <w:color w:val="25303B" w:themeColor="accent1"/>
      </w:rPr>
      <w:t xml:space="preserve"> </w:t>
    </w:r>
    <w:sdt>
      <w:sdtPr>
        <w:rPr>
          <w:color w:val="25303B" w:themeColor="accent1"/>
          <w:sz w:val="16"/>
          <w:szCs w:val="16"/>
          <w:shd w:val="clear" w:color="auto" w:fill="E6E6E6"/>
        </w:rPr>
        <w:alias w:val="Section Name"/>
        <w:tag w:val="SectionName"/>
        <w:id w:val="605542894"/>
        <w:placeholder>
          <w:docPart w:val="219620ADD92642389C5D4B3C4F0DC506"/>
        </w:placeholder>
        <w:showingPlcHdr/>
        <w:text/>
      </w:sdtPr>
      <w:sdtEndPr/>
      <w:sdtContent>
        <w:r w:rsidRPr="00BC24CA">
          <w:rPr>
            <w:caps w:val="0"/>
            <w:sz w:val="16"/>
            <w:szCs w:val="16"/>
          </w:rPr>
          <w:t>[Section Name]</w:t>
        </w:r>
      </w:sdtContent>
    </w:sdt>
    <w:r>
      <w:rPr>
        <w:color w:val="25303B" w:themeColor="accent1"/>
        <w:sz w:val="16"/>
        <w:szCs w:val="16"/>
      </w:rPr>
      <w:t xml:space="preserve">  |  </w:t>
    </w:r>
    <w:sdt>
      <w:sdtPr>
        <w:rPr>
          <w:color w:val="25303B" w:themeColor="accent1"/>
          <w:sz w:val="16"/>
          <w:szCs w:val="16"/>
          <w:shd w:val="clear" w:color="auto" w:fill="E6E6E6"/>
        </w:rPr>
        <w:alias w:val="Document Title"/>
        <w:tag w:val="DocumentTitle"/>
        <w:id w:val="-523643007"/>
        <w:placeholder>
          <w:docPart w:val="4A1B4207812C47D4A115D0D13B555E30"/>
        </w:placeholder>
        <w:showingPlcHdr/>
        <w:text/>
      </w:sdtPr>
      <w:sdtEndPr/>
      <w:sdtContent>
        <w:r w:rsidRPr="00BC24CA">
          <w:rPr>
            <w:caps w:val="0"/>
            <w:sz w:val="16"/>
            <w:szCs w:val="16"/>
          </w:rPr>
          <w:t>[</w:t>
        </w:r>
        <w:r>
          <w:rPr>
            <w:caps w:val="0"/>
            <w:sz w:val="16"/>
            <w:szCs w:val="16"/>
          </w:rPr>
          <w:t>Document Title</w:t>
        </w:r>
        <w:r w:rsidRPr="00BC24CA">
          <w:rPr>
            <w:caps w:val="0"/>
            <w:sz w:val="16"/>
            <w:szCs w:val="16"/>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D05DC" w14:textId="23D30753" w:rsidR="00F1382E" w:rsidRPr="00B87E45" w:rsidRDefault="00F1382E" w:rsidP="00917F95">
    <w:pPr>
      <w:pStyle w:val="ProtectiveMarking"/>
    </w:pPr>
    <w:r>
      <w:t>Choose Classifiction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91CCB" w14:textId="77777777" w:rsidR="00C43655" w:rsidRDefault="00C436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188881"/>
      <w:docPartObj>
        <w:docPartGallery w:val="Page Numbers (Bottom of Page)"/>
        <w:docPartUnique/>
      </w:docPartObj>
    </w:sdtPr>
    <w:sdtEndPr>
      <w:rPr>
        <w:noProof/>
      </w:rPr>
    </w:sdtEndPr>
    <w:sdtContent>
      <w:p w14:paraId="04643D09" w14:textId="1D2F6063" w:rsidR="001012EB" w:rsidRDefault="001012EB">
        <w:pPr>
          <w:pStyle w:val="Footer"/>
          <w:jc w:val="center"/>
        </w:pPr>
        <w:r>
          <w:fldChar w:fldCharType="begin"/>
        </w:r>
        <w:r>
          <w:instrText xml:space="preserve"> PAGE   \* MERGEFORMAT </w:instrText>
        </w:r>
        <w:r>
          <w:fldChar w:fldCharType="separate"/>
        </w:r>
        <w:r w:rsidR="002718CE">
          <w:rPr>
            <w:noProof/>
          </w:rPr>
          <w:t>3</w:t>
        </w:r>
        <w:r>
          <w:rPr>
            <w:noProof/>
          </w:rPr>
          <w:fldChar w:fldCharType="end"/>
        </w:r>
      </w:p>
    </w:sdtContent>
  </w:sdt>
  <w:p w14:paraId="2F601B2A" w14:textId="77777777" w:rsidR="00C43655" w:rsidRDefault="00C436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C8BC3" w14:textId="77777777" w:rsidR="00C43655" w:rsidRDefault="00C436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993766"/>
      <w:docPartObj>
        <w:docPartGallery w:val="Page Numbers (Bottom of Page)"/>
        <w:docPartUnique/>
      </w:docPartObj>
    </w:sdtPr>
    <w:sdtEndPr>
      <w:rPr>
        <w:noProof/>
      </w:rPr>
    </w:sdtEndPr>
    <w:sdtContent>
      <w:p w14:paraId="789633E7" w14:textId="785CF528" w:rsidR="00455BE6" w:rsidRDefault="00455BE6">
        <w:pPr>
          <w:pStyle w:val="Footer"/>
          <w:jc w:val="center"/>
        </w:pPr>
        <w:r>
          <w:fldChar w:fldCharType="begin"/>
        </w:r>
        <w:r>
          <w:instrText xml:space="preserve"> PAGE   \* MERGEFORMAT </w:instrText>
        </w:r>
        <w:r>
          <w:fldChar w:fldCharType="separate"/>
        </w:r>
        <w:r w:rsidR="002718CE">
          <w:rPr>
            <w:noProof/>
          </w:rPr>
          <w:t>82</w:t>
        </w:r>
        <w:r>
          <w:rPr>
            <w:noProof/>
          </w:rPr>
          <w:fldChar w:fldCharType="end"/>
        </w:r>
      </w:p>
    </w:sdtContent>
  </w:sdt>
  <w:p w14:paraId="69F2B6AC" w14:textId="2BD3A16D" w:rsidR="00F1382E" w:rsidRPr="00825B23" w:rsidRDefault="00F1382E" w:rsidP="009B4379">
    <w:pPr>
      <w:pStyle w:val="Footer"/>
      <w:spacing w:after="500"/>
      <w:contextualSpacing/>
      <w:jc w:val="left"/>
      <w:rPr>
        <w:b w:val="0"/>
        <w:bCs/>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63E5" w14:textId="36F4D83C" w:rsidR="00F1382E" w:rsidRPr="00B87E45" w:rsidRDefault="00F1382E" w:rsidP="00917F95">
    <w:pPr>
      <w:pStyle w:val="ProtectiveMarking"/>
    </w:pPr>
    <w:r>
      <w:t>Choose Classifiction</w:t>
    </w:r>
  </w:p>
  <w:p w14:paraId="41493E21" w14:textId="77777777" w:rsidR="00F1382E" w:rsidRPr="00073D52" w:rsidRDefault="00F1382E" w:rsidP="00917F95">
    <w:pPr>
      <w:pStyle w:val="Footerline"/>
    </w:pPr>
  </w:p>
  <w:p w14:paraId="31E14E3B" w14:textId="77777777" w:rsidR="00F1382E" w:rsidRPr="00195BA8" w:rsidRDefault="00F1382E" w:rsidP="00195BA8">
    <w:pPr>
      <w:pStyle w:val="Footer"/>
      <w:spacing w:after="500"/>
      <w:contextualSpacing/>
      <w:jc w:val="left"/>
      <w:rPr>
        <w:color w:val="25303B" w:themeColor="accent1"/>
        <w:sz w:val="16"/>
        <w:szCs w:val="16"/>
      </w:rPr>
    </w:pPr>
    <w:r w:rsidRPr="005A0DE7">
      <w:rPr>
        <w:color w:val="25303B" w:themeColor="accent1"/>
        <w:sz w:val="16"/>
        <w:szCs w:val="16"/>
      </w:rPr>
      <w:t xml:space="preserve">PM&amp;C | </w:t>
    </w:r>
    <w:sdt>
      <w:sdtPr>
        <w:rPr>
          <w:caps w:val="0"/>
          <w:color w:val="25303B" w:themeColor="accent1"/>
          <w:sz w:val="16"/>
          <w:szCs w:val="16"/>
          <w:shd w:val="clear" w:color="auto" w:fill="E6E6E6"/>
        </w:rPr>
        <w:alias w:val="Section Name"/>
        <w:tag w:val="SectionName"/>
        <w:id w:val="-414706023"/>
        <w:placeholder>
          <w:docPart w:val="4A1B4207812C47D4A115D0D13B555E30"/>
        </w:placeholder>
        <w:showingPlcHdr/>
        <w:dataBinding w:xpath="/root[1]/SectionName[1]" w:storeItemID="{00000000-0000-0000-0000-000000000000}"/>
        <w:text/>
      </w:sdtPr>
      <w:sdtEndPr/>
      <w:sdtContent>
        <w:r w:rsidRPr="005A0DE7">
          <w:rPr>
            <w:caps w:val="0"/>
            <w:color w:val="25303B" w:themeColor="accent1"/>
            <w:sz w:val="16"/>
            <w:szCs w:val="16"/>
          </w:rPr>
          <w:t>[Section Name]</w:t>
        </w:r>
      </w:sdtContent>
    </w:sdt>
    <w:r w:rsidRPr="005A0DE7">
      <w:rPr>
        <w:color w:val="25303B" w:themeColor="accent1"/>
        <w:sz w:val="16"/>
        <w:szCs w:val="16"/>
      </w:rPr>
      <w:t xml:space="preserve"> |</w:t>
    </w:r>
    <w:r w:rsidRPr="005A0DE7">
      <w:rPr>
        <w:b w:val="0"/>
        <w:bCs/>
        <w:color w:val="25303B" w:themeColor="accent1"/>
        <w:sz w:val="16"/>
        <w:szCs w:val="16"/>
      </w:rPr>
      <w:t xml:space="preserve"> </w:t>
    </w:r>
    <w:sdt>
      <w:sdtPr>
        <w:rPr>
          <w:b w:val="0"/>
          <w:bCs/>
          <w:caps w:val="0"/>
          <w:color w:val="25303B" w:themeColor="accent1"/>
          <w:sz w:val="16"/>
          <w:szCs w:val="16"/>
          <w:shd w:val="clear" w:color="auto" w:fill="E6E6E6"/>
        </w:rPr>
        <w:alias w:val="Document Heading"/>
        <w:tag w:val="DH"/>
        <w:id w:val="1036542736"/>
        <w:placeholder>
          <w:docPart w:val="8FA75C6A6517453A8BB1CBCC6A673432"/>
        </w:placeholder>
        <w:showingPlcHdr/>
        <w:dataBinding w:xpath="/root[1]/DH[1]" w:storeItemID="{00000000-0000-0000-0000-000000000000}"/>
        <w:text/>
      </w:sdtPr>
      <w:sdtEndPr/>
      <w:sdtContent>
        <w:r w:rsidRPr="005A0DE7">
          <w:rPr>
            <w:b w:val="0"/>
            <w:bCs/>
            <w:caps w:val="0"/>
            <w:color w:val="25303B" w:themeColor="accent1"/>
            <w:sz w:val="16"/>
            <w:szCs w:val="16"/>
          </w:rPr>
          <w:t>[Document Heading]</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6A6DA" w14:textId="77777777" w:rsidR="00E26661" w:rsidRPr="003A7E73" w:rsidRDefault="00E26661" w:rsidP="00B95533">
      <w:pPr>
        <w:spacing w:after="0" w:line="240" w:lineRule="auto"/>
        <w:rPr>
          <w:color w:val="014463" w:themeColor="accent2"/>
        </w:rPr>
      </w:pPr>
      <w:r w:rsidRPr="003A7E73">
        <w:rPr>
          <w:color w:val="014463" w:themeColor="accent2"/>
        </w:rPr>
        <w:separator/>
      </w:r>
    </w:p>
  </w:footnote>
  <w:footnote w:type="continuationSeparator" w:id="0">
    <w:p w14:paraId="33254F5B" w14:textId="77777777" w:rsidR="00E26661" w:rsidRPr="003A7E73" w:rsidRDefault="00E26661" w:rsidP="00B95533">
      <w:pPr>
        <w:spacing w:after="0" w:line="240" w:lineRule="auto"/>
        <w:rPr>
          <w:color w:val="014463" w:themeColor="accent2"/>
        </w:rPr>
      </w:pPr>
      <w:r w:rsidRPr="003A7E73">
        <w:rPr>
          <w:color w:val="014463" w:themeColor="accent2"/>
        </w:rPr>
        <w:continuationSeparator/>
      </w:r>
    </w:p>
  </w:footnote>
  <w:footnote w:type="continuationNotice" w:id="1">
    <w:p w14:paraId="05EE6694" w14:textId="77777777" w:rsidR="00E26661" w:rsidRDefault="00E26661">
      <w:pPr>
        <w:spacing w:after="0" w:line="240" w:lineRule="auto"/>
      </w:pPr>
    </w:p>
  </w:footnote>
  <w:footnote w:id="2">
    <w:p w14:paraId="3D54CB28" w14:textId="77777777" w:rsidR="004F3309" w:rsidRPr="00447277" w:rsidRDefault="004F3309" w:rsidP="004F3309">
      <w:pPr>
        <w:jc w:val="both"/>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Health screening refers to programs undertaken by state and territory regulators and health authorities to detect previously undetected cases of silicosis in workers. This is distinct from health monitoring, which is undertaken by PCBUs (as required of them under WHS laws) and carried out by or supervised by a registered medical practitioner with experience in health monitoring. </w:t>
      </w:r>
    </w:p>
  </w:footnote>
  <w:footnote w:id="3">
    <w:p w14:paraId="45697EB6" w14:textId="791250CA" w:rsidR="00A51E56" w:rsidRPr="00447277" w:rsidRDefault="00A51E56" w:rsidP="007012B9">
      <w:pPr>
        <w:pStyle w:val="Comment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As mentioned in Section 1.</w:t>
      </w:r>
      <w:r w:rsidR="001D28DC" w:rsidRPr="00447277">
        <w:rPr>
          <w:rFonts w:cstheme="minorHAnsi"/>
          <w:sz w:val="18"/>
          <w:szCs w:val="18"/>
        </w:rPr>
        <w:t>6</w:t>
      </w:r>
      <w:r w:rsidRPr="00447277">
        <w:rPr>
          <w:rFonts w:cstheme="minorHAnsi"/>
          <w:sz w:val="18"/>
          <w:szCs w:val="18"/>
        </w:rPr>
        <w:t xml:space="preserve">, mining and quarrying is only considered in the scope of this </w:t>
      </w:r>
      <w:r w:rsidR="00880680" w:rsidRPr="00447277">
        <w:rPr>
          <w:rFonts w:cstheme="minorHAnsi"/>
          <w:sz w:val="18"/>
          <w:szCs w:val="18"/>
        </w:rPr>
        <w:t>regulation</w:t>
      </w:r>
      <w:r w:rsidRPr="00447277">
        <w:rPr>
          <w:rFonts w:cstheme="minorHAnsi"/>
          <w:sz w:val="18"/>
          <w:szCs w:val="18"/>
        </w:rPr>
        <w:t xml:space="preserve"> impact statement where it is covered by the model WHS laws.  </w:t>
      </w:r>
    </w:p>
  </w:footnote>
  <w:footnote w:id="4">
    <w:p w14:paraId="76EBA64B" w14:textId="77777777" w:rsidR="002B0A06" w:rsidRPr="00447277" w:rsidRDefault="002B0A06" w:rsidP="00001272">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Figure includes 34 cases of progressive massive fibrosis.</w:t>
      </w:r>
    </w:p>
  </w:footnote>
  <w:footnote w:id="5">
    <w:p w14:paraId="526EB7F4" w14:textId="77777777" w:rsidR="002B0A06" w:rsidRPr="00447277" w:rsidRDefault="002B0A06" w:rsidP="00F630FE">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Note 18 cases of probable, possible or confirmed simple silicosis.</w:t>
      </w:r>
    </w:p>
  </w:footnote>
  <w:footnote w:id="6">
    <w:p w14:paraId="25E5AEC3" w14:textId="591F6A17" w:rsidR="00E403F0" w:rsidRPr="00447277" w:rsidRDefault="00E403F0" w:rsidP="003C0FF6">
      <w:pPr>
        <w:pStyle w:val="BodyText"/>
        <w:spacing w:after="0"/>
        <w:rPr>
          <w:sz w:val="18"/>
          <w:szCs w:val="18"/>
          <w:vertAlign w:val="superscript"/>
        </w:rPr>
      </w:pPr>
      <w:r w:rsidRPr="00447277">
        <w:rPr>
          <w:rStyle w:val="FootnoteReference"/>
          <w:sz w:val="18"/>
          <w:szCs w:val="18"/>
        </w:rPr>
        <w:footnoteRef/>
      </w:r>
      <w:r w:rsidRPr="00447277">
        <w:rPr>
          <w:sz w:val="18"/>
          <w:szCs w:val="18"/>
        </w:rPr>
        <w:t xml:space="preserve"> Note in the case of WA these were enforcement notices</w:t>
      </w:r>
    </w:p>
  </w:footnote>
  <w:footnote w:id="7">
    <w:p w14:paraId="776E253C" w14:textId="77777777" w:rsidR="00E403F0" w:rsidRPr="00447277" w:rsidRDefault="00E403F0" w:rsidP="003C0FF6">
      <w:pPr>
        <w:pStyle w:val="FootnoteText"/>
        <w:rPr>
          <w:rFonts w:cstheme="minorHAnsi"/>
          <w:sz w:val="18"/>
          <w:szCs w:val="18"/>
          <w:highlight w:val="magenta"/>
        </w:rPr>
      </w:pPr>
      <w:r w:rsidRPr="00447277">
        <w:rPr>
          <w:rStyle w:val="FootnoteReference"/>
          <w:rFonts w:cstheme="minorHAnsi"/>
          <w:color w:val="000000" w:themeColor="text1"/>
          <w:sz w:val="18"/>
          <w:szCs w:val="18"/>
        </w:rPr>
        <w:footnoteRef/>
      </w:r>
      <w:r w:rsidRPr="00447277">
        <w:rPr>
          <w:rFonts w:cstheme="minorHAnsi"/>
          <w:color w:val="000000" w:themeColor="text1"/>
          <w:sz w:val="18"/>
          <w:szCs w:val="18"/>
        </w:rPr>
        <w:t xml:space="preserve"> Data supplied by WHS Queensland</w:t>
      </w:r>
    </w:p>
  </w:footnote>
  <w:footnote w:id="8">
    <w:p w14:paraId="1CE0A7D3" w14:textId="0E9AC166" w:rsidR="00F1382E" w:rsidRPr="00447277" w:rsidRDefault="00F1382E">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A roadheader is a piece of excavation equipment that can be used in tunnelling and mining. </w:t>
      </w:r>
    </w:p>
  </w:footnote>
  <w:footnote w:id="9">
    <w:p w14:paraId="2178C08D" w14:textId="0258BB41" w:rsidR="00F1382E" w:rsidRPr="00447277" w:rsidRDefault="00F1382E" w:rsidP="00EC06FD">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Chapter 6 of the model WHS Regulations defines construction work as “any work carried out in connection with the construction, alteration, conversion, fitting</w:t>
      </w:r>
      <w:r w:rsidRPr="00447277">
        <w:rPr>
          <w:rFonts w:cstheme="minorHAnsi"/>
          <w:sz w:val="18"/>
          <w:szCs w:val="18"/>
        </w:rPr>
        <w:noBreakHyphen/>
        <w:t xml:space="preserve">out, commissioning, renovation, repair, maintenance, refurbishment, demolition, decommissioning or dismantling of a structure”. For a full definition, refer to </w:t>
      </w:r>
      <w:r w:rsidR="00E02C42" w:rsidRPr="00447277">
        <w:rPr>
          <w:rFonts w:cstheme="minorHAnsi"/>
          <w:sz w:val="18"/>
          <w:szCs w:val="18"/>
        </w:rPr>
        <w:t>r</w:t>
      </w:r>
      <w:r w:rsidRPr="00447277">
        <w:rPr>
          <w:rFonts w:cstheme="minorHAnsi"/>
          <w:sz w:val="18"/>
          <w:szCs w:val="18"/>
        </w:rPr>
        <w:t xml:space="preserve">289. </w:t>
      </w:r>
    </w:p>
  </w:footnote>
  <w:footnote w:id="10">
    <w:p w14:paraId="2D32F328" w14:textId="38C664F8" w:rsidR="00262C50" w:rsidRPr="00447277" w:rsidRDefault="00262C50" w:rsidP="00722C6A">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w:t>
      </w:r>
      <w:r w:rsidR="00722C6A" w:rsidRPr="00447277">
        <w:rPr>
          <w:rFonts w:cstheme="minorHAnsi"/>
          <w:sz w:val="18"/>
          <w:szCs w:val="18"/>
        </w:rPr>
        <w:t xml:space="preserve">Safe Work Australia has published an interpretive guideline on the meaning of reasonably practicable </w:t>
      </w:r>
      <w:r w:rsidR="00722C6A" w:rsidRPr="00447277">
        <w:rPr>
          <w:rFonts w:cstheme="minorHAnsi"/>
          <w:sz w:val="18"/>
          <w:szCs w:val="18"/>
        </w:rPr>
        <w:fldChar w:fldCharType="begin"/>
      </w:r>
      <w:r w:rsidR="004067E3" w:rsidRPr="00447277">
        <w:rPr>
          <w:rFonts w:cstheme="minorHAnsi"/>
          <w:sz w:val="18"/>
          <w:szCs w:val="18"/>
        </w:rPr>
        <w:instrText xml:space="preserve"> ADDIN ZOTERO_ITEM CSL_CITATION {"citationID":"8JaohWmS","properties":{"formattedCitation":"(Safe Work Australia 2011)","plainCitation":"(Safe Work Australia 2011)","noteIndex":9},"citationItems":[{"id":904,"uris":["http://zotero.org/users/6230888/items/6HRP67Y7"],"itemData":{"id":904,"type":"report","page":"7","title":"Interpretive guideline – Model Work Health and Safety Act - the meaning of reasonably practicable","URL":"https://www.safeworkaustralia.gov.au/doc/interpretive-guideline-model-work-health-and-safety-act-meaning-reasonably-practicable","author":[{"literal":"Safe Work Australia"}],"accessed":{"date-parts":[["2022",6,30]]},"issued":{"date-parts":[["2011"]]}}}],"schema":"https://github.com/citation-style-language/schema/raw/master/csl-citation.json"} </w:instrText>
      </w:r>
      <w:r w:rsidR="00722C6A" w:rsidRPr="00447277">
        <w:rPr>
          <w:rFonts w:cstheme="minorHAnsi"/>
          <w:sz w:val="18"/>
          <w:szCs w:val="18"/>
        </w:rPr>
        <w:fldChar w:fldCharType="separate"/>
      </w:r>
      <w:r w:rsidR="006B4A7D" w:rsidRPr="00447277">
        <w:rPr>
          <w:rFonts w:ascii="Calibri" w:hAnsi="Calibri" w:cs="Calibri"/>
          <w:sz w:val="18"/>
          <w:szCs w:val="18"/>
        </w:rPr>
        <w:t>(Safe Work Australia 2011)</w:t>
      </w:r>
      <w:r w:rsidR="00722C6A" w:rsidRPr="00447277">
        <w:rPr>
          <w:rFonts w:cstheme="minorHAnsi"/>
          <w:sz w:val="18"/>
          <w:szCs w:val="18"/>
        </w:rPr>
        <w:fldChar w:fldCharType="end"/>
      </w:r>
      <w:r w:rsidR="00722C6A" w:rsidRPr="00447277">
        <w:rPr>
          <w:rFonts w:cstheme="minorHAnsi"/>
          <w:sz w:val="18"/>
          <w:szCs w:val="18"/>
        </w:rPr>
        <w:t>.</w:t>
      </w:r>
    </w:p>
  </w:footnote>
  <w:footnote w:id="11">
    <w:p w14:paraId="16A71F86" w14:textId="15368476" w:rsidR="00262C50" w:rsidRPr="00447277" w:rsidRDefault="00262C50" w:rsidP="00722C6A">
      <w:pPr>
        <w:spacing w:after="0"/>
        <w:rPr>
          <w:rFonts w:cstheme="minorHAnsi"/>
          <w:sz w:val="18"/>
          <w:szCs w:val="18"/>
        </w:rPr>
      </w:pPr>
      <w:r w:rsidRPr="00447277">
        <w:rPr>
          <w:rFonts w:cstheme="minorHAnsi"/>
          <w:sz w:val="18"/>
          <w:szCs w:val="18"/>
          <w:vertAlign w:val="superscript"/>
        </w:rPr>
        <w:footnoteRef/>
      </w:r>
      <w:r w:rsidRPr="00447277">
        <w:rPr>
          <w:rFonts w:cstheme="minorHAnsi"/>
          <w:sz w:val="18"/>
          <w:szCs w:val="18"/>
        </w:rPr>
        <w:t xml:space="preserve"> model Work Health and Safety Act s17 (WHS Act); model Work Health and Safety Regulations r35 (WHS Regulations).</w:t>
      </w:r>
    </w:p>
  </w:footnote>
  <w:footnote w:id="12">
    <w:p w14:paraId="2BA58C54" w14:textId="77777777" w:rsidR="00722C6A" w:rsidRPr="00447277" w:rsidRDefault="00722C6A" w:rsidP="00722C6A">
      <w:pPr>
        <w:spacing w:after="0"/>
        <w:rPr>
          <w:rFonts w:cstheme="minorHAnsi"/>
          <w:sz w:val="18"/>
          <w:szCs w:val="18"/>
        </w:rPr>
      </w:pPr>
      <w:r w:rsidRPr="00447277">
        <w:rPr>
          <w:rFonts w:cstheme="minorHAnsi"/>
          <w:sz w:val="18"/>
          <w:szCs w:val="18"/>
          <w:vertAlign w:val="superscript"/>
        </w:rPr>
        <w:footnoteRef/>
      </w:r>
      <w:r w:rsidRPr="00447277">
        <w:rPr>
          <w:rFonts w:cstheme="minorHAnsi"/>
          <w:sz w:val="18"/>
          <w:szCs w:val="18"/>
        </w:rPr>
        <w:t xml:space="preserve"> model WHS Act s19 and s21; model WHS Regulations r39.</w:t>
      </w:r>
    </w:p>
  </w:footnote>
  <w:footnote w:id="13">
    <w:p w14:paraId="20A3253F" w14:textId="5A3F07A8" w:rsidR="00262C50" w:rsidRPr="00447277" w:rsidRDefault="00262C50" w:rsidP="00722C6A">
      <w:pPr>
        <w:spacing w:after="0"/>
        <w:rPr>
          <w:rFonts w:cstheme="minorHAnsi"/>
          <w:sz w:val="18"/>
          <w:szCs w:val="18"/>
        </w:rPr>
      </w:pPr>
      <w:r w:rsidRPr="00447277">
        <w:rPr>
          <w:rFonts w:cstheme="minorHAnsi"/>
          <w:sz w:val="18"/>
          <w:szCs w:val="18"/>
          <w:vertAlign w:val="superscript"/>
        </w:rPr>
        <w:footnoteRef/>
      </w:r>
      <w:r w:rsidRPr="00447277">
        <w:rPr>
          <w:rFonts w:cstheme="minorHAnsi"/>
          <w:sz w:val="18"/>
          <w:szCs w:val="18"/>
        </w:rPr>
        <w:t xml:space="preserve"> model WHS Act s47.</w:t>
      </w:r>
    </w:p>
  </w:footnote>
  <w:footnote w:id="14">
    <w:p w14:paraId="78F2114B" w14:textId="77777777" w:rsidR="00951981" w:rsidRPr="00447277" w:rsidRDefault="00951981" w:rsidP="00951981">
      <w:pPr>
        <w:pStyle w:val="FootnoteText"/>
        <w:rPr>
          <w:sz w:val="18"/>
          <w:szCs w:val="18"/>
        </w:rPr>
      </w:pPr>
      <w:r w:rsidRPr="00447277">
        <w:rPr>
          <w:rStyle w:val="FootnoteReference"/>
          <w:sz w:val="18"/>
          <w:szCs w:val="18"/>
        </w:rPr>
        <w:footnoteRef/>
      </w:r>
      <w:r w:rsidRPr="00447277">
        <w:rPr>
          <w:sz w:val="18"/>
          <w:szCs w:val="18"/>
        </w:rPr>
        <w:t xml:space="preserve"> model WHS Act s70.</w:t>
      </w:r>
    </w:p>
  </w:footnote>
  <w:footnote w:id="15">
    <w:p w14:paraId="2DD8B0DD" w14:textId="2C1FE0E0" w:rsidR="00262C50" w:rsidRPr="00447277" w:rsidRDefault="00262C50" w:rsidP="00722C6A">
      <w:pPr>
        <w:spacing w:after="0"/>
        <w:rPr>
          <w:rFonts w:cstheme="minorHAnsi"/>
          <w:sz w:val="18"/>
          <w:szCs w:val="18"/>
        </w:rPr>
      </w:pPr>
      <w:r w:rsidRPr="00447277">
        <w:rPr>
          <w:rFonts w:cstheme="minorHAnsi"/>
          <w:sz w:val="18"/>
          <w:szCs w:val="18"/>
          <w:vertAlign w:val="superscript"/>
        </w:rPr>
        <w:footnoteRef/>
      </w:r>
      <w:r w:rsidRPr="00447277">
        <w:rPr>
          <w:rFonts w:cstheme="minorHAnsi"/>
          <w:sz w:val="18"/>
          <w:szCs w:val="18"/>
        </w:rPr>
        <w:t xml:space="preserve"> model WHS Act s47; model WHS Regulations r299 and r369.</w:t>
      </w:r>
    </w:p>
  </w:footnote>
  <w:footnote w:id="16">
    <w:p w14:paraId="7D57C78C" w14:textId="77777777" w:rsidR="00951981" w:rsidRPr="00447277" w:rsidRDefault="00951981" w:rsidP="00951981">
      <w:pPr>
        <w:spacing w:after="0"/>
        <w:rPr>
          <w:rFonts w:cstheme="minorHAnsi"/>
          <w:sz w:val="18"/>
          <w:szCs w:val="18"/>
        </w:rPr>
      </w:pPr>
      <w:r w:rsidRPr="00447277">
        <w:rPr>
          <w:rFonts w:cstheme="minorHAnsi"/>
          <w:sz w:val="18"/>
          <w:szCs w:val="18"/>
          <w:vertAlign w:val="superscript"/>
        </w:rPr>
        <w:footnoteRef/>
      </w:r>
      <w:r w:rsidRPr="00447277">
        <w:rPr>
          <w:rFonts w:cstheme="minorHAnsi"/>
          <w:sz w:val="18"/>
          <w:szCs w:val="18"/>
        </w:rPr>
        <w:t xml:space="preserve"> model WHS Act s46.</w:t>
      </w:r>
    </w:p>
  </w:footnote>
  <w:footnote w:id="17">
    <w:p w14:paraId="2226C8D5" w14:textId="79205164" w:rsidR="00262C50" w:rsidRPr="00447277" w:rsidRDefault="00262C50" w:rsidP="00262C50">
      <w:pPr>
        <w:rPr>
          <w:rFonts w:cstheme="minorHAnsi"/>
          <w:sz w:val="18"/>
          <w:szCs w:val="18"/>
        </w:rPr>
      </w:pPr>
      <w:r w:rsidRPr="00447277">
        <w:rPr>
          <w:rFonts w:cstheme="minorHAnsi"/>
          <w:sz w:val="18"/>
          <w:szCs w:val="18"/>
          <w:vertAlign w:val="superscript"/>
        </w:rPr>
        <w:footnoteRef/>
      </w:r>
      <w:r w:rsidRPr="00447277">
        <w:rPr>
          <w:rFonts w:cstheme="minorHAnsi"/>
          <w:sz w:val="18"/>
          <w:szCs w:val="18"/>
        </w:rPr>
        <w:t xml:space="preserve"> model </w:t>
      </w:r>
      <w:r w:rsidRPr="00447277">
        <w:rPr>
          <w:rFonts w:cstheme="minorHAnsi"/>
          <w:color w:val="auto"/>
          <w:sz w:val="18"/>
          <w:szCs w:val="18"/>
        </w:rPr>
        <w:t>WHS Regulations r49.</w:t>
      </w:r>
    </w:p>
  </w:footnote>
  <w:footnote w:id="18">
    <w:p w14:paraId="21C507D1" w14:textId="2705702B" w:rsidR="00262C50" w:rsidRPr="00447277" w:rsidRDefault="00262C50" w:rsidP="005F604B">
      <w:pPr>
        <w:spacing w:after="0"/>
        <w:rPr>
          <w:rFonts w:cstheme="minorHAnsi"/>
          <w:sz w:val="18"/>
          <w:szCs w:val="18"/>
        </w:rPr>
      </w:pPr>
      <w:r w:rsidRPr="00447277">
        <w:rPr>
          <w:rFonts w:cstheme="minorHAnsi"/>
          <w:sz w:val="18"/>
          <w:szCs w:val="18"/>
          <w:vertAlign w:val="superscript"/>
        </w:rPr>
        <w:footnoteRef/>
      </w:r>
      <w:r w:rsidRPr="00447277">
        <w:rPr>
          <w:rFonts w:cstheme="minorHAnsi"/>
          <w:sz w:val="18"/>
          <w:szCs w:val="18"/>
        </w:rPr>
        <w:t xml:space="preserve"> model WHS Regulations r50 and r368.</w:t>
      </w:r>
    </w:p>
  </w:footnote>
  <w:footnote w:id="19">
    <w:p w14:paraId="1EC99BB8" w14:textId="7FD10DBE" w:rsidR="00262C50" w:rsidRPr="00447277" w:rsidRDefault="00262C50" w:rsidP="005F604B">
      <w:pPr>
        <w:spacing w:after="0"/>
        <w:rPr>
          <w:rFonts w:cstheme="minorHAnsi"/>
          <w:sz w:val="18"/>
          <w:szCs w:val="18"/>
        </w:rPr>
      </w:pPr>
      <w:r w:rsidRPr="00447277">
        <w:rPr>
          <w:rFonts w:cstheme="minorHAnsi"/>
          <w:sz w:val="18"/>
          <w:szCs w:val="18"/>
          <w:vertAlign w:val="superscript"/>
        </w:rPr>
        <w:footnoteRef/>
      </w:r>
      <w:r w:rsidRPr="00447277">
        <w:rPr>
          <w:rFonts w:cstheme="minorHAnsi"/>
          <w:sz w:val="18"/>
          <w:szCs w:val="18"/>
        </w:rPr>
        <w:t xml:space="preserve"> model WHS Regulations r378.</w:t>
      </w:r>
    </w:p>
  </w:footnote>
  <w:footnote w:id="20">
    <w:p w14:paraId="0B614D18" w14:textId="77777777" w:rsidR="00951981" w:rsidRPr="00447277" w:rsidRDefault="00951981" w:rsidP="00951981">
      <w:pPr>
        <w:rPr>
          <w:rFonts w:cstheme="minorHAnsi"/>
          <w:sz w:val="18"/>
          <w:szCs w:val="18"/>
        </w:rPr>
      </w:pPr>
      <w:r w:rsidRPr="00447277">
        <w:rPr>
          <w:rFonts w:cstheme="minorHAnsi"/>
          <w:sz w:val="18"/>
          <w:szCs w:val="18"/>
          <w:vertAlign w:val="superscript"/>
        </w:rPr>
        <w:footnoteRef/>
      </w:r>
      <w:r w:rsidRPr="00447277">
        <w:rPr>
          <w:rFonts w:cstheme="minorHAnsi"/>
          <w:sz w:val="18"/>
          <w:szCs w:val="18"/>
        </w:rPr>
        <w:t xml:space="preserve"> model WHS Regulations r370.</w:t>
      </w:r>
    </w:p>
  </w:footnote>
  <w:footnote w:id="21">
    <w:p w14:paraId="2ED75767" w14:textId="77777777" w:rsidR="00951981" w:rsidRPr="00447277" w:rsidRDefault="00951981" w:rsidP="00951981">
      <w:pPr>
        <w:rPr>
          <w:rFonts w:cstheme="minorHAnsi"/>
          <w:sz w:val="18"/>
          <w:szCs w:val="18"/>
        </w:rPr>
      </w:pPr>
      <w:r w:rsidRPr="00447277">
        <w:rPr>
          <w:rFonts w:cstheme="minorHAnsi"/>
          <w:sz w:val="18"/>
          <w:szCs w:val="18"/>
          <w:vertAlign w:val="superscript"/>
        </w:rPr>
        <w:footnoteRef/>
      </w:r>
      <w:r w:rsidRPr="00447277">
        <w:rPr>
          <w:rFonts w:cstheme="minorHAnsi"/>
          <w:sz w:val="18"/>
          <w:szCs w:val="18"/>
        </w:rPr>
        <w:t xml:space="preserve"> model WHS Regulations rr371, 375, 378.</w:t>
      </w:r>
    </w:p>
  </w:footnote>
  <w:footnote w:id="22">
    <w:p w14:paraId="6555BF3B" w14:textId="6683E1DB" w:rsidR="00262C50" w:rsidRPr="00447277" w:rsidRDefault="00262C50" w:rsidP="005F604B">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WHS Regulations r370.</w:t>
      </w:r>
    </w:p>
  </w:footnote>
  <w:footnote w:id="23">
    <w:p w14:paraId="7B999AC1" w14:textId="154B900B" w:rsidR="00262C50" w:rsidRPr="00447277" w:rsidRDefault="00262C50" w:rsidP="005F604B">
      <w:pPr>
        <w:spacing w:after="0"/>
        <w:rPr>
          <w:rFonts w:cstheme="minorHAnsi"/>
          <w:sz w:val="18"/>
          <w:szCs w:val="18"/>
        </w:rPr>
      </w:pPr>
      <w:r w:rsidRPr="00447277">
        <w:rPr>
          <w:rFonts w:cstheme="minorHAnsi"/>
          <w:sz w:val="18"/>
          <w:szCs w:val="18"/>
          <w:vertAlign w:val="superscript"/>
        </w:rPr>
        <w:footnoteRef/>
      </w:r>
      <w:r w:rsidRPr="00447277">
        <w:rPr>
          <w:rFonts w:cstheme="minorHAnsi"/>
          <w:sz w:val="18"/>
          <w:szCs w:val="18"/>
        </w:rPr>
        <w:t xml:space="preserve"> model WHS Regulations r299</w:t>
      </w:r>
    </w:p>
  </w:footnote>
  <w:footnote w:id="24">
    <w:p w14:paraId="4ED2CA02" w14:textId="343BBA83" w:rsidR="00262C50" w:rsidRPr="00447277" w:rsidRDefault="00262C50" w:rsidP="005F604B">
      <w:pPr>
        <w:spacing w:after="0"/>
        <w:rPr>
          <w:rFonts w:cstheme="minorHAnsi"/>
          <w:sz w:val="18"/>
          <w:szCs w:val="18"/>
        </w:rPr>
      </w:pPr>
      <w:r w:rsidRPr="00447277">
        <w:rPr>
          <w:rFonts w:cstheme="minorHAnsi"/>
          <w:sz w:val="18"/>
          <w:szCs w:val="18"/>
          <w:vertAlign w:val="superscript"/>
        </w:rPr>
        <w:footnoteRef/>
      </w:r>
      <w:r w:rsidRPr="00447277">
        <w:rPr>
          <w:rFonts w:cstheme="minorHAnsi"/>
          <w:sz w:val="18"/>
          <w:szCs w:val="18"/>
          <w:vertAlign w:val="superscript"/>
        </w:rPr>
        <w:t xml:space="preserve"> </w:t>
      </w:r>
      <w:r w:rsidRPr="00447277">
        <w:rPr>
          <w:rFonts w:cstheme="minorHAnsi"/>
          <w:sz w:val="18"/>
          <w:szCs w:val="18"/>
        </w:rPr>
        <w:t>model WHS Regulations r300</w:t>
      </w:r>
    </w:p>
  </w:footnote>
  <w:footnote w:id="25">
    <w:p w14:paraId="079C9E26" w14:textId="14EDFA12" w:rsidR="00262C50" w:rsidRPr="00447277" w:rsidRDefault="00262C50" w:rsidP="00262C50">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WHS Act s28</w:t>
      </w:r>
    </w:p>
  </w:footnote>
  <w:footnote w:id="26">
    <w:p w14:paraId="1E6BCF1B" w14:textId="4830D87C" w:rsidR="00262C50" w:rsidRPr="00447277" w:rsidRDefault="00262C50" w:rsidP="00262C50">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WHS Act s28</w:t>
      </w:r>
    </w:p>
  </w:footnote>
  <w:footnote w:id="27">
    <w:p w14:paraId="28F4F43C" w14:textId="089F4308" w:rsidR="00262C50" w:rsidRPr="00447277" w:rsidRDefault="00262C50" w:rsidP="00262C50">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WHS Act s27</w:t>
      </w:r>
    </w:p>
  </w:footnote>
  <w:footnote w:id="28">
    <w:p w14:paraId="584A68D4" w14:textId="589D49F1" w:rsidR="00262C50" w:rsidRPr="00447277" w:rsidRDefault="00262C50" w:rsidP="00262C50">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WHS Act s29</w:t>
      </w:r>
    </w:p>
  </w:footnote>
  <w:footnote w:id="29">
    <w:p w14:paraId="18829EDD" w14:textId="77777777" w:rsidR="00105526" w:rsidRPr="00447277" w:rsidRDefault="00105526" w:rsidP="00105526">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 w:id="30">
    <w:p w14:paraId="0B0A29D8" w14:textId="54F6DEC2" w:rsidR="00447277" w:rsidRPr="00447277" w:rsidRDefault="00447277">
      <w:pPr>
        <w:pStyle w:val="FootnoteText"/>
        <w:rPr>
          <w:sz w:val="18"/>
          <w:szCs w:val="18"/>
        </w:rPr>
      </w:pPr>
      <w:r w:rsidRPr="00447277">
        <w:rPr>
          <w:rStyle w:val="FootnoteReference"/>
          <w:sz w:val="18"/>
          <w:szCs w:val="18"/>
        </w:rPr>
        <w:footnoteRef/>
      </w:r>
      <w:r w:rsidRPr="00447277">
        <w:rPr>
          <w:sz w:val="18"/>
          <w:szCs w:val="18"/>
        </w:rPr>
        <w:t xml:space="preserve"> Model Assumption</w:t>
      </w:r>
    </w:p>
  </w:footnote>
  <w:footnote w:id="31">
    <w:p w14:paraId="6DB2302B" w14:textId="77777777" w:rsidR="00105526" w:rsidRPr="00447277" w:rsidRDefault="00105526" w:rsidP="00105526">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 </w:t>
      </w:r>
    </w:p>
  </w:footnote>
  <w:footnote w:id="32">
    <w:p w14:paraId="67EEDF93" w14:textId="77777777" w:rsidR="00105526" w:rsidRPr="00447277" w:rsidRDefault="00105526" w:rsidP="00105526">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 w:id="33">
    <w:p w14:paraId="0E828088" w14:textId="77777777" w:rsidR="00105526" w:rsidRPr="00447277" w:rsidRDefault="00105526" w:rsidP="00105526">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 </w:t>
      </w:r>
    </w:p>
  </w:footnote>
  <w:footnote w:id="34">
    <w:p w14:paraId="1E6BD965" w14:textId="77777777" w:rsidR="00105526" w:rsidRPr="00447277" w:rsidRDefault="00105526" w:rsidP="00105526">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 </w:t>
      </w:r>
    </w:p>
  </w:footnote>
  <w:footnote w:id="35">
    <w:p w14:paraId="7F439D60" w14:textId="77777777" w:rsidR="00105526" w:rsidRPr="00447277" w:rsidRDefault="00105526" w:rsidP="00105526">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 w:id="36">
    <w:p w14:paraId="66EF584C" w14:textId="77777777" w:rsidR="00105526" w:rsidRPr="00447277" w:rsidRDefault="00105526" w:rsidP="00105526">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 </w:t>
      </w:r>
    </w:p>
  </w:footnote>
  <w:footnote w:id="37">
    <w:p w14:paraId="067DB972" w14:textId="77777777" w:rsidR="00FB2330" w:rsidRPr="00447277" w:rsidRDefault="00FB2330" w:rsidP="00105526">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 w:id="38">
    <w:p w14:paraId="204009BB" w14:textId="77777777" w:rsidR="00FB2330" w:rsidRPr="00447277" w:rsidRDefault="00FB2330" w:rsidP="00105526">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 w:id="39">
    <w:p w14:paraId="53C21111" w14:textId="77777777" w:rsidR="00FB2330" w:rsidRPr="00447277" w:rsidRDefault="00FB2330" w:rsidP="00105526">
      <w:pPr>
        <w:pStyle w:val="FootnoteText"/>
        <w:rPr>
          <w:rFonts w:cstheme="minorHAnsi"/>
          <w:sz w:val="18"/>
          <w:szCs w:val="18"/>
        </w:rPr>
      </w:pPr>
      <w:r w:rsidRPr="00447277">
        <w:rPr>
          <w:rStyle w:val="FootnoteReference"/>
          <w:rFonts w:cstheme="minorHAnsi"/>
          <w:sz w:val="18"/>
          <w:szCs w:val="18"/>
        </w:rPr>
        <w:footnoteRef/>
      </w:r>
      <w:r w:rsidRPr="00447277">
        <w:rPr>
          <w:rFonts w:cstheme="minorHAnsi"/>
          <w:sz w:val="18"/>
          <w:szCs w:val="18"/>
        </w:rPr>
        <w:t xml:space="preserve"> Model assumption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8145C" w14:textId="414AD8ED" w:rsidR="00F1382E" w:rsidRDefault="00F13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C5DB7" w14:textId="6F70D4F6" w:rsidR="00F1382E" w:rsidRPr="00B87E45" w:rsidRDefault="00F1382E" w:rsidP="001007B9">
    <w:pPr>
      <w:pStyle w:val="ProtectiveMarking"/>
    </w:pPr>
  </w:p>
  <w:sdt>
    <w:sdtPr>
      <w:alias w:val="Classification"/>
      <w:tag w:val="Classification"/>
      <w:id w:val="2090721454"/>
      <w:dataBinding w:xpath="/root[1]/Classification[1]" w:storeItemID="{00000000-0000-0000-0000-000000000000}"/>
      <w:text/>
    </w:sdtPr>
    <w:sdtEndPr/>
    <w:sdtContent>
      <w:p w14:paraId="3FA7637B" w14:textId="3ED8CF1C" w:rsidR="00F1382E" w:rsidRPr="00B87E45" w:rsidRDefault="00F1382E" w:rsidP="001007B9">
        <w:pPr>
          <w:pStyle w:val="ProtectiveMarking"/>
        </w:pPr>
        <w:r>
          <w:t>Choose Classifiction</w:t>
        </w:r>
      </w:p>
    </w:sdtContent>
  </w:sdt>
  <w:p w14:paraId="60141277" w14:textId="77777777" w:rsidR="00F1382E" w:rsidRPr="00073D52" w:rsidRDefault="00F1382E" w:rsidP="001007B9">
    <w:pPr>
      <w:pStyle w:val="Footerline"/>
    </w:pPr>
  </w:p>
  <w:p w14:paraId="7D154907" w14:textId="77777777" w:rsidR="00F1382E" w:rsidRDefault="00F13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1C0A" w14:textId="229B77AC" w:rsidR="00F1382E" w:rsidRPr="00B87E45" w:rsidRDefault="00F1382E" w:rsidP="00663EAD">
    <w:pPr>
      <w:pStyle w:val="ProtectiveMarking"/>
    </w:pPr>
  </w:p>
  <w:p w14:paraId="46358805" w14:textId="77777777" w:rsidR="00F1382E" w:rsidRPr="00073D52" w:rsidRDefault="00F1382E" w:rsidP="00663EAD">
    <w:pPr>
      <w:pStyle w:val="Footerline"/>
    </w:pPr>
  </w:p>
  <w:p w14:paraId="0EB0003C" w14:textId="77777777" w:rsidR="00F1382E" w:rsidRDefault="00F138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9D98D" w14:textId="77777777" w:rsidR="00C43655" w:rsidRDefault="00C4365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8E5B" w14:textId="77777777" w:rsidR="00C43655" w:rsidRDefault="00C4365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585C1" w14:textId="77777777" w:rsidR="00C43655" w:rsidRDefault="00C436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7927" w14:textId="57DB55CE" w:rsidR="00F1382E" w:rsidRDefault="00F1382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044D8" w14:textId="1477B686" w:rsidR="00F1382E" w:rsidRPr="00753174" w:rsidRDefault="00F1382E" w:rsidP="00753174">
    <w:pPr>
      <w:pStyle w:val="Header"/>
    </w:pPr>
  </w:p>
  <w:p w14:paraId="201DE651" w14:textId="77777777" w:rsidR="00F1382E" w:rsidRPr="00753174" w:rsidRDefault="00F1382E" w:rsidP="007531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3F9A" w14:textId="56A6CB8A" w:rsidR="00F1382E" w:rsidRPr="00B87E45" w:rsidRDefault="00F1382E" w:rsidP="00663EAD">
    <w:pPr>
      <w:pStyle w:val="ProtectiveMarking"/>
    </w:pPr>
  </w:p>
  <w:p w14:paraId="1236B9FD" w14:textId="5BAC3A92" w:rsidR="00F1382E" w:rsidRPr="00B87E45" w:rsidRDefault="00F1382E" w:rsidP="00663EAD">
    <w:pPr>
      <w:pStyle w:val="ProtectiveMarking"/>
    </w:pPr>
    <w:r>
      <w:t>Choose Classifiction</w:t>
    </w:r>
  </w:p>
  <w:p w14:paraId="11EAE70B" w14:textId="77777777" w:rsidR="00F1382E" w:rsidRPr="00073D52" w:rsidRDefault="00F1382E" w:rsidP="00663EAD">
    <w:pPr>
      <w:pStyle w:val="Footerline"/>
    </w:pPr>
  </w:p>
  <w:p w14:paraId="7BAE3A47" w14:textId="77777777" w:rsidR="00F1382E" w:rsidRDefault="00F13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2D6481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6E591C"/>
    <w:multiLevelType w:val="hybridMultilevel"/>
    <w:tmpl w:val="9FAE7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A60D2"/>
    <w:multiLevelType w:val="hybridMultilevel"/>
    <w:tmpl w:val="41CA77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C2735F"/>
    <w:multiLevelType w:val="multilevel"/>
    <w:tmpl w:val="01740830"/>
    <w:styleLink w:val="ListHeadings"/>
    <w:lvl w:ilvl="0">
      <w:start w:val="1"/>
      <w:numFmt w:val="decimal"/>
      <w:pStyle w:val="NumberedHeading1"/>
      <w:lvlText w:val="%1."/>
      <w:lvlJc w:val="left"/>
      <w:pPr>
        <w:ind w:left="1134" w:hanging="1134"/>
      </w:pPr>
      <w:rPr>
        <w:rFonts w:hint="default"/>
      </w:rPr>
    </w:lvl>
    <w:lvl w:ilvl="1">
      <w:start w:val="1"/>
      <w:numFmt w:val="decimal"/>
      <w:pStyle w:val="NumberedHeading2"/>
      <w:lvlText w:val="%1.%2."/>
      <w:lvlJc w:val="left"/>
      <w:pPr>
        <w:ind w:left="1134" w:hanging="1134"/>
      </w:pPr>
      <w:rPr>
        <w:rFonts w:hint="default"/>
      </w:rPr>
    </w:lvl>
    <w:lvl w:ilvl="2">
      <w:start w:val="1"/>
      <w:numFmt w:val="decimal"/>
      <w:pStyle w:val="NumberedHeading3"/>
      <w:lvlText w:val="%1.%2.%3."/>
      <w:lvlJc w:val="left"/>
      <w:pPr>
        <w:ind w:left="1134" w:hanging="1134"/>
      </w:pPr>
      <w:rPr>
        <w:rFonts w:hint="default"/>
      </w:rPr>
    </w:lvl>
    <w:lvl w:ilvl="3">
      <w:start w:val="1"/>
      <w:numFmt w:val="decimal"/>
      <w:pStyle w:val="NumberedHeading4"/>
      <w:lvlText w:val="%1.%2.%3.%4."/>
      <w:lvlJc w:val="left"/>
      <w:pPr>
        <w:ind w:left="1134" w:hanging="1134"/>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5" w15:restartNumberingAfterBreak="0">
    <w:nsid w:val="0DD2701F"/>
    <w:multiLevelType w:val="hybridMultilevel"/>
    <w:tmpl w:val="31F4D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197649"/>
    <w:multiLevelType w:val="hybridMultilevel"/>
    <w:tmpl w:val="3718F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E6D1C05"/>
    <w:multiLevelType w:val="multilevel"/>
    <w:tmpl w:val="EC52CA1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BC3B57"/>
    <w:multiLevelType w:val="hybridMultilevel"/>
    <w:tmpl w:val="744AB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6A3833"/>
    <w:multiLevelType w:val="multilevel"/>
    <w:tmpl w:val="848C7684"/>
    <w:lvl w:ilvl="0">
      <w:numFmt w:val="decimal"/>
      <w:pStyle w:val="VHBAquotebullet1"/>
      <w:lvlText w:val=""/>
      <w:lvlJc w:val="left"/>
    </w:lvl>
    <w:lvl w:ilvl="1">
      <w:numFmt w:val="decimal"/>
      <w:pStyle w:val="VHBAquotebullet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035393"/>
    <w:multiLevelType w:val="hybridMultilevel"/>
    <w:tmpl w:val="FE1C2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43653B"/>
    <w:multiLevelType w:val="multilevel"/>
    <w:tmpl w:val="EF18123E"/>
    <w:styleLink w:val="EYPlainBulletList"/>
    <w:lvl w:ilvl="0">
      <w:start w:val="1"/>
      <w:numFmt w:val="bullet"/>
      <w:pStyle w:val="EYBulletnoparaspace"/>
      <w:lvlText w:val="►"/>
      <w:lvlJc w:val="left"/>
      <w:pPr>
        <w:ind w:left="425" w:hanging="425"/>
      </w:pPr>
      <w:rPr>
        <w:rFonts w:ascii="Arial" w:hAnsi="Arial" w:hint="default"/>
        <w:sz w:val="16"/>
      </w:rPr>
    </w:lvl>
    <w:lvl w:ilvl="1">
      <w:start w:val="1"/>
      <w:numFmt w:val="bullet"/>
      <w:lvlText w:val="►"/>
      <w:lvlJc w:val="left"/>
      <w:pPr>
        <w:ind w:left="850" w:hanging="425"/>
      </w:pPr>
      <w:rPr>
        <w:rFonts w:ascii="Arial" w:hAnsi="Arial" w:hint="default"/>
        <w:sz w:val="16"/>
      </w:rPr>
    </w:lvl>
    <w:lvl w:ilvl="2">
      <w:start w:val="1"/>
      <w:numFmt w:val="bullet"/>
      <w:lvlText w:val="►"/>
      <w:lvlJc w:val="left"/>
      <w:pPr>
        <w:ind w:left="1275" w:hanging="425"/>
      </w:pPr>
      <w:rPr>
        <w:rFonts w:ascii="Arial" w:hAnsi="Arial" w:hint="default"/>
        <w:sz w:val="16"/>
      </w:rPr>
    </w:lvl>
    <w:lvl w:ilvl="3">
      <w:start w:val="1"/>
      <w:numFmt w:val="bullet"/>
      <w:lvlText w:val="►"/>
      <w:lvlJc w:val="left"/>
      <w:pPr>
        <w:ind w:left="1700" w:hanging="425"/>
      </w:pPr>
      <w:rPr>
        <w:rFonts w:ascii="Arial" w:hAnsi="Arial" w:hint="default"/>
        <w:sz w:val="16"/>
      </w:rPr>
    </w:lvl>
    <w:lvl w:ilvl="4">
      <w:start w:val="1"/>
      <w:numFmt w:val="bullet"/>
      <w:lvlText w:val="►"/>
      <w:lvlJc w:val="left"/>
      <w:pPr>
        <w:ind w:left="2125" w:hanging="425"/>
      </w:pPr>
      <w:rPr>
        <w:rFonts w:ascii="Arial" w:hAnsi="Arial" w:hint="default"/>
        <w:sz w:val="16"/>
      </w:rPr>
    </w:lvl>
    <w:lvl w:ilvl="5">
      <w:start w:val="1"/>
      <w:numFmt w:val="bullet"/>
      <w:lvlText w:val="►"/>
      <w:lvlJc w:val="left"/>
      <w:pPr>
        <w:ind w:left="2550" w:hanging="425"/>
      </w:pPr>
      <w:rPr>
        <w:rFonts w:ascii="Arial" w:hAnsi="Arial" w:hint="default"/>
        <w:sz w:val="16"/>
      </w:rPr>
    </w:lvl>
    <w:lvl w:ilvl="6">
      <w:start w:val="1"/>
      <w:numFmt w:val="bullet"/>
      <w:lvlText w:val="►"/>
      <w:lvlJc w:val="left"/>
      <w:pPr>
        <w:ind w:left="2975" w:hanging="425"/>
      </w:pPr>
      <w:rPr>
        <w:rFonts w:ascii="Arial" w:hAnsi="Arial" w:hint="default"/>
        <w:sz w:val="16"/>
      </w:rPr>
    </w:lvl>
    <w:lvl w:ilvl="7">
      <w:start w:val="1"/>
      <w:numFmt w:val="bullet"/>
      <w:lvlText w:val="►"/>
      <w:lvlJc w:val="left"/>
      <w:pPr>
        <w:ind w:left="3400" w:hanging="425"/>
      </w:pPr>
      <w:rPr>
        <w:rFonts w:ascii="Arial" w:hAnsi="Arial" w:hint="default"/>
        <w:sz w:val="16"/>
      </w:rPr>
    </w:lvl>
    <w:lvl w:ilvl="8">
      <w:start w:val="1"/>
      <w:numFmt w:val="bullet"/>
      <w:lvlText w:val="►"/>
      <w:lvlJc w:val="left"/>
      <w:pPr>
        <w:ind w:left="3825" w:hanging="425"/>
      </w:pPr>
      <w:rPr>
        <w:rFonts w:ascii="Arial" w:hAnsi="Arial" w:hint="default"/>
        <w:sz w:val="16"/>
      </w:rPr>
    </w:lvl>
  </w:abstractNum>
  <w:abstractNum w:abstractNumId="12" w15:restartNumberingAfterBreak="0">
    <w:nsid w:val="22D62ABF"/>
    <w:multiLevelType w:val="hybridMultilevel"/>
    <w:tmpl w:val="17C66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F22A6D"/>
    <w:multiLevelType w:val="hybridMultilevel"/>
    <w:tmpl w:val="86C0F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2B3B02"/>
    <w:multiLevelType w:val="hybridMultilevel"/>
    <w:tmpl w:val="0A5E1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5" w15:restartNumberingAfterBreak="0">
    <w:nsid w:val="24F4577F"/>
    <w:multiLevelType w:val="hybridMultilevel"/>
    <w:tmpl w:val="FADE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020DF9"/>
    <w:multiLevelType w:val="hybridMultilevel"/>
    <w:tmpl w:val="78DAC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670235"/>
    <w:multiLevelType w:val="hybridMultilevel"/>
    <w:tmpl w:val="BB2E5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DA13EE"/>
    <w:multiLevelType w:val="hybridMultilevel"/>
    <w:tmpl w:val="6B02B6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96" w:hanging="360"/>
      </w:pPr>
      <w:rPr>
        <w:rFonts w:ascii="Courier New" w:hAnsi="Courier New" w:cs="Courier New" w:hint="default"/>
      </w:rPr>
    </w:lvl>
    <w:lvl w:ilvl="2" w:tplc="0C090005">
      <w:start w:val="1"/>
      <w:numFmt w:val="bullet"/>
      <w:lvlText w:val=""/>
      <w:lvlJc w:val="left"/>
      <w:pPr>
        <w:ind w:left="1516" w:hanging="360"/>
      </w:pPr>
      <w:rPr>
        <w:rFonts w:ascii="Wingdings" w:hAnsi="Wingdings" w:hint="default"/>
      </w:rPr>
    </w:lvl>
    <w:lvl w:ilvl="3" w:tplc="0C090001">
      <w:start w:val="1"/>
      <w:numFmt w:val="bullet"/>
      <w:lvlText w:val=""/>
      <w:lvlJc w:val="left"/>
      <w:pPr>
        <w:ind w:left="2236" w:hanging="360"/>
      </w:pPr>
      <w:rPr>
        <w:rFonts w:ascii="Symbol" w:hAnsi="Symbol" w:hint="default"/>
      </w:rPr>
    </w:lvl>
    <w:lvl w:ilvl="4" w:tplc="0C090003">
      <w:start w:val="1"/>
      <w:numFmt w:val="bullet"/>
      <w:lvlText w:val="o"/>
      <w:lvlJc w:val="left"/>
      <w:pPr>
        <w:ind w:left="2956" w:hanging="360"/>
      </w:pPr>
      <w:rPr>
        <w:rFonts w:ascii="Courier New" w:hAnsi="Courier New" w:cs="Courier New" w:hint="default"/>
      </w:rPr>
    </w:lvl>
    <w:lvl w:ilvl="5" w:tplc="0C090005">
      <w:start w:val="1"/>
      <w:numFmt w:val="bullet"/>
      <w:lvlText w:val=""/>
      <w:lvlJc w:val="left"/>
      <w:pPr>
        <w:ind w:left="3676" w:hanging="360"/>
      </w:pPr>
      <w:rPr>
        <w:rFonts w:ascii="Wingdings" w:hAnsi="Wingdings" w:hint="default"/>
      </w:rPr>
    </w:lvl>
    <w:lvl w:ilvl="6" w:tplc="0C090001">
      <w:start w:val="1"/>
      <w:numFmt w:val="bullet"/>
      <w:lvlText w:val=""/>
      <w:lvlJc w:val="left"/>
      <w:pPr>
        <w:ind w:left="4396" w:hanging="360"/>
      </w:pPr>
      <w:rPr>
        <w:rFonts w:ascii="Symbol" w:hAnsi="Symbol" w:hint="default"/>
      </w:rPr>
    </w:lvl>
    <w:lvl w:ilvl="7" w:tplc="0C090003">
      <w:start w:val="1"/>
      <w:numFmt w:val="bullet"/>
      <w:lvlText w:val="o"/>
      <w:lvlJc w:val="left"/>
      <w:pPr>
        <w:ind w:left="5116" w:hanging="360"/>
      </w:pPr>
      <w:rPr>
        <w:rFonts w:ascii="Courier New" w:hAnsi="Courier New" w:cs="Courier New" w:hint="default"/>
      </w:rPr>
    </w:lvl>
    <w:lvl w:ilvl="8" w:tplc="0C090005">
      <w:start w:val="1"/>
      <w:numFmt w:val="bullet"/>
      <w:lvlText w:val=""/>
      <w:lvlJc w:val="left"/>
      <w:pPr>
        <w:ind w:left="5836" w:hanging="360"/>
      </w:pPr>
      <w:rPr>
        <w:rFonts w:ascii="Wingdings" w:hAnsi="Wingdings" w:hint="default"/>
      </w:rPr>
    </w:lvl>
  </w:abstractNum>
  <w:abstractNum w:abstractNumId="20"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1" w15:restartNumberingAfterBreak="0">
    <w:nsid w:val="380F54AB"/>
    <w:multiLevelType w:val="hybridMultilevel"/>
    <w:tmpl w:val="C44C2E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CF48FB"/>
    <w:multiLevelType w:val="multilevel"/>
    <w:tmpl w:val="01740830"/>
    <w:numStyleLink w:val="ListHeadings"/>
  </w:abstractNum>
  <w:abstractNum w:abstractNumId="23" w15:restartNumberingAfterBreak="0">
    <w:nsid w:val="3C2339B1"/>
    <w:multiLevelType w:val="hybridMultilevel"/>
    <w:tmpl w:val="ED601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CD40CA"/>
    <w:multiLevelType w:val="hybridMultilevel"/>
    <w:tmpl w:val="8B4EC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D46334"/>
    <w:multiLevelType w:val="hybridMultilevel"/>
    <w:tmpl w:val="0A721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3370F7"/>
    <w:multiLevelType w:val="hybridMultilevel"/>
    <w:tmpl w:val="E83CC6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451578A7"/>
    <w:multiLevelType w:val="multilevel"/>
    <w:tmpl w:val="1356211C"/>
    <w:lvl w:ilvl="0">
      <w:start w:val="1"/>
      <w:numFmt w:val="bullet"/>
      <w:pStyle w:val="List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Verdana" w:hAnsi="Verdana" w:hint="default"/>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Verdana" w:hAnsi="Verdana"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Verdana" w:hAnsi="Verdana"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Verdana" w:hAnsi="Verdana" w:hint="default"/>
      </w:rPr>
    </w:lvl>
    <w:lvl w:ilvl="8">
      <w:start w:val="1"/>
      <w:numFmt w:val="bullet"/>
      <w:lvlText w:val=""/>
      <w:lvlJc w:val="left"/>
      <w:pPr>
        <w:ind w:left="3060" w:hanging="340"/>
      </w:pPr>
      <w:rPr>
        <w:rFonts w:ascii="Symbol" w:hAnsi="Symbol" w:hint="default"/>
      </w:rPr>
    </w:lvl>
  </w:abstractNum>
  <w:abstractNum w:abstractNumId="28" w15:restartNumberingAfterBreak="0">
    <w:nsid w:val="48DD044C"/>
    <w:multiLevelType w:val="hybridMultilevel"/>
    <w:tmpl w:val="269C9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CB268F"/>
    <w:multiLevelType w:val="hybridMultilevel"/>
    <w:tmpl w:val="E68C1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41489E"/>
    <w:multiLevelType w:val="hybridMultilevel"/>
    <w:tmpl w:val="21AC3C14"/>
    <w:lvl w:ilvl="0" w:tplc="4536ADE0">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2C3D06"/>
    <w:multiLevelType w:val="multilevel"/>
    <w:tmpl w:val="B4EC469C"/>
    <w:lvl w:ilvl="0">
      <w:start w:val="1"/>
      <w:numFmt w:val="decimal"/>
      <w:pStyle w:val="Heading1"/>
      <w:lvlText w:val="%1"/>
      <w:lvlJc w:val="left"/>
      <w:pPr>
        <w:ind w:left="432" w:hanging="432"/>
      </w:pPr>
    </w:lvl>
    <w:lvl w:ilvl="1">
      <w:start w:val="1"/>
      <w:numFmt w:val="decimal"/>
      <w:pStyle w:val="Heading2"/>
      <w:lvlText w:val="%1.%2"/>
      <w:lvlJc w:val="left"/>
      <w:pPr>
        <w:ind w:left="100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5BFB6EA3"/>
    <w:multiLevelType w:val="multilevel"/>
    <w:tmpl w:val="7CFA0462"/>
    <w:lvl w:ilvl="0">
      <w:start w:val="1"/>
      <w:numFmt w:val="bullet"/>
      <w:lvlText w:val=""/>
      <w:lvlJc w:val="left"/>
      <w:pPr>
        <w:ind w:left="794" w:hanging="794"/>
      </w:pPr>
      <w:rPr>
        <w:rFonts w:ascii="Symbol" w:hAnsi="Symbol" w:hint="default"/>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247" w:hanging="1247"/>
      </w:pPr>
      <w:rPr>
        <w:rFonts w:hint="default"/>
      </w:rPr>
    </w:lvl>
    <w:lvl w:ilvl="6">
      <w:start w:val="1"/>
      <w:numFmt w:val="decimal"/>
      <w:lvlRestart w:val="1"/>
      <w:suff w:val="nothing"/>
      <w:lvlText w:val="Table %1.%7"/>
      <w:lvlJc w:val="left"/>
      <w:pPr>
        <w:ind w:left="0" w:firstLine="0"/>
      </w:pPr>
      <w:rPr>
        <w:rFonts w:hint="default"/>
        <w:sz w:val="14"/>
        <w:szCs w:val="14"/>
      </w:rPr>
    </w:lvl>
    <w:lvl w:ilvl="7">
      <w:start w:val="1"/>
      <w:numFmt w:val="decimal"/>
      <w:lvlRestart w:val="1"/>
      <w:suff w:val="nothing"/>
      <w:lvlText w:val="Chart %1.%8"/>
      <w:lvlJc w:val="left"/>
      <w:pPr>
        <w:ind w:left="0" w:firstLine="0"/>
      </w:pPr>
      <w:rPr>
        <w:rFonts w:hint="default"/>
      </w:rPr>
    </w:lvl>
    <w:lvl w:ilvl="8">
      <w:start w:val="1"/>
      <w:numFmt w:val="decimal"/>
      <w:lvlRestart w:val="1"/>
      <w:suff w:val="nothing"/>
      <w:lvlText w:val="Figure %1.%9"/>
      <w:lvlJc w:val="left"/>
      <w:pPr>
        <w:ind w:left="0" w:firstLine="0"/>
      </w:pPr>
      <w:rPr>
        <w:rFonts w:hint="default"/>
      </w:rPr>
    </w:lvl>
  </w:abstractNum>
  <w:abstractNum w:abstractNumId="33"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4"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35" w15:restartNumberingAfterBreak="0">
    <w:nsid w:val="62AB1683"/>
    <w:multiLevelType w:val="hybridMultilevel"/>
    <w:tmpl w:val="80522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A327CA"/>
    <w:multiLevelType w:val="hybridMultilevel"/>
    <w:tmpl w:val="647A3C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C247D8"/>
    <w:multiLevelType w:val="hybridMultilevel"/>
    <w:tmpl w:val="D7C2A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7A2CF0"/>
    <w:multiLevelType w:val="hybridMultilevel"/>
    <w:tmpl w:val="841458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477154"/>
    <w:multiLevelType w:val="hybridMultilevel"/>
    <w:tmpl w:val="01208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8D0D88"/>
    <w:multiLevelType w:val="multilevel"/>
    <w:tmpl w:val="8DFC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EF1E09"/>
    <w:multiLevelType w:val="multilevel"/>
    <w:tmpl w:val="99B0990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42"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43" w15:restartNumberingAfterBreak="0">
    <w:nsid w:val="751B5F06"/>
    <w:multiLevelType w:val="multilevel"/>
    <w:tmpl w:val="478C4D7E"/>
    <w:lvl w:ilvl="0">
      <w:start w:val="1"/>
      <w:numFmt w:val="bullet"/>
      <w:lvlText w:val=""/>
      <w:lvlJc w:val="left"/>
      <w:pPr>
        <w:ind w:left="794" w:hanging="794"/>
      </w:pPr>
      <w:rPr>
        <w:rFonts w:ascii="Symbol" w:hAnsi="Symbol" w:hint="default"/>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247" w:hanging="1247"/>
      </w:pPr>
      <w:rPr>
        <w:rFonts w:hint="default"/>
      </w:rPr>
    </w:lvl>
    <w:lvl w:ilvl="6">
      <w:start w:val="1"/>
      <w:numFmt w:val="decimal"/>
      <w:lvlRestart w:val="1"/>
      <w:suff w:val="nothing"/>
      <w:lvlText w:val="Table %1.%7"/>
      <w:lvlJc w:val="left"/>
      <w:pPr>
        <w:ind w:left="0" w:firstLine="0"/>
      </w:pPr>
      <w:rPr>
        <w:rFonts w:hint="default"/>
        <w:sz w:val="14"/>
        <w:szCs w:val="14"/>
      </w:rPr>
    </w:lvl>
    <w:lvl w:ilvl="7">
      <w:start w:val="1"/>
      <w:numFmt w:val="decimal"/>
      <w:lvlRestart w:val="1"/>
      <w:suff w:val="nothing"/>
      <w:lvlText w:val="Chart %1.%8"/>
      <w:lvlJc w:val="left"/>
      <w:pPr>
        <w:ind w:left="0" w:firstLine="0"/>
      </w:pPr>
      <w:rPr>
        <w:rFonts w:hint="default"/>
      </w:rPr>
    </w:lvl>
    <w:lvl w:ilvl="8">
      <w:start w:val="1"/>
      <w:numFmt w:val="decimal"/>
      <w:lvlRestart w:val="1"/>
      <w:suff w:val="nothing"/>
      <w:lvlText w:val="Figure %1.%9"/>
      <w:lvlJc w:val="left"/>
      <w:pPr>
        <w:ind w:left="0" w:firstLine="0"/>
      </w:pPr>
      <w:rPr>
        <w:rFonts w:hint="default"/>
      </w:rPr>
    </w:lvl>
  </w:abstractNum>
  <w:abstractNum w:abstractNumId="44" w15:restartNumberingAfterBreak="0">
    <w:nsid w:val="75EB1A3D"/>
    <w:multiLevelType w:val="multilevel"/>
    <w:tmpl w:val="A3BE2562"/>
    <w:lvl w:ilvl="0">
      <w:start w:val="1"/>
      <w:numFmt w:val="bullet"/>
      <w:lvlText w:val=""/>
      <w:lvlJc w:val="left"/>
      <w:pPr>
        <w:ind w:left="794" w:hanging="794"/>
      </w:pPr>
      <w:rPr>
        <w:rFonts w:ascii="Symbol" w:hAnsi="Symbol" w:hint="default"/>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247" w:hanging="1247"/>
      </w:pPr>
      <w:rPr>
        <w:rFonts w:hint="default"/>
      </w:rPr>
    </w:lvl>
    <w:lvl w:ilvl="6">
      <w:start w:val="1"/>
      <w:numFmt w:val="decimal"/>
      <w:lvlRestart w:val="1"/>
      <w:suff w:val="nothing"/>
      <w:lvlText w:val="Table %1.%7"/>
      <w:lvlJc w:val="left"/>
      <w:pPr>
        <w:ind w:left="0" w:firstLine="0"/>
      </w:pPr>
      <w:rPr>
        <w:rFonts w:hint="default"/>
        <w:sz w:val="14"/>
        <w:szCs w:val="14"/>
      </w:rPr>
    </w:lvl>
    <w:lvl w:ilvl="7">
      <w:start w:val="1"/>
      <w:numFmt w:val="decimal"/>
      <w:lvlRestart w:val="1"/>
      <w:suff w:val="nothing"/>
      <w:lvlText w:val="Chart %1.%8"/>
      <w:lvlJc w:val="left"/>
      <w:pPr>
        <w:ind w:left="0" w:firstLine="0"/>
      </w:pPr>
      <w:rPr>
        <w:rFonts w:hint="default"/>
      </w:rPr>
    </w:lvl>
    <w:lvl w:ilvl="8">
      <w:start w:val="1"/>
      <w:numFmt w:val="decimal"/>
      <w:lvlRestart w:val="1"/>
      <w:suff w:val="nothing"/>
      <w:lvlText w:val="Figure %1.%9"/>
      <w:lvlJc w:val="left"/>
      <w:pPr>
        <w:ind w:left="0" w:firstLine="0"/>
      </w:pPr>
      <w:rPr>
        <w:rFonts w:hint="default"/>
      </w:rPr>
    </w:lvl>
  </w:abstractNum>
  <w:abstractNum w:abstractNumId="45" w15:restartNumberingAfterBreak="0">
    <w:nsid w:val="781C1B10"/>
    <w:multiLevelType w:val="multilevel"/>
    <w:tmpl w:val="BB2E8E52"/>
    <w:lvl w:ilvl="0">
      <w:start w:val="1"/>
      <w:numFmt w:val="bullet"/>
      <w:lvlText w:val=""/>
      <w:lvlJc w:val="left"/>
      <w:pPr>
        <w:ind w:left="794" w:hanging="794"/>
      </w:pPr>
      <w:rPr>
        <w:rFonts w:ascii="Symbol" w:hAnsi="Symbol" w:hint="default"/>
      </w:rPr>
    </w:lvl>
    <w:lvl w:ilvl="1">
      <w:start w:val="1"/>
      <w:numFmt w:val="decimal"/>
      <w:lvlText w:val="%1.%2"/>
      <w:lvlJc w:val="left"/>
      <w:pPr>
        <w:ind w:left="794" w:hanging="794"/>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077" w:hanging="1077"/>
      </w:pPr>
      <w:rPr>
        <w:rFonts w:hint="default"/>
      </w:rPr>
    </w:lvl>
    <w:lvl w:ilvl="5">
      <w:start w:val="1"/>
      <w:numFmt w:val="decimal"/>
      <w:lvlText w:val="%1.%2.%3.%4.%5.%6"/>
      <w:lvlJc w:val="left"/>
      <w:pPr>
        <w:ind w:left="1247" w:hanging="1247"/>
      </w:pPr>
      <w:rPr>
        <w:rFonts w:hint="default"/>
      </w:rPr>
    </w:lvl>
    <w:lvl w:ilvl="6">
      <w:start w:val="1"/>
      <w:numFmt w:val="decimal"/>
      <w:lvlRestart w:val="1"/>
      <w:suff w:val="nothing"/>
      <w:lvlText w:val="Table %1.%7"/>
      <w:lvlJc w:val="left"/>
      <w:pPr>
        <w:ind w:left="0" w:firstLine="0"/>
      </w:pPr>
      <w:rPr>
        <w:rFonts w:hint="default"/>
        <w:sz w:val="14"/>
        <w:szCs w:val="14"/>
      </w:rPr>
    </w:lvl>
    <w:lvl w:ilvl="7">
      <w:start w:val="1"/>
      <w:numFmt w:val="decimal"/>
      <w:lvlRestart w:val="1"/>
      <w:suff w:val="nothing"/>
      <w:lvlText w:val="Chart %1.%8"/>
      <w:lvlJc w:val="left"/>
      <w:pPr>
        <w:ind w:left="0" w:firstLine="0"/>
      </w:pPr>
      <w:rPr>
        <w:rFonts w:hint="default"/>
      </w:rPr>
    </w:lvl>
    <w:lvl w:ilvl="8">
      <w:start w:val="1"/>
      <w:numFmt w:val="decimal"/>
      <w:lvlRestart w:val="1"/>
      <w:suff w:val="nothing"/>
      <w:lvlText w:val="Figure %1.%9"/>
      <w:lvlJc w:val="left"/>
      <w:pPr>
        <w:ind w:left="0" w:firstLine="0"/>
      </w:pPr>
      <w:rPr>
        <w:rFonts w:hint="default"/>
      </w:rPr>
    </w:lvl>
  </w:abstractNum>
  <w:abstractNum w:abstractNumId="46" w15:restartNumberingAfterBreak="0">
    <w:nsid w:val="7BE41D8F"/>
    <w:multiLevelType w:val="hybridMultilevel"/>
    <w:tmpl w:val="54EC3D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F5D543C"/>
    <w:multiLevelType w:val="hybridMultilevel"/>
    <w:tmpl w:val="5B5E8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3"/>
  </w:num>
  <w:num w:numId="2">
    <w:abstractNumId w:val="34"/>
  </w:num>
  <w:num w:numId="3">
    <w:abstractNumId w:val="34"/>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4">
    <w:abstractNumId w:val="20"/>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5">
    <w:abstractNumId w:val="4"/>
  </w:num>
  <w:num w:numId="6">
    <w:abstractNumId w:val="42"/>
  </w:num>
  <w:num w:numId="7">
    <w:abstractNumId w:val="41"/>
  </w:num>
  <w:num w:numId="8">
    <w:abstractNumId w:val="19"/>
  </w:num>
  <w:num w:numId="9">
    <w:abstractNumId w:val="26"/>
  </w:num>
  <w:num w:numId="10">
    <w:abstractNumId w:val="38"/>
  </w:num>
  <w:num w:numId="11">
    <w:abstractNumId w:val="35"/>
  </w:num>
  <w:num w:numId="12">
    <w:abstractNumId w:val="27"/>
  </w:num>
  <w:num w:numId="13">
    <w:abstractNumId w:val="24"/>
  </w:num>
  <w:num w:numId="14">
    <w:abstractNumId w:val="0"/>
  </w:num>
  <w:num w:numId="15">
    <w:abstractNumId w:val="18"/>
  </w:num>
  <w:num w:numId="16">
    <w:abstractNumId w:val="13"/>
  </w:num>
  <w:num w:numId="17">
    <w:abstractNumId w:val="40"/>
  </w:num>
  <w:num w:numId="18">
    <w:abstractNumId w:val="7"/>
  </w:num>
  <w:num w:numId="19">
    <w:abstractNumId w:val="23"/>
  </w:num>
  <w:num w:numId="20">
    <w:abstractNumId w:val="12"/>
  </w:num>
  <w:num w:numId="21">
    <w:abstractNumId w:val="28"/>
  </w:num>
  <w:num w:numId="22">
    <w:abstractNumId w:val="5"/>
  </w:num>
  <w:num w:numId="23">
    <w:abstractNumId w:val="8"/>
  </w:num>
  <w:num w:numId="24">
    <w:abstractNumId w:val="29"/>
  </w:num>
  <w:num w:numId="25">
    <w:abstractNumId w:val="39"/>
  </w:num>
  <w:num w:numId="26">
    <w:abstractNumId w:val="16"/>
  </w:num>
  <w:num w:numId="27">
    <w:abstractNumId w:val="11"/>
  </w:num>
  <w:num w:numId="28">
    <w:abstractNumId w:val="9"/>
  </w:num>
  <w:num w:numId="29">
    <w:abstractNumId w:val="3"/>
  </w:num>
  <w:num w:numId="30">
    <w:abstractNumId w:val="22"/>
  </w:num>
  <w:num w:numId="31">
    <w:abstractNumId w:val="47"/>
  </w:num>
  <w:num w:numId="32">
    <w:abstractNumId w:val="30"/>
  </w:num>
  <w:num w:numId="33">
    <w:abstractNumId w:val="36"/>
  </w:num>
  <w:num w:numId="34">
    <w:abstractNumId w:val="32"/>
  </w:num>
  <w:num w:numId="35">
    <w:abstractNumId w:val="43"/>
  </w:num>
  <w:num w:numId="36">
    <w:abstractNumId w:val="25"/>
  </w:num>
  <w:num w:numId="37">
    <w:abstractNumId w:val="37"/>
  </w:num>
  <w:num w:numId="38">
    <w:abstractNumId w:val="45"/>
  </w:num>
  <w:num w:numId="39">
    <w:abstractNumId w:val="31"/>
  </w:num>
  <w:num w:numId="40">
    <w:abstractNumId w:val="17"/>
  </w:num>
  <w:num w:numId="41">
    <w:abstractNumId w:val="10"/>
  </w:num>
  <w:num w:numId="42">
    <w:abstractNumId w:val="21"/>
  </w:num>
  <w:num w:numId="43">
    <w:abstractNumId w:val="2"/>
  </w:num>
  <w:num w:numId="44">
    <w:abstractNumId w:val="14"/>
  </w:num>
  <w:num w:numId="45">
    <w:abstractNumId w:val="15"/>
  </w:num>
  <w:num w:numId="46">
    <w:abstractNumId w:val="46"/>
  </w:num>
  <w:num w:numId="47">
    <w:abstractNumId w:val="44"/>
  </w:num>
  <w:num w:numId="48">
    <w:abstractNumId w:val="6"/>
  </w:num>
  <w:num w:numId="49">
    <w:abstractNumId w:val="1"/>
  </w:num>
  <w:num w:numId="50">
    <w:abstractNumId w:val="31"/>
  </w:num>
  <w:num w:numId="51">
    <w:abstractNumId w:val="31"/>
  </w:num>
  <w:num w:numId="52">
    <w:abstractNumId w:val="31"/>
  </w:num>
  <w:num w:numId="53">
    <w:abstractNumId w:val="31"/>
  </w:num>
  <w:num w:numId="54">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85"/>
    <w:rsid w:val="00000FA5"/>
    <w:rsid w:val="00001272"/>
    <w:rsid w:val="00001A35"/>
    <w:rsid w:val="00001D13"/>
    <w:rsid w:val="00001EB0"/>
    <w:rsid w:val="000021FD"/>
    <w:rsid w:val="000027B5"/>
    <w:rsid w:val="000028ED"/>
    <w:rsid w:val="00002C1D"/>
    <w:rsid w:val="00002DFE"/>
    <w:rsid w:val="00002F73"/>
    <w:rsid w:val="00003814"/>
    <w:rsid w:val="00003C80"/>
    <w:rsid w:val="00003CE5"/>
    <w:rsid w:val="00003F07"/>
    <w:rsid w:val="00004101"/>
    <w:rsid w:val="0000455E"/>
    <w:rsid w:val="00004C60"/>
    <w:rsid w:val="000059CC"/>
    <w:rsid w:val="00005B69"/>
    <w:rsid w:val="0000622E"/>
    <w:rsid w:val="000068E3"/>
    <w:rsid w:val="00006D58"/>
    <w:rsid w:val="00006F45"/>
    <w:rsid w:val="0000732E"/>
    <w:rsid w:val="000075F0"/>
    <w:rsid w:val="00007784"/>
    <w:rsid w:val="0001049C"/>
    <w:rsid w:val="000111E3"/>
    <w:rsid w:val="00011AA3"/>
    <w:rsid w:val="000120C2"/>
    <w:rsid w:val="000124CE"/>
    <w:rsid w:val="00013137"/>
    <w:rsid w:val="00013227"/>
    <w:rsid w:val="00013382"/>
    <w:rsid w:val="00013D13"/>
    <w:rsid w:val="00013F04"/>
    <w:rsid w:val="0001413F"/>
    <w:rsid w:val="000142C2"/>
    <w:rsid w:val="00014323"/>
    <w:rsid w:val="000144D1"/>
    <w:rsid w:val="000149CA"/>
    <w:rsid w:val="00014D09"/>
    <w:rsid w:val="00014E7C"/>
    <w:rsid w:val="000155FA"/>
    <w:rsid w:val="000159E1"/>
    <w:rsid w:val="00015C8E"/>
    <w:rsid w:val="00015FF3"/>
    <w:rsid w:val="000165C1"/>
    <w:rsid w:val="00016FFE"/>
    <w:rsid w:val="0001712C"/>
    <w:rsid w:val="000171D2"/>
    <w:rsid w:val="00017E62"/>
    <w:rsid w:val="000203A0"/>
    <w:rsid w:val="0002068D"/>
    <w:rsid w:val="000209F5"/>
    <w:rsid w:val="00020A65"/>
    <w:rsid w:val="0002105D"/>
    <w:rsid w:val="00021653"/>
    <w:rsid w:val="00021DBF"/>
    <w:rsid w:val="00021E63"/>
    <w:rsid w:val="000223A5"/>
    <w:rsid w:val="00022991"/>
    <w:rsid w:val="00022ECE"/>
    <w:rsid w:val="00023044"/>
    <w:rsid w:val="00023214"/>
    <w:rsid w:val="00023324"/>
    <w:rsid w:val="00023AC4"/>
    <w:rsid w:val="00024524"/>
    <w:rsid w:val="00024689"/>
    <w:rsid w:val="00025CE8"/>
    <w:rsid w:val="00025EF6"/>
    <w:rsid w:val="000261FE"/>
    <w:rsid w:val="000267BB"/>
    <w:rsid w:val="000271FF"/>
    <w:rsid w:val="00027288"/>
    <w:rsid w:val="000273CF"/>
    <w:rsid w:val="00027BF5"/>
    <w:rsid w:val="00030038"/>
    <w:rsid w:val="000304B2"/>
    <w:rsid w:val="000309BD"/>
    <w:rsid w:val="00030D85"/>
    <w:rsid w:val="00030FDC"/>
    <w:rsid w:val="0003114A"/>
    <w:rsid w:val="00031B5C"/>
    <w:rsid w:val="00031BE1"/>
    <w:rsid w:val="00031F19"/>
    <w:rsid w:val="000333F1"/>
    <w:rsid w:val="00033CB8"/>
    <w:rsid w:val="00033CF8"/>
    <w:rsid w:val="00033E54"/>
    <w:rsid w:val="000341A4"/>
    <w:rsid w:val="00034294"/>
    <w:rsid w:val="00034FEC"/>
    <w:rsid w:val="00035217"/>
    <w:rsid w:val="00035394"/>
    <w:rsid w:val="0003580C"/>
    <w:rsid w:val="00035D28"/>
    <w:rsid w:val="00037BD0"/>
    <w:rsid w:val="00037CCF"/>
    <w:rsid w:val="000405EB"/>
    <w:rsid w:val="000406C9"/>
    <w:rsid w:val="000409F5"/>
    <w:rsid w:val="00040C06"/>
    <w:rsid w:val="00041136"/>
    <w:rsid w:val="00041732"/>
    <w:rsid w:val="00041862"/>
    <w:rsid w:val="00041A68"/>
    <w:rsid w:val="00041D73"/>
    <w:rsid w:val="00042180"/>
    <w:rsid w:val="00042DA7"/>
    <w:rsid w:val="00042DDD"/>
    <w:rsid w:val="00042E89"/>
    <w:rsid w:val="00043140"/>
    <w:rsid w:val="000433B7"/>
    <w:rsid w:val="00043AF2"/>
    <w:rsid w:val="00043D9E"/>
    <w:rsid w:val="00043FA3"/>
    <w:rsid w:val="0004407E"/>
    <w:rsid w:val="000440B9"/>
    <w:rsid w:val="00044BF9"/>
    <w:rsid w:val="00045390"/>
    <w:rsid w:val="000453CD"/>
    <w:rsid w:val="0004543A"/>
    <w:rsid w:val="000455B5"/>
    <w:rsid w:val="00045F2E"/>
    <w:rsid w:val="000463D0"/>
    <w:rsid w:val="00046757"/>
    <w:rsid w:val="0004711A"/>
    <w:rsid w:val="000479D4"/>
    <w:rsid w:val="0005025B"/>
    <w:rsid w:val="00050270"/>
    <w:rsid w:val="000502D8"/>
    <w:rsid w:val="000503A6"/>
    <w:rsid w:val="00051125"/>
    <w:rsid w:val="000511AF"/>
    <w:rsid w:val="00051717"/>
    <w:rsid w:val="000517F8"/>
    <w:rsid w:val="00051FD1"/>
    <w:rsid w:val="00052782"/>
    <w:rsid w:val="000527E4"/>
    <w:rsid w:val="00052B6C"/>
    <w:rsid w:val="00052BA7"/>
    <w:rsid w:val="00052E25"/>
    <w:rsid w:val="00052F5E"/>
    <w:rsid w:val="00053204"/>
    <w:rsid w:val="0005370A"/>
    <w:rsid w:val="00053CD9"/>
    <w:rsid w:val="00053D64"/>
    <w:rsid w:val="00053E45"/>
    <w:rsid w:val="00054126"/>
    <w:rsid w:val="00054214"/>
    <w:rsid w:val="0005442C"/>
    <w:rsid w:val="000546BA"/>
    <w:rsid w:val="00054BD9"/>
    <w:rsid w:val="00054C65"/>
    <w:rsid w:val="00054E1D"/>
    <w:rsid w:val="00054F9B"/>
    <w:rsid w:val="00055795"/>
    <w:rsid w:val="000558DD"/>
    <w:rsid w:val="00056299"/>
    <w:rsid w:val="00056693"/>
    <w:rsid w:val="0005724E"/>
    <w:rsid w:val="000576B6"/>
    <w:rsid w:val="00057832"/>
    <w:rsid w:val="00060609"/>
    <w:rsid w:val="00060948"/>
    <w:rsid w:val="00060C31"/>
    <w:rsid w:val="000610A9"/>
    <w:rsid w:val="00061177"/>
    <w:rsid w:val="00061209"/>
    <w:rsid w:val="000612EF"/>
    <w:rsid w:val="0006169D"/>
    <w:rsid w:val="000618C1"/>
    <w:rsid w:val="000619C7"/>
    <w:rsid w:val="00061C78"/>
    <w:rsid w:val="000624AF"/>
    <w:rsid w:val="000624FC"/>
    <w:rsid w:val="00062739"/>
    <w:rsid w:val="00062BA3"/>
    <w:rsid w:val="00062F3A"/>
    <w:rsid w:val="00063034"/>
    <w:rsid w:val="0006303A"/>
    <w:rsid w:val="0006362D"/>
    <w:rsid w:val="00065773"/>
    <w:rsid w:val="00065CBB"/>
    <w:rsid w:val="00065E2E"/>
    <w:rsid w:val="0006705C"/>
    <w:rsid w:val="0006721C"/>
    <w:rsid w:val="0006739C"/>
    <w:rsid w:val="000676A8"/>
    <w:rsid w:val="0006782F"/>
    <w:rsid w:val="00067B4C"/>
    <w:rsid w:val="00067D57"/>
    <w:rsid w:val="0007022D"/>
    <w:rsid w:val="0007054F"/>
    <w:rsid w:val="000705F6"/>
    <w:rsid w:val="00070621"/>
    <w:rsid w:val="00070630"/>
    <w:rsid w:val="00071536"/>
    <w:rsid w:val="0007197A"/>
    <w:rsid w:val="00072651"/>
    <w:rsid w:val="000729DE"/>
    <w:rsid w:val="00072C5B"/>
    <w:rsid w:val="00073179"/>
    <w:rsid w:val="000733E3"/>
    <w:rsid w:val="00073D52"/>
    <w:rsid w:val="00074406"/>
    <w:rsid w:val="000748E7"/>
    <w:rsid w:val="00074951"/>
    <w:rsid w:val="00074A14"/>
    <w:rsid w:val="00074CD3"/>
    <w:rsid w:val="00074E7D"/>
    <w:rsid w:val="0007506B"/>
    <w:rsid w:val="00075455"/>
    <w:rsid w:val="0007578D"/>
    <w:rsid w:val="00075EFA"/>
    <w:rsid w:val="00075F86"/>
    <w:rsid w:val="000761E4"/>
    <w:rsid w:val="00076AD1"/>
    <w:rsid w:val="00076BF1"/>
    <w:rsid w:val="00076CA2"/>
    <w:rsid w:val="00077FF5"/>
    <w:rsid w:val="000803CA"/>
    <w:rsid w:val="00080718"/>
    <w:rsid w:val="00080958"/>
    <w:rsid w:val="00080A0C"/>
    <w:rsid w:val="00081810"/>
    <w:rsid w:val="000823EF"/>
    <w:rsid w:val="00082A28"/>
    <w:rsid w:val="00082A64"/>
    <w:rsid w:val="00082FB1"/>
    <w:rsid w:val="00083833"/>
    <w:rsid w:val="00083D2B"/>
    <w:rsid w:val="00083E3F"/>
    <w:rsid w:val="00084367"/>
    <w:rsid w:val="0008482C"/>
    <w:rsid w:val="00084B36"/>
    <w:rsid w:val="00085A4B"/>
    <w:rsid w:val="0008615E"/>
    <w:rsid w:val="000863C6"/>
    <w:rsid w:val="000868F8"/>
    <w:rsid w:val="0008697A"/>
    <w:rsid w:val="00086F49"/>
    <w:rsid w:val="0008774E"/>
    <w:rsid w:val="00090916"/>
    <w:rsid w:val="00090C68"/>
    <w:rsid w:val="00090CF7"/>
    <w:rsid w:val="00091438"/>
    <w:rsid w:val="000914A3"/>
    <w:rsid w:val="00091967"/>
    <w:rsid w:val="00091B0E"/>
    <w:rsid w:val="00091BCD"/>
    <w:rsid w:val="000921AF"/>
    <w:rsid w:val="00092588"/>
    <w:rsid w:val="0009265A"/>
    <w:rsid w:val="00093144"/>
    <w:rsid w:val="00093362"/>
    <w:rsid w:val="000938E5"/>
    <w:rsid w:val="0009461C"/>
    <w:rsid w:val="00094DD1"/>
    <w:rsid w:val="00095AF5"/>
    <w:rsid w:val="00095BF3"/>
    <w:rsid w:val="00096494"/>
    <w:rsid w:val="00096702"/>
    <w:rsid w:val="00096F54"/>
    <w:rsid w:val="0009709D"/>
    <w:rsid w:val="00097A61"/>
    <w:rsid w:val="00097AAC"/>
    <w:rsid w:val="000A00B3"/>
    <w:rsid w:val="000A0746"/>
    <w:rsid w:val="000A08CA"/>
    <w:rsid w:val="000A08D2"/>
    <w:rsid w:val="000A0C9B"/>
    <w:rsid w:val="000A0D36"/>
    <w:rsid w:val="000A0E4C"/>
    <w:rsid w:val="000A0F3E"/>
    <w:rsid w:val="000A1182"/>
    <w:rsid w:val="000A15EB"/>
    <w:rsid w:val="000A17CE"/>
    <w:rsid w:val="000A2352"/>
    <w:rsid w:val="000A2403"/>
    <w:rsid w:val="000A2B6D"/>
    <w:rsid w:val="000A2F52"/>
    <w:rsid w:val="000A335D"/>
    <w:rsid w:val="000A3E46"/>
    <w:rsid w:val="000A3EB0"/>
    <w:rsid w:val="000A4370"/>
    <w:rsid w:val="000A44D0"/>
    <w:rsid w:val="000A4644"/>
    <w:rsid w:val="000A489F"/>
    <w:rsid w:val="000A4A00"/>
    <w:rsid w:val="000A55A7"/>
    <w:rsid w:val="000A560D"/>
    <w:rsid w:val="000A594A"/>
    <w:rsid w:val="000A5976"/>
    <w:rsid w:val="000A5E0D"/>
    <w:rsid w:val="000A6026"/>
    <w:rsid w:val="000A62F2"/>
    <w:rsid w:val="000A630D"/>
    <w:rsid w:val="000A653D"/>
    <w:rsid w:val="000A7D8C"/>
    <w:rsid w:val="000A7F1B"/>
    <w:rsid w:val="000B006C"/>
    <w:rsid w:val="000B0941"/>
    <w:rsid w:val="000B0F59"/>
    <w:rsid w:val="000B0FD4"/>
    <w:rsid w:val="000B119B"/>
    <w:rsid w:val="000B1CE0"/>
    <w:rsid w:val="000B1D1F"/>
    <w:rsid w:val="000B1D2C"/>
    <w:rsid w:val="000B1F0E"/>
    <w:rsid w:val="000B1FAA"/>
    <w:rsid w:val="000B22D7"/>
    <w:rsid w:val="000B2419"/>
    <w:rsid w:val="000B2568"/>
    <w:rsid w:val="000B2743"/>
    <w:rsid w:val="000B2796"/>
    <w:rsid w:val="000B2C2C"/>
    <w:rsid w:val="000B2D50"/>
    <w:rsid w:val="000B38E1"/>
    <w:rsid w:val="000B42A7"/>
    <w:rsid w:val="000B4785"/>
    <w:rsid w:val="000B47B3"/>
    <w:rsid w:val="000B48D7"/>
    <w:rsid w:val="000B4906"/>
    <w:rsid w:val="000B4979"/>
    <w:rsid w:val="000B4B57"/>
    <w:rsid w:val="000B528D"/>
    <w:rsid w:val="000B607C"/>
    <w:rsid w:val="000B6211"/>
    <w:rsid w:val="000B66D8"/>
    <w:rsid w:val="000B6D66"/>
    <w:rsid w:val="000B6F75"/>
    <w:rsid w:val="000B73F9"/>
    <w:rsid w:val="000B768B"/>
    <w:rsid w:val="000B7977"/>
    <w:rsid w:val="000B7FC1"/>
    <w:rsid w:val="000C014F"/>
    <w:rsid w:val="000C0936"/>
    <w:rsid w:val="000C0AC4"/>
    <w:rsid w:val="000C0C62"/>
    <w:rsid w:val="000C0E05"/>
    <w:rsid w:val="000C12CB"/>
    <w:rsid w:val="000C1934"/>
    <w:rsid w:val="000C20A5"/>
    <w:rsid w:val="000C231E"/>
    <w:rsid w:val="000C2975"/>
    <w:rsid w:val="000C3B34"/>
    <w:rsid w:val="000C4ADD"/>
    <w:rsid w:val="000C5F1B"/>
    <w:rsid w:val="000C62DF"/>
    <w:rsid w:val="000C640A"/>
    <w:rsid w:val="000C6ED2"/>
    <w:rsid w:val="000C72BB"/>
    <w:rsid w:val="000C753A"/>
    <w:rsid w:val="000C75AF"/>
    <w:rsid w:val="000C77F3"/>
    <w:rsid w:val="000D0AC5"/>
    <w:rsid w:val="000D0B8C"/>
    <w:rsid w:val="000D1201"/>
    <w:rsid w:val="000D126D"/>
    <w:rsid w:val="000D1768"/>
    <w:rsid w:val="000D181A"/>
    <w:rsid w:val="000D1DC2"/>
    <w:rsid w:val="000D1F3F"/>
    <w:rsid w:val="000D1F99"/>
    <w:rsid w:val="000D28DF"/>
    <w:rsid w:val="000D300C"/>
    <w:rsid w:val="000D3305"/>
    <w:rsid w:val="000D3434"/>
    <w:rsid w:val="000D37DB"/>
    <w:rsid w:val="000D38A6"/>
    <w:rsid w:val="000D412A"/>
    <w:rsid w:val="000D4398"/>
    <w:rsid w:val="000D43CE"/>
    <w:rsid w:val="000D4843"/>
    <w:rsid w:val="000D500D"/>
    <w:rsid w:val="000D5484"/>
    <w:rsid w:val="000D57B7"/>
    <w:rsid w:val="000D5E20"/>
    <w:rsid w:val="000D5EA5"/>
    <w:rsid w:val="000D5F47"/>
    <w:rsid w:val="000D5FF1"/>
    <w:rsid w:val="000D60DB"/>
    <w:rsid w:val="000D6706"/>
    <w:rsid w:val="000D6F79"/>
    <w:rsid w:val="000D70ED"/>
    <w:rsid w:val="000D731A"/>
    <w:rsid w:val="000D7452"/>
    <w:rsid w:val="000D79E6"/>
    <w:rsid w:val="000E02A6"/>
    <w:rsid w:val="000E0643"/>
    <w:rsid w:val="000E068D"/>
    <w:rsid w:val="000E0893"/>
    <w:rsid w:val="000E1C7C"/>
    <w:rsid w:val="000E202E"/>
    <w:rsid w:val="000E240C"/>
    <w:rsid w:val="000E2803"/>
    <w:rsid w:val="000E28C0"/>
    <w:rsid w:val="000E309E"/>
    <w:rsid w:val="000E30B3"/>
    <w:rsid w:val="000E31DC"/>
    <w:rsid w:val="000E349C"/>
    <w:rsid w:val="000E39A8"/>
    <w:rsid w:val="000E3AB4"/>
    <w:rsid w:val="000E3E05"/>
    <w:rsid w:val="000E3FE8"/>
    <w:rsid w:val="000E3FF2"/>
    <w:rsid w:val="000E4063"/>
    <w:rsid w:val="000E4113"/>
    <w:rsid w:val="000E418E"/>
    <w:rsid w:val="000E452E"/>
    <w:rsid w:val="000E4DDD"/>
    <w:rsid w:val="000E4EFC"/>
    <w:rsid w:val="000E50AC"/>
    <w:rsid w:val="000E5244"/>
    <w:rsid w:val="000E53C2"/>
    <w:rsid w:val="000E53EA"/>
    <w:rsid w:val="000E5EEB"/>
    <w:rsid w:val="000E6635"/>
    <w:rsid w:val="000E699D"/>
    <w:rsid w:val="000E6A40"/>
    <w:rsid w:val="000E6EA4"/>
    <w:rsid w:val="000E750C"/>
    <w:rsid w:val="000E7769"/>
    <w:rsid w:val="000F019A"/>
    <w:rsid w:val="000F0729"/>
    <w:rsid w:val="000F0F72"/>
    <w:rsid w:val="000F1059"/>
    <w:rsid w:val="000F115B"/>
    <w:rsid w:val="000F136C"/>
    <w:rsid w:val="000F1677"/>
    <w:rsid w:val="000F1F6D"/>
    <w:rsid w:val="000F1FB0"/>
    <w:rsid w:val="000F23B0"/>
    <w:rsid w:val="000F270F"/>
    <w:rsid w:val="000F31F3"/>
    <w:rsid w:val="000F356B"/>
    <w:rsid w:val="000F374C"/>
    <w:rsid w:val="000F388B"/>
    <w:rsid w:val="000F4741"/>
    <w:rsid w:val="000F4DDC"/>
    <w:rsid w:val="000F4FD8"/>
    <w:rsid w:val="000F50FE"/>
    <w:rsid w:val="000F5357"/>
    <w:rsid w:val="000F5C1E"/>
    <w:rsid w:val="000F6104"/>
    <w:rsid w:val="000F61C7"/>
    <w:rsid w:val="000F64C9"/>
    <w:rsid w:val="000F711F"/>
    <w:rsid w:val="000F79AD"/>
    <w:rsid w:val="000F7F24"/>
    <w:rsid w:val="000F7F25"/>
    <w:rsid w:val="001007B9"/>
    <w:rsid w:val="00100E62"/>
    <w:rsid w:val="001012EB"/>
    <w:rsid w:val="001014A9"/>
    <w:rsid w:val="00101D7A"/>
    <w:rsid w:val="00101DB5"/>
    <w:rsid w:val="00101E69"/>
    <w:rsid w:val="0010211F"/>
    <w:rsid w:val="0010214B"/>
    <w:rsid w:val="001024D6"/>
    <w:rsid w:val="00102569"/>
    <w:rsid w:val="00102689"/>
    <w:rsid w:val="001029C2"/>
    <w:rsid w:val="001033CF"/>
    <w:rsid w:val="00103CB9"/>
    <w:rsid w:val="00104C96"/>
    <w:rsid w:val="00104FFB"/>
    <w:rsid w:val="001054D9"/>
    <w:rsid w:val="00105526"/>
    <w:rsid w:val="001055BC"/>
    <w:rsid w:val="001055DF"/>
    <w:rsid w:val="00105E6A"/>
    <w:rsid w:val="00105ECB"/>
    <w:rsid w:val="00105F41"/>
    <w:rsid w:val="0010613A"/>
    <w:rsid w:val="00106264"/>
    <w:rsid w:val="00106973"/>
    <w:rsid w:val="00106DA5"/>
    <w:rsid w:val="001072DE"/>
    <w:rsid w:val="001076D1"/>
    <w:rsid w:val="001076E2"/>
    <w:rsid w:val="0010786D"/>
    <w:rsid w:val="00107BF3"/>
    <w:rsid w:val="00107CFC"/>
    <w:rsid w:val="00107DBC"/>
    <w:rsid w:val="0011021D"/>
    <w:rsid w:val="001102D6"/>
    <w:rsid w:val="00110DD2"/>
    <w:rsid w:val="0011106D"/>
    <w:rsid w:val="001110D8"/>
    <w:rsid w:val="001114A4"/>
    <w:rsid w:val="001114BB"/>
    <w:rsid w:val="00111A5D"/>
    <w:rsid w:val="00111A9C"/>
    <w:rsid w:val="00111EAE"/>
    <w:rsid w:val="0011200A"/>
    <w:rsid w:val="001124A3"/>
    <w:rsid w:val="001128C7"/>
    <w:rsid w:val="00112B8A"/>
    <w:rsid w:val="00112CA0"/>
    <w:rsid w:val="00112E7A"/>
    <w:rsid w:val="001131D8"/>
    <w:rsid w:val="0011406E"/>
    <w:rsid w:val="001142B7"/>
    <w:rsid w:val="001165D9"/>
    <w:rsid w:val="001166A5"/>
    <w:rsid w:val="00116AFF"/>
    <w:rsid w:val="001179AB"/>
    <w:rsid w:val="00117AA0"/>
    <w:rsid w:val="0012015C"/>
    <w:rsid w:val="001205EE"/>
    <w:rsid w:val="0012177A"/>
    <w:rsid w:val="00121BF2"/>
    <w:rsid w:val="00121DE2"/>
    <w:rsid w:val="00121F7B"/>
    <w:rsid w:val="001229BE"/>
    <w:rsid w:val="00122F16"/>
    <w:rsid w:val="00122F99"/>
    <w:rsid w:val="00123741"/>
    <w:rsid w:val="00123861"/>
    <w:rsid w:val="00123E37"/>
    <w:rsid w:val="001246E5"/>
    <w:rsid w:val="00125521"/>
    <w:rsid w:val="001258C7"/>
    <w:rsid w:val="001259A3"/>
    <w:rsid w:val="00125FFC"/>
    <w:rsid w:val="0012632B"/>
    <w:rsid w:val="001268D1"/>
    <w:rsid w:val="00126B10"/>
    <w:rsid w:val="00127373"/>
    <w:rsid w:val="00127506"/>
    <w:rsid w:val="00127538"/>
    <w:rsid w:val="00127B40"/>
    <w:rsid w:val="00127F3B"/>
    <w:rsid w:val="00130156"/>
    <w:rsid w:val="0013016C"/>
    <w:rsid w:val="0013064E"/>
    <w:rsid w:val="00130F3F"/>
    <w:rsid w:val="00130FB1"/>
    <w:rsid w:val="00131315"/>
    <w:rsid w:val="001313F2"/>
    <w:rsid w:val="0013153E"/>
    <w:rsid w:val="00131658"/>
    <w:rsid w:val="00131854"/>
    <w:rsid w:val="0013196A"/>
    <w:rsid w:val="00131D2E"/>
    <w:rsid w:val="00132268"/>
    <w:rsid w:val="00132476"/>
    <w:rsid w:val="00132670"/>
    <w:rsid w:val="00132738"/>
    <w:rsid w:val="00132759"/>
    <w:rsid w:val="00132CA7"/>
    <w:rsid w:val="00132D32"/>
    <w:rsid w:val="00132DCF"/>
    <w:rsid w:val="00133515"/>
    <w:rsid w:val="00133744"/>
    <w:rsid w:val="00133770"/>
    <w:rsid w:val="00133977"/>
    <w:rsid w:val="00133B89"/>
    <w:rsid w:val="00133C66"/>
    <w:rsid w:val="00133FB8"/>
    <w:rsid w:val="0013473C"/>
    <w:rsid w:val="001349D3"/>
    <w:rsid w:val="00134ADD"/>
    <w:rsid w:val="00135503"/>
    <w:rsid w:val="0013579F"/>
    <w:rsid w:val="00135F35"/>
    <w:rsid w:val="00136C03"/>
    <w:rsid w:val="001370AB"/>
    <w:rsid w:val="001372C7"/>
    <w:rsid w:val="0014015E"/>
    <w:rsid w:val="00141849"/>
    <w:rsid w:val="00142514"/>
    <w:rsid w:val="0014290B"/>
    <w:rsid w:val="00142B35"/>
    <w:rsid w:val="00142D28"/>
    <w:rsid w:val="00142E4D"/>
    <w:rsid w:val="00143046"/>
    <w:rsid w:val="001432AE"/>
    <w:rsid w:val="0014346B"/>
    <w:rsid w:val="001435A2"/>
    <w:rsid w:val="001436AB"/>
    <w:rsid w:val="0014377B"/>
    <w:rsid w:val="00143A0A"/>
    <w:rsid w:val="00144C5F"/>
    <w:rsid w:val="00144C8B"/>
    <w:rsid w:val="00144DBA"/>
    <w:rsid w:val="00145349"/>
    <w:rsid w:val="0014547D"/>
    <w:rsid w:val="001459BD"/>
    <w:rsid w:val="00145C15"/>
    <w:rsid w:val="00145D9E"/>
    <w:rsid w:val="00146447"/>
    <w:rsid w:val="00147086"/>
    <w:rsid w:val="00147931"/>
    <w:rsid w:val="00147B3A"/>
    <w:rsid w:val="00150BA0"/>
    <w:rsid w:val="00151109"/>
    <w:rsid w:val="0015135C"/>
    <w:rsid w:val="001516E1"/>
    <w:rsid w:val="00152390"/>
    <w:rsid w:val="0015251F"/>
    <w:rsid w:val="0015330B"/>
    <w:rsid w:val="00153B4C"/>
    <w:rsid w:val="00153E1E"/>
    <w:rsid w:val="00153F9B"/>
    <w:rsid w:val="0015468F"/>
    <w:rsid w:val="0015537B"/>
    <w:rsid w:val="0015543A"/>
    <w:rsid w:val="00155802"/>
    <w:rsid w:val="00155EF5"/>
    <w:rsid w:val="00156EE7"/>
    <w:rsid w:val="00157026"/>
    <w:rsid w:val="001576A9"/>
    <w:rsid w:val="001577E6"/>
    <w:rsid w:val="0015795B"/>
    <w:rsid w:val="00160436"/>
    <w:rsid w:val="00160470"/>
    <w:rsid w:val="00160B4E"/>
    <w:rsid w:val="00160DD1"/>
    <w:rsid w:val="00160E97"/>
    <w:rsid w:val="00160EBF"/>
    <w:rsid w:val="001610EF"/>
    <w:rsid w:val="00161666"/>
    <w:rsid w:val="001616AB"/>
    <w:rsid w:val="001618EE"/>
    <w:rsid w:val="001621ED"/>
    <w:rsid w:val="001622CB"/>
    <w:rsid w:val="001623F7"/>
    <w:rsid w:val="00162BDA"/>
    <w:rsid w:val="001630C6"/>
    <w:rsid w:val="001631DE"/>
    <w:rsid w:val="00163464"/>
    <w:rsid w:val="0016411F"/>
    <w:rsid w:val="00164219"/>
    <w:rsid w:val="0016491C"/>
    <w:rsid w:val="00165680"/>
    <w:rsid w:val="00166357"/>
    <w:rsid w:val="0016652D"/>
    <w:rsid w:val="00166CC6"/>
    <w:rsid w:val="00166E32"/>
    <w:rsid w:val="00166F1C"/>
    <w:rsid w:val="0016729D"/>
    <w:rsid w:val="001672A6"/>
    <w:rsid w:val="001673B8"/>
    <w:rsid w:val="0016778E"/>
    <w:rsid w:val="00167C94"/>
    <w:rsid w:val="00167F5D"/>
    <w:rsid w:val="00170698"/>
    <w:rsid w:val="00170B5C"/>
    <w:rsid w:val="00170BBC"/>
    <w:rsid w:val="00170E20"/>
    <w:rsid w:val="001712CD"/>
    <w:rsid w:val="00171404"/>
    <w:rsid w:val="00171A16"/>
    <w:rsid w:val="001722E9"/>
    <w:rsid w:val="0017278A"/>
    <w:rsid w:val="001727AF"/>
    <w:rsid w:val="001727EF"/>
    <w:rsid w:val="00172FD9"/>
    <w:rsid w:val="00173139"/>
    <w:rsid w:val="001732A2"/>
    <w:rsid w:val="00173460"/>
    <w:rsid w:val="00173805"/>
    <w:rsid w:val="001738B7"/>
    <w:rsid w:val="0017395F"/>
    <w:rsid w:val="00173DE6"/>
    <w:rsid w:val="00173F05"/>
    <w:rsid w:val="0017402F"/>
    <w:rsid w:val="00174795"/>
    <w:rsid w:val="00174FDF"/>
    <w:rsid w:val="00175245"/>
    <w:rsid w:val="001753CE"/>
    <w:rsid w:val="00175827"/>
    <w:rsid w:val="00175DA1"/>
    <w:rsid w:val="001761D8"/>
    <w:rsid w:val="00176564"/>
    <w:rsid w:val="00176BB1"/>
    <w:rsid w:val="00176EA5"/>
    <w:rsid w:val="00176EE3"/>
    <w:rsid w:val="00177611"/>
    <w:rsid w:val="0017762B"/>
    <w:rsid w:val="001777DB"/>
    <w:rsid w:val="00177875"/>
    <w:rsid w:val="00177939"/>
    <w:rsid w:val="0017798C"/>
    <w:rsid w:val="00177DAC"/>
    <w:rsid w:val="0018020D"/>
    <w:rsid w:val="00180384"/>
    <w:rsid w:val="0018058E"/>
    <w:rsid w:val="001806B6"/>
    <w:rsid w:val="001809C6"/>
    <w:rsid w:val="00180A2F"/>
    <w:rsid w:val="00180F9B"/>
    <w:rsid w:val="001812AE"/>
    <w:rsid w:val="001819B8"/>
    <w:rsid w:val="00181A11"/>
    <w:rsid w:val="00181A6B"/>
    <w:rsid w:val="00181C88"/>
    <w:rsid w:val="00181CE8"/>
    <w:rsid w:val="00181F04"/>
    <w:rsid w:val="00182547"/>
    <w:rsid w:val="00182AB1"/>
    <w:rsid w:val="00183029"/>
    <w:rsid w:val="0018303B"/>
    <w:rsid w:val="001832DE"/>
    <w:rsid w:val="00183C12"/>
    <w:rsid w:val="0018445D"/>
    <w:rsid w:val="001850CB"/>
    <w:rsid w:val="001857B9"/>
    <w:rsid w:val="00185AD3"/>
    <w:rsid w:val="001866D3"/>
    <w:rsid w:val="00186DD9"/>
    <w:rsid w:val="00187814"/>
    <w:rsid w:val="00187845"/>
    <w:rsid w:val="00187EE8"/>
    <w:rsid w:val="00190186"/>
    <w:rsid w:val="001902CC"/>
    <w:rsid w:val="001915BA"/>
    <w:rsid w:val="00191B97"/>
    <w:rsid w:val="00191EC1"/>
    <w:rsid w:val="00191F85"/>
    <w:rsid w:val="0019209C"/>
    <w:rsid w:val="0019245E"/>
    <w:rsid w:val="00192713"/>
    <w:rsid w:val="00192A63"/>
    <w:rsid w:val="00193180"/>
    <w:rsid w:val="0019396D"/>
    <w:rsid w:val="001939B6"/>
    <w:rsid w:val="00193CAB"/>
    <w:rsid w:val="00193EC9"/>
    <w:rsid w:val="00195BA8"/>
    <w:rsid w:val="00195CCD"/>
    <w:rsid w:val="00195FB4"/>
    <w:rsid w:val="001963C8"/>
    <w:rsid w:val="001963DB"/>
    <w:rsid w:val="001966AF"/>
    <w:rsid w:val="001979A7"/>
    <w:rsid w:val="00197D29"/>
    <w:rsid w:val="001A0035"/>
    <w:rsid w:val="001A0089"/>
    <w:rsid w:val="001A0346"/>
    <w:rsid w:val="001A0558"/>
    <w:rsid w:val="001A0972"/>
    <w:rsid w:val="001A11BF"/>
    <w:rsid w:val="001A157A"/>
    <w:rsid w:val="001A265F"/>
    <w:rsid w:val="001A288F"/>
    <w:rsid w:val="001A2F86"/>
    <w:rsid w:val="001A3638"/>
    <w:rsid w:val="001A38DE"/>
    <w:rsid w:val="001A3E8F"/>
    <w:rsid w:val="001A43A8"/>
    <w:rsid w:val="001A4654"/>
    <w:rsid w:val="001A51BC"/>
    <w:rsid w:val="001A51CA"/>
    <w:rsid w:val="001A5727"/>
    <w:rsid w:val="001A58C9"/>
    <w:rsid w:val="001A5B00"/>
    <w:rsid w:val="001A5B14"/>
    <w:rsid w:val="001A63D1"/>
    <w:rsid w:val="001A651B"/>
    <w:rsid w:val="001A66AD"/>
    <w:rsid w:val="001A677A"/>
    <w:rsid w:val="001A6A55"/>
    <w:rsid w:val="001A7170"/>
    <w:rsid w:val="001B0144"/>
    <w:rsid w:val="001B0644"/>
    <w:rsid w:val="001B0A0C"/>
    <w:rsid w:val="001B0AE0"/>
    <w:rsid w:val="001B0CB1"/>
    <w:rsid w:val="001B10ED"/>
    <w:rsid w:val="001B11A5"/>
    <w:rsid w:val="001B148D"/>
    <w:rsid w:val="001B1DBA"/>
    <w:rsid w:val="001B266B"/>
    <w:rsid w:val="001B272A"/>
    <w:rsid w:val="001B2F0B"/>
    <w:rsid w:val="001B303A"/>
    <w:rsid w:val="001B3509"/>
    <w:rsid w:val="001B3546"/>
    <w:rsid w:val="001B402B"/>
    <w:rsid w:val="001B4226"/>
    <w:rsid w:val="001B425F"/>
    <w:rsid w:val="001B4348"/>
    <w:rsid w:val="001B4788"/>
    <w:rsid w:val="001B4B1E"/>
    <w:rsid w:val="001B4FFB"/>
    <w:rsid w:val="001B5010"/>
    <w:rsid w:val="001B5302"/>
    <w:rsid w:val="001B5585"/>
    <w:rsid w:val="001B5889"/>
    <w:rsid w:val="001B596B"/>
    <w:rsid w:val="001B5E21"/>
    <w:rsid w:val="001B5F52"/>
    <w:rsid w:val="001B6099"/>
    <w:rsid w:val="001B7F8C"/>
    <w:rsid w:val="001C0441"/>
    <w:rsid w:val="001C044D"/>
    <w:rsid w:val="001C0797"/>
    <w:rsid w:val="001C08C0"/>
    <w:rsid w:val="001C0DDD"/>
    <w:rsid w:val="001C146E"/>
    <w:rsid w:val="001C1F1D"/>
    <w:rsid w:val="001C26F7"/>
    <w:rsid w:val="001C27C6"/>
    <w:rsid w:val="001C2845"/>
    <w:rsid w:val="001C2A3C"/>
    <w:rsid w:val="001C34D4"/>
    <w:rsid w:val="001C3714"/>
    <w:rsid w:val="001C3DD9"/>
    <w:rsid w:val="001C3F4D"/>
    <w:rsid w:val="001C44B5"/>
    <w:rsid w:val="001C44D4"/>
    <w:rsid w:val="001C4AE2"/>
    <w:rsid w:val="001C4F91"/>
    <w:rsid w:val="001C569A"/>
    <w:rsid w:val="001C5F1D"/>
    <w:rsid w:val="001C66A7"/>
    <w:rsid w:val="001C7358"/>
    <w:rsid w:val="001C74BC"/>
    <w:rsid w:val="001C7588"/>
    <w:rsid w:val="001C781A"/>
    <w:rsid w:val="001D0734"/>
    <w:rsid w:val="001D08B8"/>
    <w:rsid w:val="001D0A1F"/>
    <w:rsid w:val="001D114C"/>
    <w:rsid w:val="001D1CBC"/>
    <w:rsid w:val="001D2362"/>
    <w:rsid w:val="001D283B"/>
    <w:rsid w:val="001D28DC"/>
    <w:rsid w:val="001D292C"/>
    <w:rsid w:val="001D2A46"/>
    <w:rsid w:val="001D2C78"/>
    <w:rsid w:val="001D2D4E"/>
    <w:rsid w:val="001D317E"/>
    <w:rsid w:val="001D335B"/>
    <w:rsid w:val="001D34FD"/>
    <w:rsid w:val="001D3678"/>
    <w:rsid w:val="001D4017"/>
    <w:rsid w:val="001D437F"/>
    <w:rsid w:val="001D4872"/>
    <w:rsid w:val="001D4D60"/>
    <w:rsid w:val="001D54AB"/>
    <w:rsid w:val="001D5732"/>
    <w:rsid w:val="001D5822"/>
    <w:rsid w:val="001D58DD"/>
    <w:rsid w:val="001D69AA"/>
    <w:rsid w:val="001D6A44"/>
    <w:rsid w:val="001D6AE0"/>
    <w:rsid w:val="001D6C05"/>
    <w:rsid w:val="001D6FE6"/>
    <w:rsid w:val="001D70FA"/>
    <w:rsid w:val="001D7733"/>
    <w:rsid w:val="001D7837"/>
    <w:rsid w:val="001D7BA9"/>
    <w:rsid w:val="001D7D29"/>
    <w:rsid w:val="001D7F99"/>
    <w:rsid w:val="001E080E"/>
    <w:rsid w:val="001E0A27"/>
    <w:rsid w:val="001E0DA0"/>
    <w:rsid w:val="001E1970"/>
    <w:rsid w:val="001E1C3C"/>
    <w:rsid w:val="001E1C55"/>
    <w:rsid w:val="001E1E2E"/>
    <w:rsid w:val="001E1EB7"/>
    <w:rsid w:val="001E1FBD"/>
    <w:rsid w:val="001E2378"/>
    <w:rsid w:val="001E246D"/>
    <w:rsid w:val="001E2D03"/>
    <w:rsid w:val="001E306A"/>
    <w:rsid w:val="001E333F"/>
    <w:rsid w:val="001E37E3"/>
    <w:rsid w:val="001E3875"/>
    <w:rsid w:val="001E3B92"/>
    <w:rsid w:val="001E3BF2"/>
    <w:rsid w:val="001E4375"/>
    <w:rsid w:val="001E484D"/>
    <w:rsid w:val="001E4BDD"/>
    <w:rsid w:val="001E4D42"/>
    <w:rsid w:val="001E5623"/>
    <w:rsid w:val="001E5948"/>
    <w:rsid w:val="001E5AB6"/>
    <w:rsid w:val="001E5AF4"/>
    <w:rsid w:val="001E5B03"/>
    <w:rsid w:val="001E601B"/>
    <w:rsid w:val="001E6073"/>
    <w:rsid w:val="001E6290"/>
    <w:rsid w:val="001E64D5"/>
    <w:rsid w:val="001E698B"/>
    <w:rsid w:val="001E6C91"/>
    <w:rsid w:val="001E6D09"/>
    <w:rsid w:val="001E6D84"/>
    <w:rsid w:val="001E6E80"/>
    <w:rsid w:val="001E73F8"/>
    <w:rsid w:val="001E73FD"/>
    <w:rsid w:val="001E7595"/>
    <w:rsid w:val="001E7F13"/>
    <w:rsid w:val="001F00B8"/>
    <w:rsid w:val="001F0646"/>
    <w:rsid w:val="001F06C5"/>
    <w:rsid w:val="001F06D6"/>
    <w:rsid w:val="001F0CB3"/>
    <w:rsid w:val="001F0D0B"/>
    <w:rsid w:val="001F17CB"/>
    <w:rsid w:val="001F1B63"/>
    <w:rsid w:val="001F1E44"/>
    <w:rsid w:val="001F2792"/>
    <w:rsid w:val="001F31A6"/>
    <w:rsid w:val="001F3722"/>
    <w:rsid w:val="001F373B"/>
    <w:rsid w:val="001F3901"/>
    <w:rsid w:val="001F3951"/>
    <w:rsid w:val="001F39EE"/>
    <w:rsid w:val="001F42EE"/>
    <w:rsid w:val="001F4449"/>
    <w:rsid w:val="001F4CA1"/>
    <w:rsid w:val="001F4CFF"/>
    <w:rsid w:val="001F5DBD"/>
    <w:rsid w:val="001F6299"/>
    <w:rsid w:val="001F6313"/>
    <w:rsid w:val="001F6998"/>
    <w:rsid w:val="001F6AE2"/>
    <w:rsid w:val="001F72C6"/>
    <w:rsid w:val="001F738E"/>
    <w:rsid w:val="001F77C7"/>
    <w:rsid w:val="001F79AA"/>
    <w:rsid w:val="001F7B54"/>
    <w:rsid w:val="002005B0"/>
    <w:rsid w:val="0020076A"/>
    <w:rsid w:val="0020084A"/>
    <w:rsid w:val="00200AF6"/>
    <w:rsid w:val="00200BA9"/>
    <w:rsid w:val="00200C2D"/>
    <w:rsid w:val="00201015"/>
    <w:rsid w:val="0020140A"/>
    <w:rsid w:val="00201598"/>
    <w:rsid w:val="00201B51"/>
    <w:rsid w:val="00201DA1"/>
    <w:rsid w:val="0020330A"/>
    <w:rsid w:val="002033F7"/>
    <w:rsid w:val="002036A5"/>
    <w:rsid w:val="0020370A"/>
    <w:rsid w:val="00203B2E"/>
    <w:rsid w:val="00203B54"/>
    <w:rsid w:val="00203F2B"/>
    <w:rsid w:val="0020443D"/>
    <w:rsid w:val="00204945"/>
    <w:rsid w:val="00204AB7"/>
    <w:rsid w:val="00204F16"/>
    <w:rsid w:val="002053B6"/>
    <w:rsid w:val="00205565"/>
    <w:rsid w:val="0020569D"/>
    <w:rsid w:val="0020677B"/>
    <w:rsid w:val="0020728D"/>
    <w:rsid w:val="00207548"/>
    <w:rsid w:val="0020760F"/>
    <w:rsid w:val="00207711"/>
    <w:rsid w:val="002079F6"/>
    <w:rsid w:val="00210925"/>
    <w:rsid w:val="00210AD2"/>
    <w:rsid w:val="0021247A"/>
    <w:rsid w:val="002124A5"/>
    <w:rsid w:val="002126D0"/>
    <w:rsid w:val="00212813"/>
    <w:rsid w:val="00212BAE"/>
    <w:rsid w:val="00212BE3"/>
    <w:rsid w:val="00212C5E"/>
    <w:rsid w:val="00212DE4"/>
    <w:rsid w:val="00213D24"/>
    <w:rsid w:val="00213ECE"/>
    <w:rsid w:val="00214297"/>
    <w:rsid w:val="00214C2E"/>
    <w:rsid w:val="00215145"/>
    <w:rsid w:val="00216C18"/>
    <w:rsid w:val="002177E2"/>
    <w:rsid w:val="002177EC"/>
    <w:rsid w:val="00217B72"/>
    <w:rsid w:val="00217F4B"/>
    <w:rsid w:val="00217F93"/>
    <w:rsid w:val="00221C78"/>
    <w:rsid w:val="00221F89"/>
    <w:rsid w:val="0022284B"/>
    <w:rsid w:val="00222D1E"/>
    <w:rsid w:val="00222E1B"/>
    <w:rsid w:val="00222F9D"/>
    <w:rsid w:val="002233C7"/>
    <w:rsid w:val="0022344C"/>
    <w:rsid w:val="00223933"/>
    <w:rsid w:val="00223A5D"/>
    <w:rsid w:val="00223FB1"/>
    <w:rsid w:val="00224F2A"/>
    <w:rsid w:val="002253EA"/>
    <w:rsid w:val="00225A30"/>
    <w:rsid w:val="0022641A"/>
    <w:rsid w:val="0022698B"/>
    <w:rsid w:val="00226F9B"/>
    <w:rsid w:val="002272CE"/>
    <w:rsid w:val="00227321"/>
    <w:rsid w:val="00227332"/>
    <w:rsid w:val="00227581"/>
    <w:rsid w:val="00227B1F"/>
    <w:rsid w:val="0023037E"/>
    <w:rsid w:val="002303D8"/>
    <w:rsid w:val="0023134F"/>
    <w:rsid w:val="002315B5"/>
    <w:rsid w:val="0023185C"/>
    <w:rsid w:val="00231B22"/>
    <w:rsid w:val="002323A3"/>
    <w:rsid w:val="0023294E"/>
    <w:rsid w:val="00232BDB"/>
    <w:rsid w:val="00233653"/>
    <w:rsid w:val="0023378A"/>
    <w:rsid w:val="00233B9F"/>
    <w:rsid w:val="00234448"/>
    <w:rsid w:val="00234514"/>
    <w:rsid w:val="002348CB"/>
    <w:rsid w:val="00234EEA"/>
    <w:rsid w:val="00235062"/>
    <w:rsid w:val="002357C1"/>
    <w:rsid w:val="00235868"/>
    <w:rsid w:val="00235C54"/>
    <w:rsid w:val="00235E43"/>
    <w:rsid w:val="00235F21"/>
    <w:rsid w:val="00235F4A"/>
    <w:rsid w:val="00236127"/>
    <w:rsid w:val="00236659"/>
    <w:rsid w:val="00237232"/>
    <w:rsid w:val="0023750E"/>
    <w:rsid w:val="00237653"/>
    <w:rsid w:val="00237A1C"/>
    <w:rsid w:val="0024042B"/>
    <w:rsid w:val="00240A24"/>
    <w:rsid w:val="00240EB9"/>
    <w:rsid w:val="00240F1B"/>
    <w:rsid w:val="00240F6B"/>
    <w:rsid w:val="002411E2"/>
    <w:rsid w:val="0024144A"/>
    <w:rsid w:val="00241766"/>
    <w:rsid w:val="0024189A"/>
    <w:rsid w:val="0024191E"/>
    <w:rsid w:val="00241BAE"/>
    <w:rsid w:val="002428EF"/>
    <w:rsid w:val="002442D5"/>
    <w:rsid w:val="002444D6"/>
    <w:rsid w:val="002445D5"/>
    <w:rsid w:val="00244966"/>
    <w:rsid w:val="00244D85"/>
    <w:rsid w:val="00245187"/>
    <w:rsid w:val="00245A7E"/>
    <w:rsid w:val="00245C82"/>
    <w:rsid w:val="00246522"/>
    <w:rsid w:val="0024679B"/>
    <w:rsid w:val="00246CA4"/>
    <w:rsid w:val="002470C6"/>
    <w:rsid w:val="002479FE"/>
    <w:rsid w:val="00247B0A"/>
    <w:rsid w:val="00247C4E"/>
    <w:rsid w:val="00250276"/>
    <w:rsid w:val="0025049C"/>
    <w:rsid w:val="00250EFE"/>
    <w:rsid w:val="00251121"/>
    <w:rsid w:val="00251227"/>
    <w:rsid w:val="00251753"/>
    <w:rsid w:val="002518C2"/>
    <w:rsid w:val="00251A5F"/>
    <w:rsid w:val="00252614"/>
    <w:rsid w:val="002527D6"/>
    <w:rsid w:val="00252A86"/>
    <w:rsid w:val="00252BE6"/>
    <w:rsid w:val="00252ECF"/>
    <w:rsid w:val="00252F38"/>
    <w:rsid w:val="002530A6"/>
    <w:rsid w:val="00253323"/>
    <w:rsid w:val="002534FA"/>
    <w:rsid w:val="002535F2"/>
    <w:rsid w:val="00253B8B"/>
    <w:rsid w:val="00253E61"/>
    <w:rsid w:val="00253F02"/>
    <w:rsid w:val="002542DD"/>
    <w:rsid w:val="002545F3"/>
    <w:rsid w:val="002547E6"/>
    <w:rsid w:val="00254CF0"/>
    <w:rsid w:val="00254E63"/>
    <w:rsid w:val="00255AEE"/>
    <w:rsid w:val="00255D39"/>
    <w:rsid w:val="00255EA0"/>
    <w:rsid w:val="002561B9"/>
    <w:rsid w:val="00256C50"/>
    <w:rsid w:val="00256D0E"/>
    <w:rsid w:val="00257307"/>
    <w:rsid w:val="002601A7"/>
    <w:rsid w:val="00260E6E"/>
    <w:rsid w:val="00260EC5"/>
    <w:rsid w:val="00261436"/>
    <w:rsid w:val="0026168E"/>
    <w:rsid w:val="00262349"/>
    <w:rsid w:val="00262A02"/>
    <w:rsid w:val="00262B8C"/>
    <w:rsid w:val="00262C50"/>
    <w:rsid w:val="00262E65"/>
    <w:rsid w:val="00263A5A"/>
    <w:rsid w:val="0026400A"/>
    <w:rsid w:val="002648FA"/>
    <w:rsid w:val="0026517A"/>
    <w:rsid w:val="00265613"/>
    <w:rsid w:val="0026596D"/>
    <w:rsid w:val="00265BF9"/>
    <w:rsid w:val="00265CB4"/>
    <w:rsid w:val="00266338"/>
    <w:rsid w:val="00266503"/>
    <w:rsid w:val="00266589"/>
    <w:rsid w:val="00266714"/>
    <w:rsid w:val="00266BE9"/>
    <w:rsid w:val="00266EC4"/>
    <w:rsid w:val="002671FE"/>
    <w:rsid w:val="002673CA"/>
    <w:rsid w:val="0026751D"/>
    <w:rsid w:val="00267E5A"/>
    <w:rsid w:val="00270911"/>
    <w:rsid w:val="00270F34"/>
    <w:rsid w:val="002716CB"/>
    <w:rsid w:val="002718CE"/>
    <w:rsid w:val="00271BB9"/>
    <w:rsid w:val="00271C9C"/>
    <w:rsid w:val="00272749"/>
    <w:rsid w:val="0027349B"/>
    <w:rsid w:val="00273860"/>
    <w:rsid w:val="00273FB2"/>
    <w:rsid w:val="00274102"/>
    <w:rsid w:val="002750B2"/>
    <w:rsid w:val="0027557D"/>
    <w:rsid w:val="00275643"/>
    <w:rsid w:val="002756CD"/>
    <w:rsid w:val="002757D6"/>
    <w:rsid w:val="00275DF7"/>
    <w:rsid w:val="00275E3D"/>
    <w:rsid w:val="00275F8A"/>
    <w:rsid w:val="00276222"/>
    <w:rsid w:val="0027646E"/>
    <w:rsid w:val="00276584"/>
    <w:rsid w:val="00276D7A"/>
    <w:rsid w:val="002771D1"/>
    <w:rsid w:val="0027741A"/>
    <w:rsid w:val="0027769C"/>
    <w:rsid w:val="0027775F"/>
    <w:rsid w:val="00277AC1"/>
    <w:rsid w:val="00280201"/>
    <w:rsid w:val="00280329"/>
    <w:rsid w:val="00280F63"/>
    <w:rsid w:val="00281044"/>
    <w:rsid w:val="00281136"/>
    <w:rsid w:val="00281630"/>
    <w:rsid w:val="002819E2"/>
    <w:rsid w:val="00281A99"/>
    <w:rsid w:val="0028218B"/>
    <w:rsid w:val="00282191"/>
    <w:rsid w:val="00282B48"/>
    <w:rsid w:val="00282BBD"/>
    <w:rsid w:val="00283114"/>
    <w:rsid w:val="002832A3"/>
    <w:rsid w:val="0028358C"/>
    <w:rsid w:val="00283B33"/>
    <w:rsid w:val="00283D43"/>
    <w:rsid w:val="00284660"/>
    <w:rsid w:val="00284710"/>
    <w:rsid w:val="002847A9"/>
    <w:rsid w:val="00284BD0"/>
    <w:rsid w:val="002861C4"/>
    <w:rsid w:val="002862A5"/>
    <w:rsid w:val="0028664B"/>
    <w:rsid w:val="00287349"/>
    <w:rsid w:val="00287377"/>
    <w:rsid w:val="002874C2"/>
    <w:rsid w:val="00287615"/>
    <w:rsid w:val="0028765F"/>
    <w:rsid w:val="002876D1"/>
    <w:rsid w:val="00287C59"/>
    <w:rsid w:val="00287D1D"/>
    <w:rsid w:val="00290467"/>
    <w:rsid w:val="002904AE"/>
    <w:rsid w:val="0029093B"/>
    <w:rsid w:val="00291E22"/>
    <w:rsid w:val="00291F07"/>
    <w:rsid w:val="00292162"/>
    <w:rsid w:val="002926E7"/>
    <w:rsid w:val="00293BAD"/>
    <w:rsid w:val="00294ADA"/>
    <w:rsid w:val="00294D1D"/>
    <w:rsid w:val="00294D96"/>
    <w:rsid w:val="002955DD"/>
    <w:rsid w:val="00295B00"/>
    <w:rsid w:val="00296C16"/>
    <w:rsid w:val="00297FAA"/>
    <w:rsid w:val="002A0289"/>
    <w:rsid w:val="002A0A13"/>
    <w:rsid w:val="002A0B4C"/>
    <w:rsid w:val="002A1455"/>
    <w:rsid w:val="002A1A46"/>
    <w:rsid w:val="002A2563"/>
    <w:rsid w:val="002A294E"/>
    <w:rsid w:val="002A2A5C"/>
    <w:rsid w:val="002A336B"/>
    <w:rsid w:val="002A371B"/>
    <w:rsid w:val="002A371E"/>
    <w:rsid w:val="002A38C1"/>
    <w:rsid w:val="002A3D4E"/>
    <w:rsid w:val="002A4010"/>
    <w:rsid w:val="002A40B5"/>
    <w:rsid w:val="002A41F5"/>
    <w:rsid w:val="002A42E1"/>
    <w:rsid w:val="002A474B"/>
    <w:rsid w:val="002A4B29"/>
    <w:rsid w:val="002A4E7F"/>
    <w:rsid w:val="002A5520"/>
    <w:rsid w:val="002A5B8A"/>
    <w:rsid w:val="002A69F3"/>
    <w:rsid w:val="002A6AA4"/>
    <w:rsid w:val="002A7037"/>
    <w:rsid w:val="002B02AF"/>
    <w:rsid w:val="002B048F"/>
    <w:rsid w:val="002B07EB"/>
    <w:rsid w:val="002B0A06"/>
    <w:rsid w:val="002B0C8B"/>
    <w:rsid w:val="002B0F34"/>
    <w:rsid w:val="002B0F61"/>
    <w:rsid w:val="002B11F0"/>
    <w:rsid w:val="002B12CC"/>
    <w:rsid w:val="002B1532"/>
    <w:rsid w:val="002B1951"/>
    <w:rsid w:val="002B1C51"/>
    <w:rsid w:val="002B1EF3"/>
    <w:rsid w:val="002B1F9C"/>
    <w:rsid w:val="002B323E"/>
    <w:rsid w:val="002B39CE"/>
    <w:rsid w:val="002B3A8D"/>
    <w:rsid w:val="002B3B07"/>
    <w:rsid w:val="002B3F8D"/>
    <w:rsid w:val="002B4B0A"/>
    <w:rsid w:val="002B4BC7"/>
    <w:rsid w:val="002B4F67"/>
    <w:rsid w:val="002B5616"/>
    <w:rsid w:val="002B6549"/>
    <w:rsid w:val="002B711C"/>
    <w:rsid w:val="002B72FB"/>
    <w:rsid w:val="002B74D6"/>
    <w:rsid w:val="002B7667"/>
    <w:rsid w:val="002B78D1"/>
    <w:rsid w:val="002B7A1A"/>
    <w:rsid w:val="002C0227"/>
    <w:rsid w:val="002C0732"/>
    <w:rsid w:val="002C0D5A"/>
    <w:rsid w:val="002C0E13"/>
    <w:rsid w:val="002C1307"/>
    <w:rsid w:val="002C15D8"/>
    <w:rsid w:val="002C15EF"/>
    <w:rsid w:val="002C1C5F"/>
    <w:rsid w:val="002C1ED5"/>
    <w:rsid w:val="002C220B"/>
    <w:rsid w:val="002C2311"/>
    <w:rsid w:val="002C2750"/>
    <w:rsid w:val="002C28F4"/>
    <w:rsid w:val="002C2D58"/>
    <w:rsid w:val="002C3775"/>
    <w:rsid w:val="002C38DE"/>
    <w:rsid w:val="002C43FA"/>
    <w:rsid w:val="002C44C8"/>
    <w:rsid w:val="002C4E8C"/>
    <w:rsid w:val="002C5F5B"/>
    <w:rsid w:val="002C629D"/>
    <w:rsid w:val="002C74B8"/>
    <w:rsid w:val="002C7520"/>
    <w:rsid w:val="002C777D"/>
    <w:rsid w:val="002D0837"/>
    <w:rsid w:val="002D131F"/>
    <w:rsid w:val="002D15A5"/>
    <w:rsid w:val="002D1F72"/>
    <w:rsid w:val="002D23F1"/>
    <w:rsid w:val="002D29AE"/>
    <w:rsid w:val="002D32E4"/>
    <w:rsid w:val="002D3A90"/>
    <w:rsid w:val="002D3B6F"/>
    <w:rsid w:val="002D3EA6"/>
    <w:rsid w:val="002D405B"/>
    <w:rsid w:val="002D4060"/>
    <w:rsid w:val="002D40B1"/>
    <w:rsid w:val="002D4430"/>
    <w:rsid w:val="002D45CD"/>
    <w:rsid w:val="002D4991"/>
    <w:rsid w:val="002D4D32"/>
    <w:rsid w:val="002D546C"/>
    <w:rsid w:val="002D5549"/>
    <w:rsid w:val="002D5611"/>
    <w:rsid w:val="002D56B0"/>
    <w:rsid w:val="002D5720"/>
    <w:rsid w:val="002D5AE7"/>
    <w:rsid w:val="002D5DA3"/>
    <w:rsid w:val="002D6422"/>
    <w:rsid w:val="002D73CA"/>
    <w:rsid w:val="002D75F9"/>
    <w:rsid w:val="002D772F"/>
    <w:rsid w:val="002D7DE7"/>
    <w:rsid w:val="002E003A"/>
    <w:rsid w:val="002E0149"/>
    <w:rsid w:val="002E0457"/>
    <w:rsid w:val="002E07AC"/>
    <w:rsid w:val="002E0B70"/>
    <w:rsid w:val="002E0BE0"/>
    <w:rsid w:val="002E12A6"/>
    <w:rsid w:val="002E1539"/>
    <w:rsid w:val="002E16B0"/>
    <w:rsid w:val="002E2007"/>
    <w:rsid w:val="002E207D"/>
    <w:rsid w:val="002E23B4"/>
    <w:rsid w:val="002E2685"/>
    <w:rsid w:val="002E2CCA"/>
    <w:rsid w:val="002E2CD3"/>
    <w:rsid w:val="002E2F9D"/>
    <w:rsid w:val="002E3069"/>
    <w:rsid w:val="002E3431"/>
    <w:rsid w:val="002E388C"/>
    <w:rsid w:val="002E3EDF"/>
    <w:rsid w:val="002E41D3"/>
    <w:rsid w:val="002E45C1"/>
    <w:rsid w:val="002E4E3B"/>
    <w:rsid w:val="002E550B"/>
    <w:rsid w:val="002E5A0A"/>
    <w:rsid w:val="002E63A3"/>
    <w:rsid w:val="002E6475"/>
    <w:rsid w:val="002E64B7"/>
    <w:rsid w:val="002E6AA1"/>
    <w:rsid w:val="002E76AE"/>
    <w:rsid w:val="002E79B4"/>
    <w:rsid w:val="002E7DDF"/>
    <w:rsid w:val="002E7FAA"/>
    <w:rsid w:val="002F08F3"/>
    <w:rsid w:val="002F1017"/>
    <w:rsid w:val="002F1114"/>
    <w:rsid w:val="002F11D5"/>
    <w:rsid w:val="002F1287"/>
    <w:rsid w:val="002F15F7"/>
    <w:rsid w:val="002F1889"/>
    <w:rsid w:val="002F19D3"/>
    <w:rsid w:val="002F1F4E"/>
    <w:rsid w:val="002F2418"/>
    <w:rsid w:val="002F26AB"/>
    <w:rsid w:val="002F2C4D"/>
    <w:rsid w:val="002F39B0"/>
    <w:rsid w:val="002F3AB5"/>
    <w:rsid w:val="002F3F59"/>
    <w:rsid w:val="002F49C9"/>
    <w:rsid w:val="002F4A3F"/>
    <w:rsid w:val="002F4AEA"/>
    <w:rsid w:val="002F4CEC"/>
    <w:rsid w:val="002F4D8A"/>
    <w:rsid w:val="002F57C6"/>
    <w:rsid w:val="002F5921"/>
    <w:rsid w:val="002F5C0C"/>
    <w:rsid w:val="002F5F65"/>
    <w:rsid w:val="002F6017"/>
    <w:rsid w:val="002F6024"/>
    <w:rsid w:val="002F6918"/>
    <w:rsid w:val="002F69D5"/>
    <w:rsid w:val="002F73C2"/>
    <w:rsid w:val="002F74EE"/>
    <w:rsid w:val="002F7AD5"/>
    <w:rsid w:val="002F7DF0"/>
    <w:rsid w:val="002F7EF1"/>
    <w:rsid w:val="003000E2"/>
    <w:rsid w:val="0030024E"/>
    <w:rsid w:val="00301360"/>
    <w:rsid w:val="00301442"/>
    <w:rsid w:val="00301529"/>
    <w:rsid w:val="003018DF"/>
    <w:rsid w:val="00301974"/>
    <w:rsid w:val="00301C54"/>
    <w:rsid w:val="00301FB9"/>
    <w:rsid w:val="00302047"/>
    <w:rsid w:val="003026DA"/>
    <w:rsid w:val="003028C6"/>
    <w:rsid w:val="003029C3"/>
    <w:rsid w:val="00302AB7"/>
    <w:rsid w:val="00302F4B"/>
    <w:rsid w:val="00302FE6"/>
    <w:rsid w:val="00303545"/>
    <w:rsid w:val="00303AE7"/>
    <w:rsid w:val="00303D14"/>
    <w:rsid w:val="00303DB6"/>
    <w:rsid w:val="00303E10"/>
    <w:rsid w:val="00304298"/>
    <w:rsid w:val="00305639"/>
    <w:rsid w:val="00305817"/>
    <w:rsid w:val="00305986"/>
    <w:rsid w:val="00305ADF"/>
    <w:rsid w:val="00305F7A"/>
    <w:rsid w:val="00306036"/>
    <w:rsid w:val="00306770"/>
    <w:rsid w:val="003072B2"/>
    <w:rsid w:val="0030750F"/>
    <w:rsid w:val="003079F2"/>
    <w:rsid w:val="00307A69"/>
    <w:rsid w:val="00307CC2"/>
    <w:rsid w:val="00310038"/>
    <w:rsid w:val="00310427"/>
    <w:rsid w:val="00310665"/>
    <w:rsid w:val="00310770"/>
    <w:rsid w:val="00311022"/>
    <w:rsid w:val="0031118C"/>
    <w:rsid w:val="003113E3"/>
    <w:rsid w:val="0031281B"/>
    <w:rsid w:val="00312E4A"/>
    <w:rsid w:val="00312F07"/>
    <w:rsid w:val="00313626"/>
    <w:rsid w:val="00313680"/>
    <w:rsid w:val="003137DE"/>
    <w:rsid w:val="00313B54"/>
    <w:rsid w:val="00313FA2"/>
    <w:rsid w:val="0031546F"/>
    <w:rsid w:val="003155FE"/>
    <w:rsid w:val="00315894"/>
    <w:rsid w:val="003162AE"/>
    <w:rsid w:val="00316B09"/>
    <w:rsid w:val="00316B0D"/>
    <w:rsid w:val="00316B1C"/>
    <w:rsid w:val="00316BE2"/>
    <w:rsid w:val="003173A1"/>
    <w:rsid w:val="003173CD"/>
    <w:rsid w:val="003174D7"/>
    <w:rsid w:val="00317507"/>
    <w:rsid w:val="00317647"/>
    <w:rsid w:val="00317AD3"/>
    <w:rsid w:val="00317F59"/>
    <w:rsid w:val="00320260"/>
    <w:rsid w:val="00320581"/>
    <w:rsid w:val="00320792"/>
    <w:rsid w:val="003210CB"/>
    <w:rsid w:val="003211B8"/>
    <w:rsid w:val="00322252"/>
    <w:rsid w:val="003227DE"/>
    <w:rsid w:val="003228E5"/>
    <w:rsid w:val="00322F2F"/>
    <w:rsid w:val="00323128"/>
    <w:rsid w:val="00323337"/>
    <w:rsid w:val="00323538"/>
    <w:rsid w:val="003239CA"/>
    <w:rsid w:val="00323B57"/>
    <w:rsid w:val="00323E10"/>
    <w:rsid w:val="00323FC4"/>
    <w:rsid w:val="003245BE"/>
    <w:rsid w:val="00324672"/>
    <w:rsid w:val="003247BB"/>
    <w:rsid w:val="0032496D"/>
    <w:rsid w:val="00324988"/>
    <w:rsid w:val="003250AC"/>
    <w:rsid w:val="003256ED"/>
    <w:rsid w:val="00325E2E"/>
    <w:rsid w:val="003266C5"/>
    <w:rsid w:val="00326734"/>
    <w:rsid w:val="00326920"/>
    <w:rsid w:val="00326CD0"/>
    <w:rsid w:val="00327975"/>
    <w:rsid w:val="003300DB"/>
    <w:rsid w:val="003306CF"/>
    <w:rsid w:val="0033075E"/>
    <w:rsid w:val="0033088D"/>
    <w:rsid w:val="00330A94"/>
    <w:rsid w:val="00331046"/>
    <w:rsid w:val="00331707"/>
    <w:rsid w:val="00331A01"/>
    <w:rsid w:val="00331AEA"/>
    <w:rsid w:val="00331DD8"/>
    <w:rsid w:val="00332329"/>
    <w:rsid w:val="003333C3"/>
    <w:rsid w:val="00333671"/>
    <w:rsid w:val="00333939"/>
    <w:rsid w:val="00333FF8"/>
    <w:rsid w:val="00334A66"/>
    <w:rsid w:val="00334F5E"/>
    <w:rsid w:val="00335031"/>
    <w:rsid w:val="00335425"/>
    <w:rsid w:val="00335972"/>
    <w:rsid w:val="0033684E"/>
    <w:rsid w:val="003368AF"/>
    <w:rsid w:val="003377F3"/>
    <w:rsid w:val="00337A42"/>
    <w:rsid w:val="00337EE9"/>
    <w:rsid w:val="00337F59"/>
    <w:rsid w:val="0034035B"/>
    <w:rsid w:val="0034096E"/>
    <w:rsid w:val="00340C8F"/>
    <w:rsid w:val="00341064"/>
    <w:rsid w:val="003419E2"/>
    <w:rsid w:val="00341C85"/>
    <w:rsid w:val="0034221F"/>
    <w:rsid w:val="00342315"/>
    <w:rsid w:val="00342647"/>
    <w:rsid w:val="00342681"/>
    <w:rsid w:val="00342779"/>
    <w:rsid w:val="00342AB0"/>
    <w:rsid w:val="003434AA"/>
    <w:rsid w:val="0034391A"/>
    <w:rsid w:val="00343A6A"/>
    <w:rsid w:val="00343D35"/>
    <w:rsid w:val="00343F2F"/>
    <w:rsid w:val="00344D15"/>
    <w:rsid w:val="00345138"/>
    <w:rsid w:val="00345753"/>
    <w:rsid w:val="00345CF0"/>
    <w:rsid w:val="00345E6D"/>
    <w:rsid w:val="003464FA"/>
    <w:rsid w:val="00346E2C"/>
    <w:rsid w:val="00347003"/>
    <w:rsid w:val="003470CF"/>
    <w:rsid w:val="00347295"/>
    <w:rsid w:val="00347510"/>
    <w:rsid w:val="00347A66"/>
    <w:rsid w:val="00347C38"/>
    <w:rsid w:val="003500C6"/>
    <w:rsid w:val="003500F2"/>
    <w:rsid w:val="0035045A"/>
    <w:rsid w:val="00350FB8"/>
    <w:rsid w:val="003518D4"/>
    <w:rsid w:val="0035214F"/>
    <w:rsid w:val="003521D5"/>
    <w:rsid w:val="0035226B"/>
    <w:rsid w:val="00352663"/>
    <w:rsid w:val="0035293E"/>
    <w:rsid w:val="00352ACC"/>
    <w:rsid w:val="00352B0E"/>
    <w:rsid w:val="00352E3F"/>
    <w:rsid w:val="0035367B"/>
    <w:rsid w:val="0035386B"/>
    <w:rsid w:val="003539EA"/>
    <w:rsid w:val="003544B3"/>
    <w:rsid w:val="00354E6D"/>
    <w:rsid w:val="00354F4B"/>
    <w:rsid w:val="00355725"/>
    <w:rsid w:val="00355EC0"/>
    <w:rsid w:val="003562FA"/>
    <w:rsid w:val="00356515"/>
    <w:rsid w:val="00356A58"/>
    <w:rsid w:val="003571C8"/>
    <w:rsid w:val="0035750C"/>
    <w:rsid w:val="00357F78"/>
    <w:rsid w:val="0036037A"/>
    <w:rsid w:val="003603BB"/>
    <w:rsid w:val="00360555"/>
    <w:rsid w:val="003606DD"/>
    <w:rsid w:val="00360A06"/>
    <w:rsid w:val="00360DB1"/>
    <w:rsid w:val="00361624"/>
    <w:rsid w:val="00361969"/>
    <w:rsid w:val="003619F8"/>
    <w:rsid w:val="00361FDE"/>
    <w:rsid w:val="003623FF"/>
    <w:rsid w:val="00362494"/>
    <w:rsid w:val="003628AE"/>
    <w:rsid w:val="00362F36"/>
    <w:rsid w:val="00363306"/>
    <w:rsid w:val="00363774"/>
    <w:rsid w:val="00363AE5"/>
    <w:rsid w:val="00363C43"/>
    <w:rsid w:val="00363ED2"/>
    <w:rsid w:val="0036424F"/>
    <w:rsid w:val="003643EC"/>
    <w:rsid w:val="00365941"/>
    <w:rsid w:val="00365ACD"/>
    <w:rsid w:val="003661F3"/>
    <w:rsid w:val="0036630A"/>
    <w:rsid w:val="00366CDD"/>
    <w:rsid w:val="003672AC"/>
    <w:rsid w:val="00367866"/>
    <w:rsid w:val="00367DB6"/>
    <w:rsid w:val="00370115"/>
    <w:rsid w:val="00370740"/>
    <w:rsid w:val="00371BB3"/>
    <w:rsid w:val="00371CD5"/>
    <w:rsid w:val="00371D5B"/>
    <w:rsid w:val="00371DC2"/>
    <w:rsid w:val="00371E52"/>
    <w:rsid w:val="00372011"/>
    <w:rsid w:val="003720D4"/>
    <w:rsid w:val="003724BB"/>
    <w:rsid w:val="00372815"/>
    <w:rsid w:val="00372954"/>
    <w:rsid w:val="00372E80"/>
    <w:rsid w:val="00373589"/>
    <w:rsid w:val="00373621"/>
    <w:rsid w:val="0037371D"/>
    <w:rsid w:val="003745E7"/>
    <w:rsid w:val="00374B50"/>
    <w:rsid w:val="003751C4"/>
    <w:rsid w:val="0037559D"/>
    <w:rsid w:val="003757CF"/>
    <w:rsid w:val="00375EFE"/>
    <w:rsid w:val="00375F59"/>
    <w:rsid w:val="00376ED5"/>
    <w:rsid w:val="00377895"/>
    <w:rsid w:val="00377D5F"/>
    <w:rsid w:val="003801F8"/>
    <w:rsid w:val="003805FE"/>
    <w:rsid w:val="00380E4F"/>
    <w:rsid w:val="00380F6C"/>
    <w:rsid w:val="0038194E"/>
    <w:rsid w:val="00381BCC"/>
    <w:rsid w:val="00382448"/>
    <w:rsid w:val="00382B91"/>
    <w:rsid w:val="00383171"/>
    <w:rsid w:val="0038388C"/>
    <w:rsid w:val="00383A2F"/>
    <w:rsid w:val="00383C77"/>
    <w:rsid w:val="00383EEF"/>
    <w:rsid w:val="0038400E"/>
    <w:rsid w:val="003848EF"/>
    <w:rsid w:val="00384A90"/>
    <w:rsid w:val="00384B93"/>
    <w:rsid w:val="003855C2"/>
    <w:rsid w:val="00385B65"/>
    <w:rsid w:val="00386171"/>
    <w:rsid w:val="003861C8"/>
    <w:rsid w:val="00386352"/>
    <w:rsid w:val="00386448"/>
    <w:rsid w:val="003866DB"/>
    <w:rsid w:val="00386A5D"/>
    <w:rsid w:val="00386B7E"/>
    <w:rsid w:val="00386B8C"/>
    <w:rsid w:val="00386CD0"/>
    <w:rsid w:val="0038733E"/>
    <w:rsid w:val="0038752F"/>
    <w:rsid w:val="00387C6F"/>
    <w:rsid w:val="0039083F"/>
    <w:rsid w:val="00390B42"/>
    <w:rsid w:val="00390C70"/>
    <w:rsid w:val="00391288"/>
    <w:rsid w:val="00391305"/>
    <w:rsid w:val="0039190F"/>
    <w:rsid w:val="00391929"/>
    <w:rsid w:val="00391A1D"/>
    <w:rsid w:val="00391AF6"/>
    <w:rsid w:val="00391E5F"/>
    <w:rsid w:val="00392517"/>
    <w:rsid w:val="00393981"/>
    <w:rsid w:val="00393A34"/>
    <w:rsid w:val="00393BA1"/>
    <w:rsid w:val="00393C80"/>
    <w:rsid w:val="00393FBE"/>
    <w:rsid w:val="003940DD"/>
    <w:rsid w:val="0039418D"/>
    <w:rsid w:val="0039566F"/>
    <w:rsid w:val="00395714"/>
    <w:rsid w:val="00395FC7"/>
    <w:rsid w:val="0039660A"/>
    <w:rsid w:val="0039676B"/>
    <w:rsid w:val="00396A5D"/>
    <w:rsid w:val="00396C4C"/>
    <w:rsid w:val="0039709B"/>
    <w:rsid w:val="00397A61"/>
    <w:rsid w:val="00397CB8"/>
    <w:rsid w:val="003A0059"/>
    <w:rsid w:val="003A01C9"/>
    <w:rsid w:val="003A0A68"/>
    <w:rsid w:val="003A1177"/>
    <w:rsid w:val="003A1230"/>
    <w:rsid w:val="003A12CE"/>
    <w:rsid w:val="003A1569"/>
    <w:rsid w:val="003A1B92"/>
    <w:rsid w:val="003A2A24"/>
    <w:rsid w:val="003A3CDA"/>
    <w:rsid w:val="003A3E57"/>
    <w:rsid w:val="003A4413"/>
    <w:rsid w:val="003A45F9"/>
    <w:rsid w:val="003A4E72"/>
    <w:rsid w:val="003A50C0"/>
    <w:rsid w:val="003A526A"/>
    <w:rsid w:val="003A565B"/>
    <w:rsid w:val="003A5DB2"/>
    <w:rsid w:val="003A6973"/>
    <w:rsid w:val="003A6A5B"/>
    <w:rsid w:val="003A6C54"/>
    <w:rsid w:val="003A775A"/>
    <w:rsid w:val="003A7A4F"/>
    <w:rsid w:val="003A7BDA"/>
    <w:rsid w:val="003A7CD1"/>
    <w:rsid w:val="003A7E73"/>
    <w:rsid w:val="003A7FC0"/>
    <w:rsid w:val="003B0B64"/>
    <w:rsid w:val="003B0EA7"/>
    <w:rsid w:val="003B113D"/>
    <w:rsid w:val="003B1AB9"/>
    <w:rsid w:val="003B2225"/>
    <w:rsid w:val="003B27DE"/>
    <w:rsid w:val="003B2953"/>
    <w:rsid w:val="003B2D07"/>
    <w:rsid w:val="003B31D5"/>
    <w:rsid w:val="003B351F"/>
    <w:rsid w:val="003B3B75"/>
    <w:rsid w:val="003B461A"/>
    <w:rsid w:val="003B502E"/>
    <w:rsid w:val="003B529E"/>
    <w:rsid w:val="003B597E"/>
    <w:rsid w:val="003B5EA7"/>
    <w:rsid w:val="003B62A0"/>
    <w:rsid w:val="003B63AB"/>
    <w:rsid w:val="003B694A"/>
    <w:rsid w:val="003B69FE"/>
    <w:rsid w:val="003B73CE"/>
    <w:rsid w:val="003B7849"/>
    <w:rsid w:val="003B7F1F"/>
    <w:rsid w:val="003B7F2F"/>
    <w:rsid w:val="003C0309"/>
    <w:rsid w:val="003C054E"/>
    <w:rsid w:val="003C07E2"/>
    <w:rsid w:val="003C0AC5"/>
    <w:rsid w:val="003C0FF6"/>
    <w:rsid w:val="003C1172"/>
    <w:rsid w:val="003C167D"/>
    <w:rsid w:val="003C1817"/>
    <w:rsid w:val="003C1A2E"/>
    <w:rsid w:val="003C2733"/>
    <w:rsid w:val="003C2F60"/>
    <w:rsid w:val="003C316A"/>
    <w:rsid w:val="003C3A80"/>
    <w:rsid w:val="003C40C2"/>
    <w:rsid w:val="003C4DEA"/>
    <w:rsid w:val="003C4EC6"/>
    <w:rsid w:val="003C583A"/>
    <w:rsid w:val="003C642A"/>
    <w:rsid w:val="003C64A8"/>
    <w:rsid w:val="003C6961"/>
    <w:rsid w:val="003C6C45"/>
    <w:rsid w:val="003C72B3"/>
    <w:rsid w:val="003C7344"/>
    <w:rsid w:val="003D013E"/>
    <w:rsid w:val="003D019B"/>
    <w:rsid w:val="003D0430"/>
    <w:rsid w:val="003D078A"/>
    <w:rsid w:val="003D09AD"/>
    <w:rsid w:val="003D1239"/>
    <w:rsid w:val="003D1845"/>
    <w:rsid w:val="003D21A3"/>
    <w:rsid w:val="003D22D7"/>
    <w:rsid w:val="003D2FBB"/>
    <w:rsid w:val="003D327F"/>
    <w:rsid w:val="003D3449"/>
    <w:rsid w:val="003D36CE"/>
    <w:rsid w:val="003D3728"/>
    <w:rsid w:val="003D377B"/>
    <w:rsid w:val="003D3E7A"/>
    <w:rsid w:val="003D4896"/>
    <w:rsid w:val="003D4999"/>
    <w:rsid w:val="003D4B14"/>
    <w:rsid w:val="003D54D2"/>
    <w:rsid w:val="003D574B"/>
    <w:rsid w:val="003D5B1B"/>
    <w:rsid w:val="003D611C"/>
    <w:rsid w:val="003D6B79"/>
    <w:rsid w:val="003D7063"/>
    <w:rsid w:val="003D777C"/>
    <w:rsid w:val="003D79A3"/>
    <w:rsid w:val="003E075F"/>
    <w:rsid w:val="003E09FE"/>
    <w:rsid w:val="003E0B02"/>
    <w:rsid w:val="003E0FD8"/>
    <w:rsid w:val="003E11B6"/>
    <w:rsid w:val="003E1376"/>
    <w:rsid w:val="003E1A68"/>
    <w:rsid w:val="003E1BCA"/>
    <w:rsid w:val="003E25E1"/>
    <w:rsid w:val="003E2BC8"/>
    <w:rsid w:val="003E300B"/>
    <w:rsid w:val="003E3BD3"/>
    <w:rsid w:val="003E409D"/>
    <w:rsid w:val="003E4ADB"/>
    <w:rsid w:val="003E4B37"/>
    <w:rsid w:val="003E57DC"/>
    <w:rsid w:val="003E5980"/>
    <w:rsid w:val="003E5F44"/>
    <w:rsid w:val="003E5F64"/>
    <w:rsid w:val="003E6B36"/>
    <w:rsid w:val="003E6B8B"/>
    <w:rsid w:val="003E6C4D"/>
    <w:rsid w:val="003E6C72"/>
    <w:rsid w:val="003E6EFD"/>
    <w:rsid w:val="003E717F"/>
    <w:rsid w:val="003E7986"/>
    <w:rsid w:val="003E7C45"/>
    <w:rsid w:val="003F017E"/>
    <w:rsid w:val="003F13F8"/>
    <w:rsid w:val="003F17BC"/>
    <w:rsid w:val="003F1A1E"/>
    <w:rsid w:val="003F2111"/>
    <w:rsid w:val="003F2663"/>
    <w:rsid w:val="003F2A6B"/>
    <w:rsid w:val="003F38C7"/>
    <w:rsid w:val="003F395F"/>
    <w:rsid w:val="003F3970"/>
    <w:rsid w:val="003F3E59"/>
    <w:rsid w:val="003F4412"/>
    <w:rsid w:val="003F454E"/>
    <w:rsid w:val="003F45B9"/>
    <w:rsid w:val="003F4861"/>
    <w:rsid w:val="003F5102"/>
    <w:rsid w:val="003F5B9A"/>
    <w:rsid w:val="003F5E1C"/>
    <w:rsid w:val="003F6101"/>
    <w:rsid w:val="003F61AD"/>
    <w:rsid w:val="003F630C"/>
    <w:rsid w:val="003F6447"/>
    <w:rsid w:val="003F6705"/>
    <w:rsid w:val="003F6890"/>
    <w:rsid w:val="003F7445"/>
    <w:rsid w:val="003F7607"/>
    <w:rsid w:val="003F773E"/>
    <w:rsid w:val="003F7A64"/>
    <w:rsid w:val="003F7C03"/>
    <w:rsid w:val="003F7E70"/>
    <w:rsid w:val="004002A0"/>
    <w:rsid w:val="004002FC"/>
    <w:rsid w:val="00400610"/>
    <w:rsid w:val="004007B8"/>
    <w:rsid w:val="004013DF"/>
    <w:rsid w:val="00401981"/>
    <w:rsid w:val="00401B0E"/>
    <w:rsid w:val="00401F17"/>
    <w:rsid w:val="00402264"/>
    <w:rsid w:val="0040256F"/>
    <w:rsid w:val="00402AB0"/>
    <w:rsid w:val="0040384B"/>
    <w:rsid w:val="00403AFD"/>
    <w:rsid w:val="004040B5"/>
    <w:rsid w:val="00404C65"/>
    <w:rsid w:val="00405120"/>
    <w:rsid w:val="00405338"/>
    <w:rsid w:val="0040556A"/>
    <w:rsid w:val="00405C7C"/>
    <w:rsid w:val="00405E8B"/>
    <w:rsid w:val="00405EEA"/>
    <w:rsid w:val="0040618C"/>
    <w:rsid w:val="0040654F"/>
    <w:rsid w:val="004067E3"/>
    <w:rsid w:val="004069AA"/>
    <w:rsid w:val="00406DA5"/>
    <w:rsid w:val="00406F13"/>
    <w:rsid w:val="004077E2"/>
    <w:rsid w:val="004102C3"/>
    <w:rsid w:val="00410B6C"/>
    <w:rsid w:val="00410C72"/>
    <w:rsid w:val="00410C82"/>
    <w:rsid w:val="00410C8B"/>
    <w:rsid w:val="00410CFA"/>
    <w:rsid w:val="004116B9"/>
    <w:rsid w:val="004118EA"/>
    <w:rsid w:val="00412126"/>
    <w:rsid w:val="00412409"/>
    <w:rsid w:val="00412612"/>
    <w:rsid w:val="00412992"/>
    <w:rsid w:val="00412D38"/>
    <w:rsid w:val="004137DB"/>
    <w:rsid w:val="00414390"/>
    <w:rsid w:val="00414666"/>
    <w:rsid w:val="00414926"/>
    <w:rsid w:val="00414D59"/>
    <w:rsid w:val="00414ED6"/>
    <w:rsid w:val="004154CF"/>
    <w:rsid w:val="00416700"/>
    <w:rsid w:val="00416781"/>
    <w:rsid w:val="004168FD"/>
    <w:rsid w:val="00416933"/>
    <w:rsid w:val="00416C74"/>
    <w:rsid w:val="0041707B"/>
    <w:rsid w:val="004170A3"/>
    <w:rsid w:val="00417824"/>
    <w:rsid w:val="004179B9"/>
    <w:rsid w:val="0042015D"/>
    <w:rsid w:val="004201F1"/>
    <w:rsid w:val="00420987"/>
    <w:rsid w:val="00421635"/>
    <w:rsid w:val="0042207F"/>
    <w:rsid w:val="00422F7D"/>
    <w:rsid w:val="00423050"/>
    <w:rsid w:val="004233BB"/>
    <w:rsid w:val="00423698"/>
    <w:rsid w:val="00423E74"/>
    <w:rsid w:val="00423E92"/>
    <w:rsid w:val="00423ED0"/>
    <w:rsid w:val="0042439E"/>
    <w:rsid w:val="004244ED"/>
    <w:rsid w:val="00424BAC"/>
    <w:rsid w:val="00424C0A"/>
    <w:rsid w:val="00424FE0"/>
    <w:rsid w:val="004254F8"/>
    <w:rsid w:val="00425E1D"/>
    <w:rsid w:val="004264E0"/>
    <w:rsid w:val="004265BC"/>
    <w:rsid w:val="004269AD"/>
    <w:rsid w:val="00426BA3"/>
    <w:rsid w:val="00426DB4"/>
    <w:rsid w:val="004271C7"/>
    <w:rsid w:val="00427707"/>
    <w:rsid w:val="0042B355"/>
    <w:rsid w:val="00430363"/>
    <w:rsid w:val="00430E19"/>
    <w:rsid w:val="00431755"/>
    <w:rsid w:val="004319CC"/>
    <w:rsid w:val="00431BE2"/>
    <w:rsid w:val="004326CD"/>
    <w:rsid w:val="00432E78"/>
    <w:rsid w:val="00432F0C"/>
    <w:rsid w:val="00433688"/>
    <w:rsid w:val="00433946"/>
    <w:rsid w:val="00434483"/>
    <w:rsid w:val="0043472E"/>
    <w:rsid w:val="00434913"/>
    <w:rsid w:val="004349B3"/>
    <w:rsid w:val="00435223"/>
    <w:rsid w:val="004352FD"/>
    <w:rsid w:val="00435806"/>
    <w:rsid w:val="00435810"/>
    <w:rsid w:val="0043616E"/>
    <w:rsid w:val="004366AE"/>
    <w:rsid w:val="0043693E"/>
    <w:rsid w:val="00436A4C"/>
    <w:rsid w:val="00437074"/>
    <w:rsid w:val="00437180"/>
    <w:rsid w:val="00437181"/>
    <w:rsid w:val="0044034B"/>
    <w:rsid w:val="004409A8"/>
    <w:rsid w:val="00440EB4"/>
    <w:rsid w:val="00441270"/>
    <w:rsid w:val="00441671"/>
    <w:rsid w:val="00441D17"/>
    <w:rsid w:val="00441ED6"/>
    <w:rsid w:val="004421D8"/>
    <w:rsid w:val="004425FE"/>
    <w:rsid w:val="004430D7"/>
    <w:rsid w:val="0044319B"/>
    <w:rsid w:val="004432B2"/>
    <w:rsid w:val="0044371A"/>
    <w:rsid w:val="00443E57"/>
    <w:rsid w:val="00444144"/>
    <w:rsid w:val="00444579"/>
    <w:rsid w:val="00444876"/>
    <w:rsid w:val="004452A8"/>
    <w:rsid w:val="00445640"/>
    <w:rsid w:val="004459A9"/>
    <w:rsid w:val="0044604E"/>
    <w:rsid w:val="00446F27"/>
    <w:rsid w:val="00447277"/>
    <w:rsid w:val="00447348"/>
    <w:rsid w:val="0044735D"/>
    <w:rsid w:val="00447BB4"/>
    <w:rsid w:val="00450531"/>
    <w:rsid w:val="0045054F"/>
    <w:rsid w:val="00450751"/>
    <w:rsid w:val="00450830"/>
    <w:rsid w:val="00450FD6"/>
    <w:rsid w:val="004510C0"/>
    <w:rsid w:val="00451159"/>
    <w:rsid w:val="004511B6"/>
    <w:rsid w:val="00451594"/>
    <w:rsid w:val="00451BB9"/>
    <w:rsid w:val="004537AD"/>
    <w:rsid w:val="00453E81"/>
    <w:rsid w:val="004543D1"/>
    <w:rsid w:val="00454696"/>
    <w:rsid w:val="00454C85"/>
    <w:rsid w:val="00455082"/>
    <w:rsid w:val="004551B4"/>
    <w:rsid w:val="00455933"/>
    <w:rsid w:val="00455BE6"/>
    <w:rsid w:val="00456A04"/>
    <w:rsid w:val="00456EBB"/>
    <w:rsid w:val="00457681"/>
    <w:rsid w:val="00457C16"/>
    <w:rsid w:val="00457C3F"/>
    <w:rsid w:val="00457CF2"/>
    <w:rsid w:val="00460549"/>
    <w:rsid w:val="004607B1"/>
    <w:rsid w:val="004612A0"/>
    <w:rsid w:val="0046153B"/>
    <w:rsid w:val="004616FF"/>
    <w:rsid w:val="00461A27"/>
    <w:rsid w:val="00461C25"/>
    <w:rsid w:val="004622B1"/>
    <w:rsid w:val="0046251A"/>
    <w:rsid w:val="00462623"/>
    <w:rsid w:val="00462DF5"/>
    <w:rsid w:val="00462E1E"/>
    <w:rsid w:val="00463CF2"/>
    <w:rsid w:val="004645A2"/>
    <w:rsid w:val="00464A95"/>
    <w:rsid w:val="00464B9F"/>
    <w:rsid w:val="00464DC4"/>
    <w:rsid w:val="00465474"/>
    <w:rsid w:val="00465557"/>
    <w:rsid w:val="004662BB"/>
    <w:rsid w:val="004665AC"/>
    <w:rsid w:val="00466A25"/>
    <w:rsid w:val="00466A28"/>
    <w:rsid w:val="004670AB"/>
    <w:rsid w:val="004673B2"/>
    <w:rsid w:val="004673E9"/>
    <w:rsid w:val="00467A4F"/>
    <w:rsid w:val="00467AAB"/>
    <w:rsid w:val="00470B0F"/>
    <w:rsid w:val="00470D75"/>
    <w:rsid w:val="00470F5A"/>
    <w:rsid w:val="004718B9"/>
    <w:rsid w:val="004718D0"/>
    <w:rsid w:val="00471911"/>
    <w:rsid w:val="00471C26"/>
    <w:rsid w:val="004722B5"/>
    <w:rsid w:val="004724A8"/>
    <w:rsid w:val="004727D8"/>
    <w:rsid w:val="0047326B"/>
    <w:rsid w:val="00473B48"/>
    <w:rsid w:val="00473BEA"/>
    <w:rsid w:val="00473DF4"/>
    <w:rsid w:val="00474794"/>
    <w:rsid w:val="00474FA2"/>
    <w:rsid w:val="004752C6"/>
    <w:rsid w:val="004759ED"/>
    <w:rsid w:val="004761F6"/>
    <w:rsid w:val="00476598"/>
    <w:rsid w:val="00476D94"/>
    <w:rsid w:val="004771D3"/>
    <w:rsid w:val="00477A78"/>
    <w:rsid w:val="00477A92"/>
    <w:rsid w:val="00477B42"/>
    <w:rsid w:val="0048001C"/>
    <w:rsid w:val="004803EF"/>
    <w:rsid w:val="0048091A"/>
    <w:rsid w:val="00481533"/>
    <w:rsid w:val="00481805"/>
    <w:rsid w:val="00481BA8"/>
    <w:rsid w:val="00481F1A"/>
    <w:rsid w:val="00482087"/>
    <w:rsid w:val="004820FE"/>
    <w:rsid w:val="0048241D"/>
    <w:rsid w:val="0048258B"/>
    <w:rsid w:val="00482B37"/>
    <w:rsid w:val="004835A9"/>
    <w:rsid w:val="00484060"/>
    <w:rsid w:val="00484667"/>
    <w:rsid w:val="004849D9"/>
    <w:rsid w:val="00484A48"/>
    <w:rsid w:val="00485AD5"/>
    <w:rsid w:val="00486300"/>
    <w:rsid w:val="0048769B"/>
    <w:rsid w:val="00487EA6"/>
    <w:rsid w:val="00487F71"/>
    <w:rsid w:val="0049057E"/>
    <w:rsid w:val="00490EC9"/>
    <w:rsid w:val="00491328"/>
    <w:rsid w:val="004915E0"/>
    <w:rsid w:val="0049197B"/>
    <w:rsid w:val="00491C6F"/>
    <w:rsid w:val="004930C5"/>
    <w:rsid w:val="00493646"/>
    <w:rsid w:val="00493C34"/>
    <w:rsid w:val="00493D21"/>
    <w:rsid w:val="004944E3"/>
    <w:rsid w:val="00494C34"/>
    <w:rsid w:val="00495405"/>
    <w:rsid w:val="004955EF"/>
    <w:rsid w:val="004957BB"/>
    <w:rsid w:val="004957C1"/>
    <w:rsid w:val="00495EFA"/>
    <w:rsid w:val="00496163"/>
    <w:rsid w:val="00496764"/>
    <w:rsid w:val="004978E4"/>
    <w:rsid w:val="00497F24"/>
    <w:rsid w:val="00497F25"/>
    <w:rsid w:val="004A09A7"/>
    <w:rsid w:val="004A0A76"/>
    <w:rsid w:val="004A0D24"/>
    <w:rsid w:val="004A1404"/>
    <w:rsid w:val="004A187F"/>
    <w:rsid w:val="004A19C6"/>
    <w:rsid w:val="004A251F"/>
    <w:rsid w:val="004A277E"/>
    <w:rsid w:val="004A2902"/>
    <w:rsid w:val="004A4079"/>
    <w:rsid w:val="004A433C"/>
    <w:rsid w:val="004A44A5"/>
    <w:rsid w:val="004A4775"/>
    <w:rsid w:val="004A4A63"/>
    <w:rsid w:val="004A4C30"/>
    <w:rsid w:val="004A512C"/>
    <w:rsid w:val="004A569F"/>
    <w:rsid w:val="004A5927"/>
    <w:rsid w:val="004A5B27"/>
    <w:rsid w:val="004A67ED"/>
    <w:rsid w:val="004A6961"/>
    <w:rsid w:val="004A743D"/>
    <w:rsid w:val="004A7CA8"/>
    <w:rsid w:val="004A7ECB"/>
    <w:rsid w:val="004B07C7"/>
    <w:rsid w:val="004B10EC"/>
    <w:rsid w:val="004B1D76"/>
    <w:rsid w:val="004B1FC7"/>
    <w:rsid w:val="004B2686"/>
    <w:rsid w:val="004B2738"/>
    <w:rsid w:val="004B2BA8"/>
    <w:rsid w:val="004B2CB0"/>
    <w:rsid w:val="004B2DD1"/>
    <w:rsid w:val="004B2F51"/>
    <w:rsid w:val="004B30E8"/>
    <w:rsid w:val="004B3230"/>
    <w:rsid w:val="004B3A75"/>
    <w:rsid w:val="004B4592"/>
    <w:rsid w:val="004B4767"/>
    <w:rsid w:val="004B49CF"/>
    <w:rsid w:val="004B50E7"/>
    <w:rsid w:val="004B5AE4"/>
    <w:rsid w:val="004B6438"/>
    <w:rsid w:val="004B6596"/>
    <w:rsid w:val="004B6697"/>
    <w:rsid w:val="004B6717"/>
    <w:rsid w:val="004B692F"/>
    <w:rsid w:val="004B6B07"/>
    <w:rsid w:val="004B759C"/>
    <w:rsid w:val="004B7B8B"/>
    <w:rsid w:val="004B7C82"/>
    <w:rsid w:val="004B7D84"/>
    <w:rsid w:val="004C00B5"/>
    <w:rsid w:val="004C00EC"/>
    <w:rsid w:val="004C0300"/>
    <w:rsid w:val="004C031B"/>
    <w:rsid w:val="004C0756"/>
    <w:rsid w:val="004C0819"/>
    <w:rsid w:val="004C09EE"/>
    <w:rsid w:val="004C0B7A"/>
    <w:rsid w:val="004C0C97"/>
    <w:rsid w:val="004C1081"/>
    <w:rsid w:val="004C201A"/>
    <w:rsid w:val="004C2067"/>
    <w:rsid w:val="004C2ADC"/>
    <w:rsid w:val="004C2D79"/>
    <w:rsid w:val="004C2DA6"/>
    <w:rsid w:val="004C2EF1"/>
    <w:rsid w:val="004C321A"/>
    <w:rsid w:val="004C3331"/>
    <w:rsid w:val="004C351B"/>
    <w:rsid w:val="004C35C8"/>
    <w:rsid w:val="004C36B2"/>
    <w:rsid w:val="004C3746"/>
    <w:rsid w:val="004C375E"/>
    <w:rsid w:val="004C3AFD"/>
    <w:rsid w:val="004C4117"/>
    <w:rsid w:val="004C5B39"/>
    <w:rsid w:val="004C632B"/>
    <w:rsid w:val="004C6518"/>
    <w:rsid w:val="004C67C2"/>
    <w:rsid w:val="004C6CF3"/>
    <w:rsid w:val="004C71F1"/>
    <w:rsid w:val="004C725D"/>
    <w:rsid w:val="004C7A27"/>
    <w:rsid w:val="004C7F81"/>
    <w:rsid w:val="004D00E2"/>
    <w:rsid w:val="004D0384"/>
    <w:rsid w:val="004D0399"/>
    <w:rsid w:val="004D09D7"/>
    <w:rsid w:val="004D10AC"/>
    <w:rsid w:val="004D1449"/>
    <w:rsid w:val="004D1A3D"/>
    <w:rsid w:val="004D233E"/>
    <w:rsid w:val="004D24EB"/>
    <w:rsid w:val="004D27C6"/>
    <w:rsid w:val="004D2F6D"/>
    <w:rsid w:val="004D3125"/>
    <w:rsid w:val="004D3DE9"/>
    <w:rsid w:val="004D4140"/>
    <w:rsid w:val="004D4155"/>
    <w:rsid w:val="004D46AD"/>
    <w:rsid w:val="004D4946"/>
    <w:rsid w:val="004D5BB5"/>
    <w:rsid w:val="004D5DC1"/>
    <w:rsid w:val="004D653F"/>
    <w:rsid w:val="004D6C45"/>
    <w:rsid w:val="004D6DC7"/>
    <w:rsid w:val="004D6E51"/>
    <w:rsid w:val="004D745E"/>
    <w:rsid w:val="004D783F"/>
    <w:rsid w:val="004E0A9D"/>
    <w:rsid w:val="004E0DA2"/>
    <w:rsid w:val="004E14C8"/>
    <w:rsid w:val="004E18A6"/>
    <w:rsid w:val="004E1938"/>
    <w:rsid w:val="004E1CE4"/>
    <w:rsid w:val="004E1E81"/>
    <w:rsid w:val="004E22BD"/>
    <w:rsid w:val="004E2B3A"/>
    <w:rsid w:val="004E2BF9"/>
    <w:rsid w:val="004E3629"/>
    <w:rsid w:val="004E38F1"/>
    <w:rsid w:val="004E3D50"/>
    <w:rsid w:val="004E3E36"/>
    <w:rsid w:val="004E4202"/>
    <w:rsid w:val="004E4E79"/>
    <w:rsid w:val="004E57C4"/>
    <w:rsid w:val="004E5915"/>
    <w:rsid w:val="004E59C0"/>
    <w:rsid w:val="004E5C02"/>
    <w:rsid w:val="004E6527"/>
    <w:rsid w:val="004E66D7"/>
    <w:rsid w:val="004E6C97"/>
    <w:rsid w:val="004E71CC"/>
    <w:rsid w:val="004E75F4"/>
    <w:rsid w:val="004F03F2"/>
    <w:rsid w:val="004F0CFB"/>
    <w:rsid w:val="004F0F13"/>
    <w:rsid w:val="004F1034"/>
    <w:rsid w:val="004F10FD"/>
    <w:rsid w:val="004F152B"/>
    <w:rsid w:val="004F157A"/>
    <w:rsid w:val="004F171A"/>
    <w:rsid w:val="004F1888"/>
    <w:rsid w:val="004F1A7A"/>
    <w:rsid w:val="004F1AFC"/>
    <w:rsid w:val="004F1C83"/>
    <w:rsid w:val="004F25B9"/>
    <w:rsid w:val="004F2828"/>
    <w:rsid w:val="004F3309"/>
    <w:rsid w:val="004F37BD"/>
    <w:rsid w:val="004F4169"/>
    <w:rsid w:val="004F4318"/>
    <w:rsid w:val="004F453E"/>
    <w:rsid w:val="004F46AA"/>
    <w:rsid w:val="004F46B1"/>
    <w:rsid w:val="004F48D1"/>
    <w:rsid w:val="004F5015"/>
    <w:rsid w:val="004F5AAF"/>
    <w:rsid w:val="004F6743"/>
    <w:rsid w:val="004F694D"/>
    <w:rsid w:val="004F6C52"/>
    <w:rsid w:val="004F6DCF"/>
    <w:rsid w:val="004F73E8"/>
    <w:rsid w:val="004F7631"/>
    <w:rsid w:val="004F76C6"/>
    <w:rsid w:val="0050027F"/>
    <w:rsid w:val="00500317"/>
    <w:rsid w:val="00500322"/>
    <w:rsid w:val="005006DA"/>
    <w:rsid w:val="005008D1"/>
    <w:rsid w:val="00501182"/>
    <w:rsid w:val="0050145A"/>
    <w:rsid w:val="005017A1"/>
    <w:rsid w:val="0050183B"/>
    <w:rsid w:val="00501A82"/>
    <w:rsid w:val="00501D83"/>
    <w:rsid w:val="00502731"/>
    <w:rsid w:val="00502844"/>
    <w:rsid w:val="00502ABA"/>
    <w:rsid w:val="0050367B"/>
    <w:rsid w:val="00503D36"/>
    <w:rsid w:val="00504244"/>
    <w:rsid w:val="00505114"/>
    <w:rsid w:val="0050668B"/>
    <w:rsid w:val="005067B0"/>
    <w:rsid w:val="00506BB6"/>
    <w:rsid w:val="00507039"/>
    <w:rsid w:val="0050718F"/>
    <w:rsid w:val="005075BF"/>
    <w:rsid w:val="0050784D"/>
    <w:rsid w:val="0050791A"/>
    <w:rsid w:val="00507C92"/>
    <w:rsid w:val="0051008C"/>
    <w:rsid w:val="0051071A"/>
    <w:rsid w:val="00510C3D"/>
    <w:rsid w:val="00510C81"/>
    <w:rsid w:val="005113D5"/>
    <w:rsid w:val="00511578"/>
    <w:rsid w:val="00511693"/>
    <w:rsid w:val="005119B0"/>
    <w:rsid w:val="00511FC0"/>
    <w:rsid w:val="00512685"/>
    <w:rsid w:val="00512A6D"/>
    <w:rsid w:val="00513915"/>
    <w:rsid w:val="00513CB9"/>
    <w:rsid w:val="00513E6C"/>
    <w:rsid w:val="0051405E"/>
    <w:rsid w:val="005142DB"/>
    <w:rsid w:val="0051501B"/>
    <w:rsid w:val="005155FE"/>
    <w:rsid w:val="00515F87"/>
    <w:rsid w:val="005164D4"/>
    <w:rsid w:val="00516AE3"/>
    <w:rsid w:val="00516E20"/>
    <w:rsid w:val="00516F0D"/>
    <w:rsid w:val="005175A0"/>
    <w:rsid w:val="00517C23"/>
    <w:rsid w:val="005201BC"/>
    <w:rsid w:val="005201D4"/>
    <w:rsid w:val="0052091B"/>
    <w:rsid w:val="00520C5D"/>
    <w:rsid w:val="00521033"/>
    <w:rsid w:val="00521276"/>
    <w:rsid w:val="005216EF"/>
    <w:rsid w:val="00521D18"/>
    <w:rsid w:val="0052264A"/>
    <w:rsid w:val="00522F68"/>
    <w:rsid w:val="005233C9"/>
    <w:rsid w:val="00523958"/>
    <w:rsid w:val="00523F69"/>
    <w:rsid w:val="00524934"/>
    <w:rsid w:val="005251EF"/>
    <w:rsid w:val="0052545B"/>
    <w:rsid w:val="00525507"/>
    <w:rsid w:val="005256D4"/>
    <w:rsid w:val="00526132"/>
    <w:rsid w:val="0052629E"/>
    <w:rsid w:val="005263D6"/>
    <w:rsid w:val="00526662"/>
    <w:rsid w:val="0052688A"/>
    <w:rsid w:val="00527343"/>
    <w:rsid w:val="005274E2"/>
    <w:rsid w:val="00527EC0"/>
    <w:rsid w:val="005301B1"/>
    <w:rsid w:val="00530D6C"/>
    <w:rsid w:val="00531306"/>
    <w:rsid w:val="00531359"/>
    <w:rsid w:val="0053144A"/>
    <w:rsid w:val="00531761"/>
    <w:rsid w:val="00531F5D"/>
    <w:rsid w:val="0053203B"/>
    <w:rsid w:val="00532E4F"/>
    <w:rsid w:val="00532FA6"/>
    <w:rsid w:val="00533257"/>
    <w:rsid w:val="005337A8"/>
    <w:rsid w:val="005339F4"/>
    <w:rsid w:val="00533D8C"/>
    <w:rsid w:val="00533F56"/>
    <w:rsid w:val="00533FF8"/>
    <w:rsid w:val="005342D4"/>
    <w:rsid w:val="00534523"/>
    <w:rsid w:val="005345AE"/>
    <w:rsid w:val="005360F6"/>
    <w:rsid w:val="00536877"/>
    <w:rsid w:val="00536D92"/>
    <w:rsid w:val="00537082"/>
    <w:rsid w:val="0053710C"/>
    <w:rsid w:val="00537BD2"/>
    <w:rsid w:val="005400C8"/>
    <w:rsid w:val="005402F0"/>
    <w:rsid w:val="005403C0"/>
    <w:rsid w:val="005409B8"/>
    <w:rsid w:val="00540E91"/>
    <w:rsid w:val="00540F05"/>
    <w:rsid w:val="00541336"/>
    <w:rsid w:val="00541399"/>
    <w:rsid w:val="00541498"/>
    <w:rsid w:val="0054151F"/>
    <w:rsid w:val="00541B6C"/>
    <w:rsid w:val="005422F4"/>
    <w:rsid w:val="00542707"/>
    <w:rsid w:val="005430E7"/>
    <w:rsid w:val="00543197"/>
    <w:rsid w:val="0054357F"/>
    <w:rsid w:val="00543E44"/>
    <w:rsid w:val="00543EC8"/>
    <w:rsid w:val="00543F84"/>
    <w:rsid w:val="00543FDE"/>
    <w:rsid w:val="0054411E"/>
    <w:rsid w:val="00544FF4"/>
    <w:rsid w:val="005458F5"/>
    <w:rsid w:val="0054624A"/>
    <w:rsid w:val="00546402"/>
    <w:rsid w:val="00546B85"/>
    <w:rsid w:val="00546D5D"/>
    <w:rsid w:val="00546DC7"/>
    <w:rsid w:val="00546E02"/>
    <w:rsid w:val="00547768"/>
    <w:rsid w:val="00547A89"/>
    <w:rsid w:val="00547D22"/>
    <w:rsid w:val="00547D81"/>
    <w:rsid w:val="00550BA0"/>
    <w:rsid w:val="005518B0"/>
    <w:rsid w:val="005519F9"/>
    <w:rsid w:val="005522EF"/>
    <w:rsid w:val="0055275B"/>
    <w:rsid w:val="00552C01"/>
    <w:rsid w:val="00552DEC"/>
    <w:rsid w:val="0055328E"/>
    <w:rsid w:val="005534DF"/>
    <w:rsid w:val="00553A56"/>
    <w:rsid w:val="00553F4C"/>
    <w:rsid w:val="00554398"/>
    <w:rsid w:val="005543DD"/>
    <w:rsid w:val="00554DCD"/>
    <w:rsid w:val="00555B86"/>
    <w:rsid w:val="00555D6B"/>
    <w:rsid w:val="00555EA3"/>
    <w:rsid w:val="00556024"/>
    <w:rsid w:val="005562FE"/>
    <w:rsid w:val="00556442"/>
    <w:rsid w:val="00556448"/>
    <w:rsid w:val="00556691"/>
    <w:rsid w:val="005569A3"/>
    <w:rsid w:val="00556D02"/>
    <w:rsid w:val="00556F24"/>
    <w:rsid w:val="005570B5"/>
    <w:rsid w:val="00557104"/>
    <w:rsid w:val="00557491"/>
    <w:rsid w:val="005577C1"/>
    <w:rsid w:val="00557995"/>
    <w:rsid w:val="00557A10"/>
    <w:rsid w:val="0056022A"/>
    <w:rsid w:val="00560649"/>
    <w:rsid w:val="00560B7C"/>
    <w:rsid w:val="0056122D"/>
    <w:rsid w:val="0056125F"/>
    <w:rsid w:val="00561516"/>
    <w:rsid w:val="00561B8F"/>
    <w:rsid w:val="00561F73"/>
    <w:rsid w:val="00562284"/>
    <w:rsid w:val="00562AC1"/>
    <w:rsid w:val="00563B72"/>
    <w:rsid w:val="00563F2E"/>
    <w:rsid w:val="005644F5"/>
    <w:rsid w:val="00564E36"/>
    <w:rsid w:val="0056539B"/>
    <w:rsid w:val="005654F1"/>
    <w:rsid w:val="005655F3"/>
    <w:rsid w:val="0056580B"/>
    <w:rsid w:val="00565BB0"/>
    <w:rsid w:val="005665B0"/>
    <w:rsid w:val="00566AD1"/>
    <w:rsid w:val="005670D0"/>
    <w:rsid w:val="005676B5"/>
    <w:rsid w:val="005679C2"/>
    <w:rsid w:val="005701B6"/>
    <w:rsid w:val="005705AE"/>
    <w:rsid w:val="00570B69"/>
    <w:rsid w:val="005719DE"/>
    <w:rsid w:val="00571E41"/>
    <w:rsid w:val="00572212"/>
    <w:rsid w:val="005729EA"/>
    <w:rsid w:val="00572A44"/>
    <w:rsid w:val="005732B6"/>
    <w:rsid w:val="005738B2"/>
    <w:rsid w:val="00573A74"/>
    <w:rsid w:val="005740F4"/>
    <w:rsid w:val="005743D3"/>
    <w:rsid w:val="0057497F"/>
    <w:rsid w:val="00574C2E"/>
    <w:rsid w:val="00574F28"/>
    <w:rsid w:val="0057524A"/>
    <w:rsid w:val="00575A59"/>
    <w:rsid w:val="00575C00"/>
    <w:rsid w:val="00575FC5"/>
    <w:rsid w:val="00576015"/>
    <w:rsid w:val="00576DB0"/>
    <w:rsid w:val="0057713C"/>
    <w:rsid w:val="005775D3"/>
    <w:rsid w:val="005778D4"/>
    <w:rsid w:val="00577C42"/>
    <w:rsid w:val="00577C95"/>
    <w:rsid w:val="005800AC"/>
    <w:rsid w:val="005801AB"/>
    <w:rsid w:val="00580858"/>
    <w:rsid w:val="00580C9F"/>
    <w:rsid w:val="00580FCE"/>
    <w:rsid w:val="0058143A"/>
    <w:rsid w:val="00581692"/>
    <w:rsid w:val="00581840"/>
    <w:rsid w:val="00581976"/>
    <w:rsid w:val="00581AAF"/>
    <w:rsid w:val="00582832"/>
    <w:rsid w:val="00582C40"/>
    <w:rsid w:val="00582DED"/>
    <w:rsid w:val="00584394"/>
    <w:rsid w:val="005844C3"/>
    <w:rsid w:val="005847C2"/>
    <w:rsid w:val="00585820"/>
    <w:rsid w:val="0058676D"/>
    <w:rsid w:val="00586B12"/>
    <w:rsid w:val="00586CF2"/>
    <w:rsid w:val="0058730A"/>
    <w:rsid w:val="00587778"/>
    <w:rsid w:val="0058793B"/>
    <w:rsid w:val="00587F61"/>
    <w:rsid w:val="00591050"/>
    <w:rsid w:val="00591298"/>
    <w:rsid w:val="005925CB"/>
    <w:rsid w:val="00592656"/>
    <w:rsid w:val="00594109"/>
    <w:rsid w:val="005943FF"/>
    <w:rsid w:val="00594463"/>
    <w:rsid w:val="00594490"/>
    <w:rsid w:val="00594693"/>
    <w:rsid w:val="00594780"/>
    <w:rsid w:val="005949A5"/>
    <w:rsid w:val="00595573"/>
    <w:rsid w:val="0059577E"/>
    <w:rsid w:val="005964DF"/>
    <w:rsid w:val="005964F6"/>
    <w:rsid w:val="00596F6E"/>
    <w:rsid w:val="00597555"/>
    <w:rsid w:val="00597F85"/>
    <w:rsid w:val="005A0475"/>
    <w:rsid w:val="005A0504"/>
    <w:rsid w:val="005A051A"/>
    <w:rsid w:val="005A0C9F"/>
    <w:rsid w:val="005A0D53"/>
    <w:rsid w:val="005A0DE7"/>
    <w:rsid w:val="005A0E9D"/>
    <w:rsid w:val="005A1E8F"/>
    <w:rsid w:val="005A2343"/>
    <w:rsid w:val="005A248A"/>
    <w:rsid w:val="005A25BC"/>
    <w:rsid w:val="005A28FC"/>
    <w:rsid w:val="005A2995"/>
    <w:rsid w:val="005A332A"/>
    <w:rsid w:val="005A3CAE"/>
    <w:rsid w:val="005A3D55"/>
    <w:rsid w:val="005A434A"/>
    <w:rsid w:val="005A4FCA"/>
    <w:rsid w:val="005A5292"/>
    <w:rsid w:val="005A5B2D"/>
    <w:rsid w:val="005A68A2"/>
    <w:rsid w:val="005A6C5B"/>
    <w:rsid w:val="005A796B"/>
    <w:rsid w:val="005A79F1"/>
    <w:rsid w:val="005A7C01"/>
    <w:rsid w:val="005B0225"/>
    <w:rsid w:val="005B060E"/>
    <w:rsid w:val="005B0AF3"/>
    <w:rsid w:val="005B0B90"/>
    <w:rsid w:val="005B15AF"/>
    <w:rsid w:val="005B179D"/>
    <w:rsid w:val="005B1A99"/>
    <w:rsid w:val="005B1F38"/>
    <w:rsid w:val="005B241C"/>
    <w:rsid w:val="005B27D0"/>
    <w:rsid w:val="005B294A"/>
    <w:rsid w:val="005B29F8"/>
    <w:rsid w:val="005B2BBC"/>
    <w:rsid w:val="005B34EC"/>
    <w:rsid w:val="005B353D"/>
    <w:rsid w:val="005B4B6E"/>
    <w:rsid w:val="005B4F40"/>
    <w:rsid w:val="005B512B"/>
    <w:rsid w:val="005B53F3"/>
    <w:rsid w:val="005B5453"/>
    <w:rsid w:val="005B54E6"/>
    <w:rsid w:val="005B56ED"/>
    <w:rsid w:val="005B5939"/>
    <w:rsid w:val="005B5E8F"/>
    <w:rsid w:val="005B60C3"/>
    <w:rsid w:val="005B62D3"/>
    <w:rsid w:val="005B697D"/>
    <w:rsid w:val="005B6D80"/>
    <w:rsid w:val="005B714A"/>
    <w:rsid w:val="005B7B32"/>
    <w:rsid w:val="005B7B76"/>
    <w:rsid w:val="005B7F80"/>
    <w:rsid w:val="005C0045"/>
    <w:rsid w:val="005C00D6"/>
    <w:rsid w:val="005C0C7A"/>
    <w:rsid w:val="005C148D"/>
    <w:rsid w:val="005C1943"/>
    <w:rsid w:val="005C1C4A"/>
    <w:rsid w:val="005C2213"/>
    <w:rsid w:val="005C27D7"/>
    <w:rsid w:val="005C28A4"/>
    <w:rsid w:val="005C2A43"/>
    <w:rsid w:val="005C2BA7"/>
    <w:rsid w:val="005C334A"/>
    <w:rsid w:val="005C3519"/>
    <w:rsid w:val="005C4183"/>
    <w:rsid w:val="005C43AA"/>
    <w:rsid w:val="005C44E6"/>
    <w:rsid w:val="005C45B1"/>
    <w:rsid w:val="005C46F8"/>
    <w:rsid w:val="005C4842"/>
    <w:rsid w:val="005C523B"/>
    <w:rsid w:val="005C5303"/>
    <w:rsid w:val="005C59FD"/>
    <w:rsid w:val="005C5AD2"/>
    <w:rsid w:val="005C5EC7"/>
    <w:rsid w:val="005C63D9"/>
    <w:rsid w:val="005C641F"/>
    <w:rsid w:val="005C69B1"/>
    <w:rsid w:val="005C6C35"/>
    <w:rsid w:val="005C6E36"/>
    <w:rsid w:val="005C7655"/>
    <w:rsid w:val="005C7954"/>
    <w:rsid w:val="005C7BCE"/>
    <w:rsid w:val="005C7C79"/>
    <w:rsid w:val="005D06FF"/>
    <w:rsid w:val="005D079D"/>
    <w:rsid w:val="005D08D1"/>
    <w:rsid w:val="005D0D8D"/>
    <w:rsid w:val="005D0E23"/>
    <w:rsid w:val="005D0E26"/>
    <w:rsid w:val="005D1445"/>
    <w:rsid w:val="005D1837"/>
    <w:rsid w:val="005D2087"/>
    <w:rsid w:val="005D2C28"/>
    <w:rsid w:val="005D2D7A"/>
    <w:rsid w:val="005D2DDF"/>
    <w:rsid w:val="005D3015"/>
    <w:rsid w:val="005D3CB2"/>
    <w:rsid w:val="005D40AD"/>
    <w:rsid w:val="005D4456"/>
    <w:rsid w:val="005D496A"/>
    <w:rsid w:val="005D4B59"/>
    <w:rsid w:val="005D5078"/>
    <w:rsid w:val="005D50B6"/>
    <w:rsid w:val="005D5240"/>
    <w:rsid w:val="005D527C"/>
    <w:rsid w:val="005D532F"/>
    <w:rsid w:val="005D543D"/>
    <w:rsid w:val="005D55C3"/>
    <w:rsid w:val="005D56D8"/>
    <w:rsid w:val="005D57A4"/>
    <w:rsid w:val="005D643A"/>
    <w:rsid w:val="005D6E2F"/>
    <w:rsid w:val="005D7050"/>
    <w:rsid w:val="005D743D"/>
    <w:rsid w:val="005D74C2"/>
    <w:rsid w:val="005D7D55"/>
    <w:rsid w:val="005E01D7"/>
    <w:rsid w:val="005E0AD4"/>
    <w:rsid w:val="005E0BDB"/>
    <w:rsid w:val="005E1170"/>
    <w:rsid w:val="005E1674"/>
    <w:rsid w:val="005E17FD"/>
    <w:rsid w:val="005E1C40"/>
    <w:rsid w:val="005E1D74"/>
    <w:rsid w:val="005E1F0B"/>
    <w:rsid w:val="005E26D4"/>
    <w:rsid w:val="005E28E3"/>
    <w:rsid w:val="005E301E"/>
    <w:rsid w:val="005E3895"/>
    <w:rsid w:val="005E38AB"/>
    <w:rsid w:val="005E3E32"/>
    <w:rsid w:val="005E4033"/>
    <w:rsid w:val="005E423F"/>
    <w:rsid w:val="005E449F"/>
    <w:rsid w:val="005E44B1"/>
    <w:rsid w:val="005E4862"/>
    <w:rsid w:val="005E4E47"/>
    <w:rsid w:val="005E519A"/>
    <w:rsid w:val="005E531B"/>
    <w:rsid w:val="005E53E0"/>
    <w:rsid w:val="005E58DC"/>
    <w:rsid w:val="005E608D"/>
    <w:rsid w:val="005E643E"/>
    <w:rsid w:val="005E67A9"/>
    <w:rsid w:val="005E680D"/>
    <w:rsid w:val="005E7152"/>
    <w:rsid w:val="005E767D"/>
    <w:rsid w:val="005F0394"/>
    <w:rsid w:val="005F0B74"/>
    <w:rsid w:val="005F0B7C"/>
    <w:rsid w:val="005F0CCD"/>
    <w:rsid w:val="005F0FE5"/>
    <w:rsid w:val="005F113F"/>
    <w:rsid w:val="005F12D8"/>
    <w:rsid w:val="005F15E0"/>
    <w:rsid w:val="005F2968"/>
    <w:rsid w:val="005F2CB0"/>
    <w:rsid w:val="005F3402"/>
    <w:rsid w:val="005F34D0"/>
    <w:rsid w:val="005F3B15"/>
    <w:rsid w:val="005F3D48"/>
    <w:rsid w:val="005F40B8"/>
    <w:rsid w:val="005F45C7"/>
    <w:rsid w:val="005F47D1"/>
    <w:rsid w:val="005F4803"/>
    <w:rsid w:val="005F4F52"/>
    <w:rsid w:val="005F545B"/>
    <w:rsid w:val="005F5D9E"/>
    <w:rsid w:val="005F604B"/>
    <w:rsid w:val="005F6508"/>
    <w:rsid w:val="005F721D"/>
    <w:rsid w:val="005F7658"/>
    <w:rsid w:val="005F7755"/>
    <w:rsid w:val="005F7870"/>
    <w:rsid w:val="005F78AD"/>
    <w:rsid w:val="005F79CC"/>
    <w:rsid w:val="005F7CBF"/>
    <w:rsid w:val="006001C9"/>
    <w:rsid w:val="0060022A"/>
    <w:rsid w:val="006007D0"/>
    <w:rsid w:val="00600C9D"/>
    <w:rsid w:val="006014F0"/>
    <w:rsid w:val="00601743"/>
    <w:rsid w:val="00601D56"/>
    <w:rsid w:val="00601FFA"/>
    <w:rsid w:val="0060293A"/>
    <w:rsid w:val="00602F1C"/>
    <w:rsid w:val="00603450"/>
    <w:rsid w:val="00603B0A"/>
    <w:rsid w:val="00603B12"/>
    <w:rsid w:val="00603BD1"/>
    <w:rsid w:val="00603FC1"/>
    <w:rsid w:val="0060410A"/>
    <w:rsid w:val="00604943"/>
    <w:rsid w:val="00605767"/>
    <w:rsid w:val="00605B41"/>
    <w:rsid w:val="00605B63"/>
    <w:rsid w:val="0060601A"/>
    <w:rsid w:val="00606888"/>
    <w:rsid w:val="00606A58"/>
    <w:rsid w:val="00606EED"/>
    <w:rsid w:val="00607C91"/>
    <w:rsid w:val="00607F0C"/>
    <w:rsid w:val="0061034A"/>
    <w:rsid w:val="0061124C"/>
    <w:rsid w:val="00611C7C"/>
    <w:rsid w:val="0061232F"/>
    <w:rsid w:val="00612936"/>
    <w:rsid w:val="00612A67"/>
    <w:rsid w:val="00612B2C"/>
    <w:rsid w:val="00612EB5"/>
    <w:rsid w:val="00613239"/>
    <w:rsid w:val="0061381E"/>
    <w:rsid w:val="0061406E"/>
    <w:rsid w:val="0061440B"/>
    <w:rsid w:val="00614880"/>
    <w:rsid w:val="00614CFC"/>
    <w:rsid w:val="00614EC0"/>
    <w:rsid w:val="00615328"/>
    <w:rsid w:val="006159CC"/>
    <w:rsid w:val="00615C19"/>
    <w:rsid w:val="006163D3"/>
    <w:rsid w:val="00616C1B"/>
    <w:rsid w:val="00617301"/>
    <w:rsid w:val="006173D0"/>
    <w:rsid w:val="0061754A"/>
    <w:rsid w:val="006177CD"/>
    <w:rsid w:val="00617996"/>
    <w:rsid w:val="006201D7"/>
    <w:rsid w:val="0062140D"/>
    <w:rsid w:val="00621B2E"/>
    <w:rsid w:val="00621D57"/>
    <w:rsid w:val="00622C92"/>
    <w:rsid w:val="0062338C"/>
    <w:rsid w:val="006234A7"/>
    <w:rsid w:val="006235CA"/>
    <w:rsid w:val="006243DF"/>
    <w:rsid w:val="00624534"/>
    <w:rsid w:val="006251F9"/>
    <w:rsid w:val="00625E49"/>
    <w:rsid w:val="00625E97"/>
    <w:rsid w:val="00626008"/>
    <w:rsid w:val="006268C9"/>
    <w:rsid w:val="00626CA4"/>
    <w:rsid w:val="00627174"/>
    <w:rsid w:val="006271DB"/>
    <w:rsid w:val="0063053F"/>
    <w:rsid w:val="00630D43"/>
    <w:rsid w:val="00631120"/>
    <w:rsid w:val="0063187C"/>
    <w:rsid w:val="00631D71"/>
    <w:rsid w:val="00632679"/>
    <w:rsid w:val="006329DB"/>
    <w:rsid w:val="00632BA5"/>
    <w:rsid w:val="00632D9D"/>
    <w:rsid w:val="00633839"/>
    <w:rsid w:val="006338EE"/>
    <w:rsid w:val="00633914"/>
    <w:rsid w:val="00633960"/>
    <w:rsid w:val="006339A3"/>
    <w:rsid w:val="00633A93"/>
    <w:rsid w:val="00634599"/>
    <w:rsid w:val="006353D1"/>
    <w:rsid w:val="00635D86"/>
    <w:rsid w:val="00636564"/>
    <w:rsid w:val="0063667D"/>
    <w:rsid w:val="0063680E"/>
    <w:rsid w:val="00636DB5"/>
    <w:rsid w:val="0063713B"/>
    <w:rsid w:val="006375B5"/>
    <w:rsid w:val="00637C62"/>
    <w:rsid w:val="00637EA8"/>
    <w:rsid w:val="006403CB"/>
    <w:rsid w:val="00640676"/>
    <w:rsid w:val="0064098C"/>
    <w:rsid w:val="00640A9F"/>
    <w:rsid w:val="00640AA5"/>
    <w:rsid w:val="00640F6C"/>
    <w:rsid w:val="006411BA"/>
    <w:rsid w:val="00641D4A"/>
    <w:rsid w:val="00641E93"/>
    <w:rsid w:val="0064205D"/>
    <w:rsid w:val="006420F2"/>
    <w:rsid w:val="00642275"/>
    <w:rsid w:val="006424F1"/>
    <w:rsid w:val="006427AA"/>
    <w:rsid w:val="006429D7"/>
    <w:rsid w:val="006438CF"/>
    <w:rsid w:val="006443B3"/>
    <w:rsid w:val="006448A0"/>
    <w:rsid w:val="00645C2E"/>
    <w:rsid w:val="0064668A"/>
    <w:rsid w:val="00646885"/>
    <w:rsid w:val="006472BB"/>
    <w:rsid w:val="006472D6"/>
    <w:rsid w:val="00647E51"/>
    <w:rsid w:val="00647F5C"/>
    <w:rsid w:val="0065042A"/>
    <w:rsid w:val="00650661"/>
    <w:rsid w:val="0065066D"/>
    <w:rsid w:val="00650A98"/>
    <w:rsid w:val="00650D47"/>
    <w:rsid w:val="006519C2"/>
    <w:rsid w:val="00651AE4"/>
    <w:rsid w:val="00651D92"/>
    <w:rsid w:val="00651E8F"/>
    <w:rsid w:val="00651F89"/>
    <w:rsid w:val="0065258A"/>
    <w:rsid w:val="00652D97"/>
    <w:rsid w:val="00653204"/>
    <w:rsid w:val="0065481C"/>
    <w:rsid w:val="0065485D"/>
    <w:rsid w:val="006565C9"/>
    <w:rsid w:val="006566D2"/>
    <w:rsid w:val="006567AC"/>
    <w:rsid w:val="00656F08"/>
    <w:rsid w:val="00657D2D"/>
    <w:rsid w:val="00657F02"/>
    <w:rsid w:val="00660096"/>
    <w:rsid w:val="00660B6C"/>
    <w:rsid w:val="006611BA"/>
    <w:rsid w:val="00661505"/>
    <w:rsid w:val="00661576"/>
    <w:rsid w:val="0066160A"/>
    <w:rsid w:val="00661815"/>
    <w:rsid w:val="00661D00"/>
    <w:rsid w:val="00662588"/>
    <w:rsid w:val="006628FA"/>
    <w:rsid w:val="00662EF2"/>
    <w:rsid w:val="00662F03"/>
    <w:rsid w:val="006633D7"/>
    <w:rsid w:val="00663812"/>
    <w:rsid w:val="00663BEB"/>
    <w:rsid w:val="00663CE6"/>
    <w:rsid w:val="00663DF5"/>
    <w:rsid w:val="00663EAD"/>
    <w:rsid w:val="00663F01"/>
    <w:rsid w:val="00663FA6"/>
    <w:rsid w:val="006642D3"/>
    <w:rsid w:val="0066436E"/>
    <w:rsid w:val="0066452E"/>
    <w:rsid w:val="00664734"/>
    <w:rsid w:val="00664BC7"/>
    <w:rsid w:val="00664CC2"/>
    <w:rsid w:val="0066546D"/>
    <w:rsid w:val="00665B03"/>
    <w:rsid w:val="00665FAD"/>
    <w:rsid w:val="00667F2D"/>
    <w:rsid w:val="00670C9B"/>
    <w:rsid w:val="00671375"/>
    <w:rsid w:val="006713A1"/>
    <w:rsid w:val="00671815"/>
    <w:rsid w:val="006719C9"/>
    <w:rsid w:val="00671E5A"/>
    <w:rsid w:val="006723C2"/>
    <w:rsid w:val="006724C2"/>
    <w:rsid w:val="0067263B"/>
    <w:rsid w:val="006727C3"/>
    <w:rsid w:val="0067291A"/>
    <w:rsid w:val="0067366D"/>
    <w:rsid w:val="006736DF"/>
    <w:rsid w:val="00674902"/>
    <w:rsid w:val="00674B01"/>
    <w:rsid w:val="0067505C"/>
    <w:rsid w:val="006750D2"/>
    <w:rsid w:val="00675685"/>
    <w:rsid w:val="006758B1"/>
    <w:rsid w:val="00675B34"/>
    <w:rsid w:val="006762E5"/>
    <w:rsid w:val="00676685"/>
    <w:rsid w:val="00676957"/>
    <w:rsid w:val="00676C2E"/>
    <w:rsid w:val="0067719A"/>
    <w:rsid w:val="00677E3F"/>
    <w:rsid w:val="00680731"/>
    <w:rsid w:val="00680792"/>
    <w:rsid w:val="0068098C"/>
    <w:rsid w:val="00680F41"/>
    <w:rsid w:val="0068160C"/>
    <w:rsid w:val="006818F4"/>
    <w:rsid w:val="00681F6D"/>
    <w:rsid w:val="00681FF0"/>
    <w:rsid w:val="006823F6"/>
    <w:rsid w:val="0068259F"/>
    <w:rsid w:val="00683566"/>
    <w:rsid w:val="006848BA"/>
    <w:rsid w:val="00684995"/>
    <w:rsid w:val="0068528D"/>
    <w:rsid w:val="006854EA"/>
    <w:rsid w:val="00685BF1"/>
    <w:rsid w:val="00685E8C"/>
    <w:rsid w:val="00686011"/>
    <w:rsid w:val="00686436"/>
    <w:rsid w:val="0068695E"/>
    <w:rsid w:val="006877C6"/>
    <w:rsid w:val="006901DA"/>
    <w:rsid w:val="00690D3F"/>
    <w:rsid w:val="00691085"/>
    <w:rsid w:val="0069207F"/>
    <w:rsid w:val="00692118"/>
    <w:rsid w:val="006922FF"/>
    <w:rsid w:val="006925C1"/>
    <w:rsid w:val="00692A97"/>
    <w:rsid w:val="0069326F"/>
    <w:rsid w:val="006938AF"/>
    <w:rsid w:val="006938C5"/>
    <w:rsid w:val="0069395D"/>
    <w:rsid w:val="0069395E"/>
    <w:rsid w:val="00693E45"/>
    <w:rsid w:val="00693FAA"/>
    <w:rsid w:val="0069424F"/>
    <w:rsid w:val="0069428F"/>
    <w:rsid w:val="00695083"/>
    <w:rsid w:val="006956A9"/>
    <w:rsid w:val="0069597D"/>
    <w:rsid w:val="006962F3"/>
    <w:rsid w:val="006964ED"/>
    <w:rsid w:val="0069662E"/>
    <w:rsid w:val="00696C23"/>
    <w:rsid w:val="00696D3A"/>
    <w:rsid w:val="00696FF6"/>
    <w:rsid w:val="006974AB"/>
    <w:rsid w:val="00697BFC"/>
    <w:rsid w:val="00697F5C"/>
    <w:rsid w:val="00697FD8"/>
    <w:rsid w:val="00697FDB"/>
    <w:rsid w:val="006A017D"/>
    <w:rsid w:val="006A04CA"/>
    <w:rsid w:val="006A092C"/>
    <w:rsid w:val="006A0ABF"/>
    <w:rsid w:val="006A1078"/>
    <w:rsid w:val="006A117A"/>
    <w:rsid w:val="006A12C0"/>
    <w:rsid w:val="006A131D"/>
    <w:rsid w:val="006A13C1"/>
    <w:rsid w:val="006A17CA"/>
    <w:rsid w:val="006A18B2"/>
    <w:rsid w:val="006A1DF3"/>
    <w:rsid w:val="006A1ED1"/>
    <w:rsid w:val="006A2637"/>
    <w:rsid w:val="006A2726"/>
    <w:rsid w:val="006A2795"/>
    <w:rsid w:val="006A4488"/>
    <w:rsid w:val="006A4A38"/>
    <w:rsid w:val="006A4DC5"/>
    <w:rsid w:val="006A529E"/>
    <w:rsid w:val="006A5D0B"/>
    <w:rsid w:val="006A6075"/>
    <w:rsid w:val="006A6D6D"/>
    <w:rsid w:val="006A6DD8"/>
    <w:rsid w:val="006A709B"/>
    <w:rsid w:val="006A7A52"/>
    <w:rsid w:val="006A7AA0"/>
    <w:rsid w:val="006B042E"/>
    <w:rsid w:val="006B07D8"/>
    <w:rsid w:val="006B085F"/>
    <w:rsid w:val="006B089B"/>
    <w:rsid w:val="006B0CCB"/>
    <w:rsid w:val="006B0F8A"/>
    <w:rsid w:val="006B1738"/>
    <w:rsid w:val="006B180E"/>
    <w:rsid w:val="006B1C4B"/>
    <w:rsid w:val="006B22E4"/>
    <w:rsid w:val="006B2432"/>
    <w:rsid w:val="006B269B"/>
    <w:rsid w:val="006B2941"/>
    <w:rsid w:val="006B2AF2"/>
    <w:rsid w:val="006B317B"/>
    <w:rsid w:val="006B3208"/>
    <w:rsid w:val="006B3301"/>
    <w:rsid w:val="006B340A"/>
    <w:rsid w:val="006B3E41"/>
    <w:rsid w:val="006B4248"/>
    <w:rsid w:val="006B47FD"/>
    <w:rsid w:val="006B48A5"/>
    <w:rsid w:val="006B4A7D"/>
    <w:rsid w:val="006B4A82"/>
    <w:rsid w:val="006B4D7D"/>
    <w:rsid w:val="006B4F24"/>
    <w:rsid w:val="006B50F5"/>
    <w:rsid w:val="006B56FC"/>
    <w:rsid w:val="006B577B"/>
    <w:rsid w:val="006B59E1"/>
    <w:rsid w:val="006B5EA7"/>
    <w:rsid w:val="006B5EC3"/>
    <w:rsid w:val="006B5EDC"/>
    <w:rsid w:val="006B652E"/>
    <w:rsid w:val="006B7BD8"/>
    <w:rsid w:val="006C009D"/>
    <w:rsid w:val="006C05D5"/>
    <w:rsid w:val="006C0869"/>
    <w:rsid w:val="006C0887"/>
    <w:rsid w:val="006C08AD"/>
    <w:rsid w:val="006C0A18"/>
    <w:rsid w:val="006C0B8F"/>
    <w:rsid w:val="006C13CA"/>
    <w:rsid w:val="006C183C"/>
    <w:rsid w:val="006C187E"/>
    <w:rsid w:val="006C1F0E"/>
    <w:rsid w:val="006C209D"/>
    <w:rsid w:val="006C2305"/>
    <w:rsid w:val="006C2392"/>
    <w:rsid w:val="006C32F3"/>
    <w:rsid w:val="006C398D"/>
    <w:rsid w:val="006C3C02"/>
    <w:rsid w:val="006C3C9F"/>
    <w:rsid w:val="006C4070"/>
    <w:rsid w:val="006C4409"/>
    <w:rsid w:val="006C4678"/>
    <w:rsid w:val="006C4A6F"/>
    <w:rsid w:val="006C4B60"/>
    <w:rsid w:val="006C4C44"/>
    <w:rsid w:val="006C511F"/>
    <w:rsid w:val="006C5123"/>
    <w:rsid w:val="006C54EB"/>
    <w:rsid w:val="006C58E0"/>
    <w:rsid w:val="006C5E61"/>
    <w:rsid w:val="006C5F83"/>
    <w:rsid w:val="006C6BA1"/>
    <w:rsid w:val="006C74F2"/>
    <w:rsid w:val="006C7B63"/>
    <w:rsid w:val="006C7D05"/>
    <w:rsid w:val="006C7FC3"/>
    <w:rsid w:val="006D0A93"/>
    <w:rsid w:val="006D0DA0"/>
    <w:rsid w:val="006D155C"/>
    <w:rsid w:val="006D21BB"/>
    <w:rsid w:val="006D2BD8"/>
    <w:rsid w:val="006D2F4A"/>
    <w:rsid w:val="006D3412"/>
    <w:rsid w:val="006D370B"/>
    <w:rsid w:val="006D377C"/>
    <w:rsid w:val="006D3AF8"/>
    <w:rsid w:val="006D3F54"/>
    <w:rsid w:val="006D3F5D"/>
    <w:rsid w:val="006D41CF"/>
    <w:rsid w:val="006D46AC"/>
    <w:rsid w:val="006D4C78"/>
    <w:rsid w:val="006D5353"/>
    <w:rsid w:val="006D53F3"/>
    <w:rsid w:val="006D5FE3"/>
    <w:rsid w:val="006D603A"/>
    <w:rsid w:val="006D603E"/>
    <w:rsid w:val="006D6981"/>
    <w:rsid w:val="006D72D2"/>
    <w:rsid w:val="006D7587"/>
    <w:rsid w:val="006E086B"/>
    <w:rsid w:val="006E08CE"/>
    <w:rsid w:val="006E08D1"/>
    <w:rsid w:val="006E0BC1"/>
    <w:rsid w:val="006E0D4A"/>
    <w:rsid w:val="006E13AD"/>
    <w:rsid w:val="006E17C3"/>
    <w:rsid w:val="006E182C"/>
    <w:rsid w:val="006E246A"/>
    <w:rsid w:val="006E267F"/>
    <w:rsid w:val="006E33DD"/>
    <w:rsid w:val="006E350F"/>
    <w:rsid w:val="006E359A"/>
    <w:rsid w:val="006E3906"/>
    <w:rsid w:val="006E3BA5"/>
    <w:rsid w:val="006E437F"/>
    <w:rsid w:val="006E4635"/>
    <w:rsid w:val="006E4A21"/>
    <w:rsid w:val="006E534E"/>
    <w:rsid w:val="006E57B4"/>
    <w:rsid w:val="006E5B2F"/>
    <w:rsid w:val="006E5E82"/>
    <w:rsid w:val="006E5F4C"/>
    <w:rsid w:val="006E60F1"/>
    <w:rsid w:val="006E61BC"/>
    <w:rsid w:val="006E672C"/>
    <w:rsid w:val="006E674E"/>
    <w:rsid w:val="006E6A4F"/>
    <w:rsid w:val="006E7114"/>
    <w:rsid w:val="006E716E"/>
    <w:rsid w:val="006E72F8"/>
    <w:rsid w:val="006E7D9B"/>
    <w:rsid w:val="006F0263"/>
    <w:rsid w:val="006F081B"/>
    <w:rsid w:val="006F104D"/>
    <w:rsid w:val="006F157C"/>
    <w:rsid w:val="006F15A1"/>
    <w:rsid w:val="006F165C"/>
    <w:rsid w:val="006F1AF7"/>
    <w:rsid w:val="006F1E8E"/>
    <w:rsid w:val="006F245A"/>
    <w:rsid w:val="006F2558"/>
    <w:rsid w:val="006F2995"/>
    <w:rsid w:val="006F2FA8"/>
    <w:rsid w:val="006F3056"/>
    <w:rsid w:val="006F3959"/>
    <w:rsid w:val="006F3A0E"/>
    <w:rsid w:val="006F3FE1"/>
    <w:rsid w:val="006F48D6"/>
    <w:rsid w:val="006F4E13"/>
    <w:rsid w:val="006F505D"/>
    <w:rsid w:val="006F62D3"/>
    <w:rsid w:val="006F674A"/>
    <w:rsid w:val="006F6C7C"/>
    <w:rsid w:val="006F7769"/>
    <w:rsid w:val="006F7B92"/>
    <w:rsid w:val="006F7D1F"/>
    <w:rsid w:val="00700179"/>
    <w:rsid w:val="00700252"/>
    <w:rsid w:val="007006A8"/>
    <w:rsid w:val="007006AB"/>
    <w:rsid w:val="00700823"/>
    <w:rsid w:val="007010AB"/>
    <w:rsid w:val="007012B9"/>
    <w:rsid w:val="00701632"/>
    <w:rsid w:val="0070165C"/>
    <w:rsid w:val="00701C9E"/>
    <w:rsid w:val="00702634"/>
    <w:rsid w:val="00702E58"/>
    <w:rsid w:val="00702F99"/>
    <w:rsid w:val="00704158"/>
    <w:rsid w:val="0070416C"/>
    <w:rsid w:val="00704F01"/>
    <w:rsid w:val="007050A0"/>
    <w:rsid w:val="00705133"/>
    <w:rsid w:val="0070593E"/>
    <w:rsid w:val="00705C8C"/>
    <w:rsid w:val="00705E41"/>
    <w:rsid w:val="00706298"/>
    <w:rsid w:val="007063C2"/>
    <w:rsid w:val="007068C7"/>
    <w:rsid w:val="00706984"/>
    <w:rsid w:val="00706D4D"/>
    <w:rsid w:val="00707405"/>
    <w:rsid w:val="00707C7B"/>
    <w:rsid w:val="00707E09"/>
    <w:rsid w:val="007103FB"/>
    <w:rsid w:val="0071080C"/>
    <w:rsid w:val="0071084C"/>
    <w:rsid w:val="00710D31"/>
    <w:rsid w:val="00710E63"/>
    <w:rsid w:val="007115AC"/>
    <w:rsid w:val="00711C32"/>
    <w:rsid w:val="007124DB"/>
    <w:rsid w:val="007129F8"/>
    <w:rsid w:val="00712E7F"/>
    <w:rsid w:val="0071354E"/>
    <w:rsid w:val="00713796"/>
    <w:rsid w:val="00713B53"/>
    <w:rsid w:val="00714A77"/>
    <w:rsid w:val="00714E79"/>
    <w:rsid w:val="00715F18"/>
    <w:rsid w:val="00715F25"/>
    <w:rsid w:val="0071661F"/>
    <w:rsid w:val="0071669C"/>
    <w:rsid w:val="007169E0"/>
    <w:rsid w:val="00716A15"/>
    <w:rsid w:val="00716A5F"/>
    <w:rsid w:val="00716B6E"/>
    <w:rsid w:val="007170E3"/>
    <w:rsid w:val="0071733B"/>
    <w:rsid w:val="00717AB1"/>
    <w:rsid w:val="0072003A"/>
    <w:rsid w:val="007203B0"/>
    <w:rsid w:val="00720619"/>
    <w:rsid w:val="007208B2"/>
    <w:rsid w:val="00720D91"/>
    <w:rsid w:val="00720E17"/>
    <w:rsid w:val="00720E77"/>
    <w:rsid w:val="00721636"/>
    <w:rsid w:val="00721641"/>
    <w:rsid w:val="00722B43"/>
    <w:rsid w:val="00722C6A"/>
    <w:rsid w:val="00723348"/>
    <w:rsid w:val="00723734"/>
    <w:rsid w:val="007239F8"/>
    <w:rsid w:val="00723E55"/>
    <w:rsid w:val="00723F3A"/>
    <w:rsid w:val="00724075"/>
    <w:rsid w:val="0072458F"/>
    <w:rsid w:val="00724598"/>
    <w:rsid w:val="007245CD"/>
    <w:rsid w:val="00725091"/>
    <w:rsid w:val="007253BB"/>
    <w:rsid w:val="00725B92"/>
    <w:rsid w:val="00726C18"/>
    <w:rsid w:val="0072717B"/>
    <w:rsid w:val="0072793C"/>
    <w:rsid w:val="00727C6E"/>
    <w:rsid w:val="00727CF5"/>
    <w:rsid w:val="007304E4"/>
    <w:rsid w:val="007306C8"/>
    <w:rsid w:val="00730D47"/>
    <w:rsid w:val="00731A2A"/>
    <w:rsid w:val="007321F2"/>
    <w:rsid w:val="007327F0"/>
    <w:rsid w:val="00732813"/>
    <w:rsid w:val="00732E81"/>
    <w:rsid w:val="00733532"/>
    <w:rsid w:val="007336A5"/>
    <w:rsid w:val="007336E0"/>
    <w:rsid w:val="00733855"/>
    <w:rsid w:val="00733B67"/>
    <w:rsid w:val="00733B77"/>
    <w:rsid w:val="00733EA2"/>
    <w:rsid w:val="00734682"/>
    <w:rsid w:val="007348D8"/>
    <w:rsid w:val="0073492F"/>
    <w:rsid w:val="00734C74"/>
    <w:rsid w:val="00734D0C"/>
    <w:rsid w:val="0073592D"/>
    <w:rsid w:val="00736712"/>
    <w:rsid w:val="007369ED"/>
    <w:rsid w:val="00736A2A"/>
    <w:rsid w:val="00737FE8"/>
    <w:rsid w:val="007403D4"/>
    <w:rsid w:val="007407F0"/>
    <w:rsid w:val="00740F73"/>
    <w:rsid w:val="007412A4"/>
    <w:rsid w:val="0074155F"/>
    <w:rsid w:val="0074158E"/>
    <w:rsid w:val="00741CB6"/>
    <w:rsid w:val="0074203F"/>
    <w:rsid w:val="00742186"/>
    <w:rsid w:val="00742200"/>
    <w:rsid w:val="00742898"/>
    <w:rsid w:val="00742D8D"/>
    <w:rsid w:val="00743A1C"/>
    <w:rsid w:val="00743BA1"/>
    <w:rsid w:val="00743D81"/>
    <w:rsid w:val="007440D4"/>
    <w:rsid w:val="00744256"/>
    <w:rsid w:val="007446B4"/>
    <w:rsid w:val="00744FF6"/>
    <w:rsid w:val="0074541E"/>
    <w:rsid w:val="00745B2F"/>
    <w:rsid w:val="00745DC1"/>
    <w:rsid w:val="00745E60"/>
    <w:rsid w:val="00746BD3"/>
    <w:rsid w:val="00746C8F"/>
    <w:rsid w:val="00746E16"/>
    <w:rsid w:val="00746E1E"/>
    <w:rsid w:val="007470D2"/>
    <w:rsid w:val="0074723A"/>
    <w:rsid w:val="007473C9"/>
    <w:rsid w:val="007479FE"/>
    <w:rsid w:val="00747AD0"/>
    <w:rsid w:val="00750143"/>
    <w:rsid w:val="007502F0"/>
    <w:rsid w:val="00750328"/>
    <w:rsid w:val="007504D9"/>
    <w:rsid w:val="00750677"/>
    <w:rsid w:val="00750C17"/>
    <w:rsid w:val="0075140A"/>
    <w:rsid w:val="00753174"/>
    <w:rsid w:val="007538B9"/>
    <w:rsid w:val="007538E9"/>
    <w:rsid w:val="00753A22"/>
    <w:rsid w:val="00753B23"/>
    <w:rsid w:val="00753B4D"/>
    <w:rsid w:val="00753E2D"/>
    <w:rsid w:val="007543EB"/>
    <w:rsid w:val="0075447D"/>
    <w:rsid w:val="00754949"/>
    <w:rsid w:val="0075548D"/>
    <w:rsid w:val="00755720"/>
    <w:rsid w:val="00755DF3"/>
    <w:rsid w:val="0075608F"/>
    <w:rsid w:val="00756462"/>
    <w:rsid w:val="007564C0"/>
    <w:rsid w:val="00756720"/>
    <w:rsid w:val="00756894"/>
    <w:rsid w:val="00756AF8"/>
    <w:rsid w:val="00756CDA"/>
    <w:rsid w:val="00756D7D"/>
    <w:rsid w:val="0075706D"/>
    <w:rsid w:val="00757A7A"/>
    <w:rsid w:val="007605CF"/>
    <w:rsid w:val="00760657"/>
    <w:rsid w:val="00760945"/>
    <w:rsid w:val="00762155"/>
    <w:rsid w:val="00762716"/>
    <w:rsid w:val="0076280E"/>
    <w:rsid w:val="00762F32"/>
    <w:rsid w:val="00763AB9"/>
    <w:rsid w:val="00764287"/>
    <w:rsid w:val="00764512"/>
    <w:rsid w:val="0076491E"/>
    <w:rsid w:val="0076535A"/>
    <w:rsid w:val="00765D38"/>
    <w:rsid w:val="007660B9"/>
    <w:rsid w:val="007661F0"/>
    <w:rsid w:val="007662C8"/>
    <w:rsid w:val="00766B90"/>
    <w:rsid w:val="00767BA6"/>
    <w:rsid w:val="00767C2C"/>
    <w:rsid w:val="007701B8"/>
    <w:rsid w:val="00770783"/>
    <w:rsid w:val="00770AA0"/>
    <w:rsid w:val="00770DC9"/>
    <w:rsid w:val="00770E7B"/>
    <w:rsid w:val="00771594"/>
    <w:rsid w:val="00771DE8"/>
    <w:rsid w:val="00772797"/>
    <w:rsid w:val="00772AAE"/>
    <w:rsid w:val="00773127"/>
    <w:rsid w:val="00773272"/>
    <w:rsid w:val="007735AB"/>
    <w:rsid w:val="00773947"/>
    <w:rsid w:val="007739D4"/>
    <w:rsid w:val="00773AC7"/>
    <w:rsid w:val="00774326"/>
    <w:rsid w:val="007748BE"/>
    <w:rsid w:val="007749AB"/>
    <w:rsid w:val="00774BE4"/>
    <w:rsid w:val="00774D24"/>
    <w:rsid w:val="007752C5"/>
    <w:rsid w:val="007756B5"/>
    <w:rsid w:val="00775B97"/>
    <w:rsid w:val="00775EBB"/>
    <w:rsid w:val="00775FC8"/>
    <w:rsid w:val="007761FD"/>
    <w:rsid w:val="007770D6"/>
    <w:rsid w:val="007771FE"/>
    <w:rsid w:val="00777490"/>
    <w:rsid w:val="007805D5"/>
    <w:rsid w:val="0078066C"/>
    <w:rsid w:val="00780896"/>
    <w:rsid w:val="00780AC4"/>
    <w:rsid w:val="00781028"/>
    <w:rsid w:val="0078172B"/>
    <w:rsid w:val="00781797"/>
    <w:rsid w:val="00781C85"/>
    <w:rsid w:val="00781F58"/>
    <w:rsid w:val="0078213C"/>
    <w:rsid w:val="00782158"/>
    <w:rsid w:val="00782528"/>
    <w:rsid w:val="00782812"/>
    <w:rsid w:val="00782AD8"/>
    <w:rsid w:val="00782E63"/>
    <w:rsid w:val="007830D7"/>
    <w:rsid w:val="007834EA"/>
    <w:rsid w:val="00784150"/>
    <w:rsid w:val="007844D7"/>
    <w:rsid w:val="00784704"/>
    <w:rsid w:val="007849AA"/>
    <w:rsid w:val="00784DAC"/>
    <w:rsid w:val="00785CE5"/>
    <w:rsid w:val="00785E66"/>
    <w:rsid w:val="00786730"/>
    <w:rsid w:val="00787176"/>
    <w:rsid w:val="00787271"/>
    <w:rsid w:val="007874BA"/>
    <w:rsid w:val="007875DF"/>
    <w:rsid w:val="00787B22"/>
    <w:rsid w:val="00787F3F"/>
    <w:rsid w:val="00790E94"/>
    <w:rsid w:val="00790F6D"/>
    <w:rsid w:val="00791431"/>
    <w:rsid w:val="00791D52"/>
    <w:rsid w:val="00791DB0"/>
    <w:rsid w:val="0079221A"/>
    <w:rsid w:val="007922C9"/>
    <w:rsid w:val="00792819"/>
    <w:rsid w:val="00793FA2"/>
    <w:rsid w:val="007941D5"/>
    <w:rsid w:val="0079438E"/>
    <w:rsid w:val="00794566"/>
    <w:rsid w:val="0079535D"/>
    <w:rsid w:val="007956C4"/>
    <w:rsid w:val="00795C14"/>
    <w:rsid w:val="00796685"/>
    <w:rsid w:val="00796F17"/>
    <w:rsid w:val="00796F24"/>
    <w:rsid w:val="007975CF"/>
    <w:rsid w:val="007977CA"/>
    <w:rsid w:val="00797D36"/>
    <w:rsid w:val="007A01F9"/>
    <w:rsid w:val="007A096A"/>
    <w:rsid w:val="007A0F57"/>
    <w:rsid w:val="007A122C"/>
    <w:rsid w:val="007A12C6"/>
    <w:rsid w:val="007A1B4C"/>
    <w:rsid w:val="007A1B82"/>
    <w:rsid w:val="007A241C"/>
    <w:rsid w:val="007A2509"/>
    <w:rsid w:val="007A27C5"/>
    <w:rsid w:val="007A27F5"/>
    <w:rsid w:val="007A287D"/>
    <w:rsid w:val="007A2F61"/>
    <w:rsid w:val="007A322F"/>
    <w:rsid w:val="007A3387"/>
    <w:rsid w:val="007A373B"/>
    <w:rsid w:val="007A46AF"/>
    <w:rsid w:val="007A493B"/>
    <w:rsid w:val="007A50F9"/>
    <w:rsid w:val="007A52E1"/>
    <w:rsid w:val="007A552D"/>
    <w:rsid w:val="007A56E1"/>
    <w:rsid w:val="007A5BDC"/>
    <w:rsid w:val="007A5FA4"/>
    <w:rsid w:val="007A62E0"/>
    <w:rsid w:val="007A655C"/>
    <w:rsid w:val="007A65F0"/>
    <w:rsid w:val="007A79B0"/>
    <w:rsid w:val="007A7BBE"/>
    <w:rsid w:val="007B026F"/>
    <w:rsid w:val="007B02A9"/>
    <w:rsid w:val="007B09D5"/>
    <w:rsid w:val="007B0AB5"/>
    <w:rsid w:val="007B0C4D"/>
    <w:rsid w:val="007B0F3E"/>
    <w:rsid w:val="007B11DC"/>
    <w:rsid w:val="007B1263"/>
    <w:rsid w:val="007B1584"/>
    <w:rsid w:val="007B1876"/>
    <w:rsid w:val="007B20CD"/>
    <w:rsid w:val="007B2244"/>
    <w:rsid w:val="007B2646"/>
    <w:rsid w:val="007B26E9"/>
    <w:rsid w:val="007B26FD"/>
    <w:rsid w:val="007B2D08"/>
    <w:rsid w:val="007B2D24"/>
    <w:rsid w:val="007B2FBE"/>
    <w:rsid w:val="007B318C"/>
    <w:rsid w:val="007B3288"/>
    <w:rsid w:val="007B3355"/>
    <w:rsid w:val="007B3670"/>
    <w:rsid w:val="007B3955"/>
    <w:rsid w:val="007B3EB3"/>
    <w:rsid w:val="007B3F5E"/>
    <w:rsid w:val="007B438D"/>
    <w:rsid w:val="007B469E"/>
    <w:rsid w:val="007B4747"/>
    <w:rsid w:val="007B4AC6"/>
    <w:rsid w:val="007B4E90"/>
    <w:rsid w:val="007B5DC8"/>
    <w:rsid w:val="007B5F57"/>
    <w:rsid w:val="007B60D6"/>
    <w:rsid w:val="007B6397"/>
    <w:rsid w:val="007B67F4"/>
    <w:rsid w:val="007B6928"/>
    <w:rsid w:val="007B6F8A"/>
    <w:rsid w:val="007B73B7"/>
    <w:rsid w:val="007B75BF"/>
    <w:rsid w:val="007B7A05"/>
    <w:rsid w:val="007B7E09"/>
    <w:rsid w:val="007B7F84"/>
    <w:rsid w:val="007B7FCA"/>
    <w:rsid w:val="007C0527"/>
    <w:rsid w:val="007C0652"/>
    <w:rsid w:val="007C0C5C"/>
    <w:rsid w:val="007C1641"/>
    <w:rsid w:val="007C170A"/>
    <w:rsid w:val="007C184F"/>
    <w:rsid w:val="007C1D6C"/>
    <w:rsid w:val="007C2565"/>
    <w:rsid w:val="007C2B8F"/>
    <w:rsid w:val="007C2EF3"/>
    <w:rsid w:val="007C3334"/>
    <w:rsid w:val="007C3518"/>
    <w:rsid w:val="007C3E91"/>
    <w:rsid w:val="007C3F60"/>
    <w:rsid w:val="007C3FE0"/>
    <w:rsid w:val="007C4346"/>
    <w:rsid w:val="007C46BC"/>
    <w:rsid w:val="007C49D7"/>
    <w:rsid w:val="007C4F33"/>
    <w:rsid w:val="007C4FA8"/>
    <w:rsid w:val="007C51C3"/>
    <w:rsid w:val="007C5418"/>
    <w:rsid w:val="007C544E"/>
    <w:rsid w:val="007C560B"/>
    <w:rsid w:val="007C5B7C"/>
    <w:rsid w:val="007C5FA7"/>
    <w:rsid w:val="007C629C"/>
    <w:rsid w:val="007C63B6"/>
    <w:rsid w:val="007C6ADB"/>
    <w:rsid w:val="007C6DF2"/>
    <w:rsid w:val="007C706E"/>
    <w:rsid w:val="007C7562"/>
    <w:rsid w:val="007C7660"/>
    <w:rsid w:val="007C7771"/>
    <w:rsid w:val="007C79CB"/>
    <w:rsid w:val="007C7ADF"/>
    <w:rsid w:val="007C7C6E"/>
    <w:rsid w:val="007D040D"/>
    <w:rsid w:val="007D04F9"/>
    <w:rsid w:val="007D074A"/>
    <w:rsid w:val="007D0763"/>
    <w:rsid w:val="007D0E1D"/>
    <w:rsid w:val="007D0FDD"/>
    <w:rsid w:val="007D11DC"/>
    <w:rsid w:val="007D11FF"/>
    <w:rsid w:val="007D2003"/>
    <w:rsid w:val="007D278E"/>
    <w:rsid w:val="007D2B89"/>
    <w:rsid w:val="007D2FFE"/>
    <w:rsid w:val="007D31D0"/>
    <w:rsid w:val="007D3355"/>
    <w:rsid w:val="007D33C8"/>
    <w:rsid w:val="007D35C7"/>
    <w:rsid w:val="007D394C"/>
    <w:rsid w:val="007D3991"/>
    <w:rsid w:val="007D3C8C"/>
    <w:rsid w:val="007D40A1"/>
    <w:rsid w:val="007D41C1"/>
    <w:rsid w:val="007D4215"/>
    <w:rsid w:val="007D440A"/>
    <w:rsid w:val="007D4DBC"/>
    <w:rsid w:val="007D4E89"/>
    <w:rsid w:val="007D57F1"/>
    <w:rsid w:val="007D5E0F"/>
    <w:rsid w:val="007D6466"/>
    <w:rsid w:val="007D680C"/>
    <w:rsid w:val="007D6813"/>
    <w:rsid w:val="007D6E39"/>
    <w:rsid w:val="007D7775"/>
    <w:rsid w:val="007D7C6B"/>
    <w:rsid w:val="007D7DCB"/>
    <w:rsid w:val="007D7EC5"/>
    <w:rsid w:val="007E17AD"/>
    <w:rsid w:val="007E18A7"/>
    <w:rsid w:val="007E20AA"/>
    <w:rsid w:val="007E28FD"/>
    <w:rsid w:val="007E33AF"/>
    <w:rsid w:val="007E3FA5"/>
    <w:rsid w:val="007E415D"/>
    <w:rsid w:val="007E42AA"/>
    <w:rsid w:val="007E46D1"/>
    <w:rsid w:val="007E4CD5"/>
    <w:rsid w:val="007E57AB"/>
    <w:rsid w:val="007E5B3E"/>
    <w:rsid w:val="007E5CE9"/>
    <w:rsid w:val="007E6207"/>
    <w:rsid w:val="007E685B"/>
    <w:rsid w:val="007E7169"/>
    <w:rsid w:val="007E7EFB"/>
    <w:rsid w:val="007F0200"/>
    <w:rsid w:val="007F05DE"/>
    <w:rsid w:val="007F0968"/>
    <w:rsid w:val="007F103B"/>
    <w:rsid w:val="007F1644"/>
    <w:rsid w:val="007F17AE"/>
    <w:rsid w:val="007F1B00"/>
    <w:rsid w:val="007F2558"/>
    <w:rsid w:val="007F25D9"/>
    <w:rsid w:val="007F2D93"/>
    <w:rsid w:val="007F2F8B"/>
    <w:rsid w:val="007F3B0C"/>
    <w:rsid w:val="007F3B18"/>
    <w:rsid w:val="007F3D41"/>
    <w:rsid w:val="007F43ED"/>
    <w:rsid w:val="007F44E6"/>
    <w:rsid w:val="007F49B7"/>
    <w:rsid w:val="007F4DFF"/>
    <w:rsid w:val="007F536A"/>
    <w:rsid w:val="007F561C"/>
    <w:rsid w:val="007F5675"/>
    <w:rsid w:val="007F5A88"/>
    <w:rsid w:val="007F5D33"/>
    <w:rsid w:val="007F627B"/>
    <w:rsid w:val="007F689E"/>
    <w:rsid w:val="007F692B"/>
    <w:rsid w:val="007F6B7C"/>
    <w:rsid w:val="007F7061"/>
    <w:rsid w:val="007F71FB"/>
    <w:rsid w:val="007F75D9"/>
    <w:rsid w:val="007F7982"/>
    <w:rsid w:val="007F7FED"/>
    <w:rsid w:val="00800242"/>
    <w:rsid w:val="008003C8"/>
    <w:rsid w:val="00800D18"/>
    <w:rsid w:val="00800EE5"/>
    <w:rsid w:val="008012E2"/>
    <w:rsid w:val="00801996"/>
    <w:rsid w:val="00802438"/>
    <w:rsid w:val="00802822"/>
    <w:rsid w:val="00802829"/>
    <w:rsid w:val="00802E73"/>
    <w:rsid w:val="00803235"/>
    <w:rsid w:val="008039EA"/>
    <w:rsid w:val="00803D10"/>
    <w:rsid w:val="00803D56"/>
    <w:rsid w:val="00804EE1"/>
    <w:rsid w:val="008051C4"/>
    <w:rsid w:val="00805553"/>
    <w:rsid w:val="00805B42"/>
    <w:rsid w:val="00805C23"/>
    <w:rsid w:val="008062DB"/>
    <w:rsid w:val="00806393"/>
    <w:rsid w:val="00806721"/>
    <w:rsid w:val="0080677D"/>
    <w:rsid w:val="00806E53"/>
    <w:rsid w:val="00807015"/>
    <w:rsid w:val="008072F8"/>
    <w:rsid w:val="00807406"/>
    <w:rsid w:val="00807651"/>
    <w:rsid w:val="00807B09"/>
    <w:rsid w:val="00807B2D"/>
    <w:rsid w:val="0081039A"/>
    <w:rsid w:val="00810416"/>
    <w:rsid w:val="00810433"/>
    <w:rsid w:val="0081059E"/>
    <w:rsid w:val="00810A1C"/>
    <w:rsid w:val="00810CBA"/>
    <w:rsid w:val="0081108E"/>
    <w:rsid w:val="008117ED"/>
    <w:rsid w:val="0081198E"/>
    <w:rsid w:val="00811C9B"/>
    <w:rsid w:val="00811E14"/>
    <w:rsid w:val="00811F5B"/>
    <w:rsid w:val="0081209A"/>
    <w:rsid w:val="0081222A"/>
    <w:rsid w:val="0081226F"/>
    <w:rsid w:val="00812654"/>
    <w:rsid w:val="008127DB"/>
    <w:rsid w:val="00812B2E"/>
    <w:rsid w:val="0081308C"/>
    <w:rsid w:val="00813257"/>
    <w:rsid w:val="00813445"/>
    <w:rsid w:val="00813F3A"/>
    <w:rsid w:val="00813FD5"/>
    <w:rsid w:val="00814E17"/>
    <w:rsid w:val="0081512D"/>
    <w:rsid w:val="0081525C"/>
    <w:rsid w:val="0081657A"/>
    <w:rsid w:val="008166DB"/>
    <w:rsid w:val="00816AC7"/>
    <w:rsid w:val="0081779D"/>
    <w:rsid w:val="00820235"/>
    <w:rsid w:val="008202F5"/>
    <w:rsid w:val="00820746"/>
    <w:rsid w:val="0082083F"/>
    <w:rsid w:val="00820C5A"/>
    <w:rsid w:val="00820E0F"/>
    <w:rsid w:val="00820E5B"/>
    <w:rsid w:val="008216E0"/>
    <w:rsid w:val="0082189D"/>
    <w:rsid w:val="008219FD"/>
    <w:rsid w:val="00822905"/>
    <w:rsid w:val="00822CFE"/>
    <w:rsid w:val="0082305E"/>
    <w:rsid w:val="008231C0"/>
    <w:rsid w:val="00823258"/>
    <w:rsid w:val="008234A2"/>
    <w:rsid w:val="00823633"/>
    <w:rsid w:val="00823CCE"/>
    <w:rsid w:val="00824218"/>
    <w:rsid w:val="00824C15"/>
    <w:rsid w:val="0082520B"/>
    <w:rsid w:val="008257DC"/>
    <w:rsid w:val="008258DC"/>
    <w:rsid w:val="00825AD6"/>
    <w:rsid w:val="00825B23"/>
    <w:rsid w:val="00826371"/>
    <w:rsid w:val="0082682A"/>
    <w:rsid w:val="00826DC2"/>
    <w:rsid w:val="00827128"/>
    <w:rsid w:val="00827527"/>
    <w:rsid w:val="008275B9"/>
    <w:rsid w:val="00827661"/>
    <w:rsid w:val="00827B1C"/>
    <w:rsid w:val="00830254"/>
    <w:rsid w:val="008304CE"/>
    <w:rsid w:val="00830D3F"/>
    <w:rsid w:val="00831230"/>
    <w:rsid w:val="008314B7"/>
    <w:rsid w:val="0083192E"/>
    <w:rsid w:val="00831A26"/>
    <w:rsid w:val="00831B08"/>
    <w:rsid w:val="00831D8A"/>
    <w:rsid w:val="00832515"/>
    <w:rsid w:val="0083261D"/>
    <w:rsid w:val="0083278C"/>
    <w:rsid w:val="008328F1"/>
    <w:rsid w:val="00832D89"/>
    <w:rsid w:val="00832E7B"/>
    <w:rsid w:val="008338ED"/>
    <w:rsid w:val="00833947"/>
    <w:rsid w:val="00833979"/>
    <w:rsid w:val="00833AB7"/>
    <w:rsid w:val="00833CF9"/>
    <w:rsid w:val="00833F98"/>
    <w:rsid w:val="00834032"/>
    <w:rsid w:val="00835BA9"/>
    <w:rsid w:val="00835FD4"/>
    <w:rsid w:val="00836077"/>
    <w:rsid w:val="008363B7"/>
    <w:rsid w:val="008365CA"/>
    <w:rsid w:val="00836BAD"/>
    <w:rsid w:val="00836BEA"/>
    <w:rsid w:val="00836CBE"/>
    <w:rsid w:val="00836FD9"/>
    <w:rsid w:val="00837505"/>
    <w:rsid w:val="0083794E"/>
    <w:rsid w:val="00837B43"/>
    <w:rsid w:val="00837C2B"/>
    <w:rsid w:val="00837DE5"/>
    <w:rsid w:val="00837E43"/>
    <w:rsid w:val="00840865"/>
    <w:rsid w:val="00840BB9"/>
    <w:rsid w:val="00840EF4"/>
    <w:rsid w:val="008414C1"/>
    <w:rsid w:val="00841D41"/>
    <w:rsid w:val="0084216B"/>
    <w:rsid w:val="008422A2"/>
    <w:rsid w:val="00842377"/>
    <w:rsid w:val="0084258D"/>
    <w:rsid w:val="00842726"/>
    <w:rsid w:val="00842AF4"/>
    <w:rsid w:val="00842C9B"/>
    <w:rsid w:val="00843032"/>
    <w:rsid w:val="00843402"/>
    <w:rsid w:val="008434CE"/>
    <w:rsid w:val="008436AB"/>
    <w:rsid w:val="008439BF"/>
    <w:rsid w:val="00843C47"/>
    <w:rsid w:val="00843E0B"/>
    <w:rsid w:val="00843FCD"/>
    <w:rsid w:val="00844153"/>
    <w:rsid w:val="00844739"/>
    <w:rsid w:val="008447FE"/>
    <w:rsid w:val="0084486B"/>
    <w:rsid w:val="008449C9"/>
    <w:rsid w:val="00845004"/>
    <w:rsid w:val="00845109"/>
    <w:rsid w:val="0084557E"/>
    <w:rsid w:val="0084573E"/>
    <w:rsid w:val="0084641D"/>
    <w:rsid w:val="0084651C"/>
    <w:rsid w:val="00846C93"/>
    <w:rsid w:val="00846EFE"/>
    <w:rsid w:val="008472FB"/>
    <w:rsid w:val="00847491"/>
    <w:rsid w:val="0084763E"/>
    <w:rsid w:val="00847F6D"/>
    <w:rsid w:val="0085075B"/>
    <w:rsid w:val="00851130"/>
    <w:rsid w:val="008512C9"/>
    <w:rsid w:val="00851661"/>
    <w:rsid w:val="008518B7"/>
    <w:rsid w:val="008519C0"/>
    <w:rsid w:val="00851D9D"/>
    <w:rsid w:val="00851F54"/>
    <w:rsid w:val="008521AB"/>
    <w:rsid w:val="00852220"/>
    <w:rsid w:val="00852E3E"/>
    <w:rsid w:val="008533B2"/>
    <w:rsid w:val="00854104"/>
    <w:rsid w:val="008543B6"/>
    <w:rsid w:val="00854543"/>
    <w:rsid w:val="008547A3"/>
    <w:rsid w:val="0085486C"/>
    <w:rsid w:val="00854ABC"/>
    <w:rsid w:val="00854AD8"/>
    <w:rsid w:val="00855176"/>
    <w:rsid w:val="008556BF"/>
    <w:rsid w:val="0085572C"/>
    <w:rsid w:val="00855B7C"/>
    <w:rsid w:val="0085619B"/>
    <w:rsid w:val="0085636B"/>
    <w:rsid w:val="008564D1"/>
    <w:rsid w:val="00856C88"/>
    <w:rsid w:val="00856FFA"/>
    <w:rsid w:val="00857354"/>
    <w:rsid w:val="0085767A"/>
    <w:rsid w:val="00857A49"/>
    <w:rsid w:val="00857D02"/>
    <w:rsid w:val="00857F27"/>
    <w:rsid w:val="00857F38"/>
    <w:rsid w:val="00860318"/>
    <w:rsid w:val="00860396"/>
    <w:rsid w:val="00860D7A"/>
    <w:rsid w:val="00861364"/>
    <w:rsid w:val="008613DA"/>
    <w:rsid w:val="0086151D"/>
    <w:rsid w:val="0086173E"/>
    <w:rsid w:val="00862C72"/>
    <w:rsid w:val="00862C7D"/>
    <w:rsid w:val="008631A6"/>
    <w:rsid w:val="0086347B"/>
    <w:rsid w:val="008636C6"/>
    <w:rsid w:val="008639EC"/>
    <w:rsid w:val="00863A90"/>
    <w:rsid w:val="00863DB9"/>
    <w:rsid w:val="00863F5E"/>
    <w:rsid w:val="008656A3"/>
    <w:rsid w:val="00865859"/>
    <w:rsid w:val="00865A41"/>
    <w:rsid w:val="00865BE9"/>
    <w:rsid w:val="00865D45"/>
    <w:rsid w:val="00866277"/>
    <w:rsid w:val="008662D4"/>
    <w:rsid w:val="00866940"/>
    <w:rsid w:val="00866A2A"/>
    <w:rsid w:val="00866B60"/>
    <w:rsid w:val="00867855"/>
    <w:rsid w:val="008678C1"/>
    <w:rsid w:val="00867CCD"/>
    <w:rsid w:val="00870098"/>
    <w:rsid w:val="008713F1"/>
    <w:rsid w:val="0087184D"/>
    <w:rsid w:val="0087227B"/>
    <w:rsid w:val="00872BFE"/>
    <w:rsid w:val="00872D40"/>
    <w:rsid w:val="00873810"/>
    <w:rsid w:val="00873898"/>
    <w:rsid w:val="00873990"/>
    <w:rsid w:val="008739C4"/>
    <w:rsid w:val="00873A6F"/>
    <w:rsid w:val="00873D37"/>
    <w:rsid w:val="00873DED"/>
    <w:rsid w:val="00874C85"/>
    <w:rsid w:val="00874D57"/>
    <w:rsid w:val="0087517E"/>
    <w:rsid w:val="0087555E"/>
    <w:rsid w:val="00875922"/>
    <w:rsid w:val="00875CBE"/>
    <w:rsid w:val="00875E8D"/>
    <w:rsid w:val="00875F7A"/>
    <w:rsid w:val="00876680"/>
    <w:rsid w:val="00877425"/>
    <w:rsid w:val="008777F4"/>
    <w:rsid w:val="0087797E"/>
    <w:rsid w:val="00877DE6"/>
    <w:rsid w:val="00877EBC"/>
    <w:rsid w:val="00880680"/>
    <w:rsid w:val="00880786"/>
    <w:rsid w:val="0088091E"/>
    <w:rsid w:val="00880E8E"/>
    <w:rsid w:val="00880F17"/>
    <w:rsid w:val="008813DE"/>
    <w:rsid w:val="00881CF6"/>
    <w:rsid w:val="00881E14"/>
    <w:rsid w:val="008821C3"/>
    <w:rsid w:val="008822D0"/>
    <w:rsid w:val="00882508"/>
    <w:rsid w:val="00882949"/>
    <w:rsid w:val="008829E0"/>
    <w:rsid w:val="00883014"/>
    <w:rsid w:val="008836A3"/>
    <w:rsid w:val="0088370E"/>
    <w:rsid w:val="008838D9"/>
    <w:rsid w:val="00883BBD"/>
    <w:rsid w:val="00883BF2"/>
    <w:rsid w:val="00883FA6"/>
    <w:rsid w:val="008840BA"/>
    <w:rsid w:val="00884388"/>
    <w:rsid w:val="0088478A"/>
    <w:rsid w:val="00884D74"/>
    <w:rsid w:val="00886123"/>
    <w:rsid w:val="008869AF"/>
    <w:rsid w:val="00886CBC"/>
    <w:rsid w:val="00886DF5"/>
    <w:rsid w:val="00886E3C"/>
    <w:rsid w:val="008876C7"/>
    <w:rsid w:val="00887733"/>
    <w:rsid w:val="008877FA"/>
    <w:rsid w:val="0088785B"/>
    <w:rsid w:val="00887D24"/>
    <w:rsid w:val="00887DC4"/>
    <w:rsid w:val="0089084E"/>
    <w:rsid w:val="008913DE"/>
    <w:rsid w:val="00891686"/>
    <w:rsid w:val="008917CC"/>
    <w:rsid w:val="0089204B"/>
    <w:rsid w:val="00892567"/>
    <w:rsid w:val="00892633"/>
    <w:rsid w:val="00892DD5"/>
    <w:rsid w:val="008932D9"/>
    <w:rsid w:val="00893C87"/>
    <w:rsid w:val="00893E4E"/>
    <w:rsid w:val="00893ED3"/>
    <w:rsid w:val="00893F05"/>
    <w:rsid w:val="0089413B"/>
    <w:rsid w:val="00895C47"/>
    <w:rsid w:val="00896033"/>
    <w:rsid w:val="00896C3A"/>
    <w:rsid w:val="00897D52"/>
    <w:rsid w:val="008A0288"/>
    <w:rsid w:val="008A04E2"/>
    <w:rsid w:val="008A0B72"/>
    <w:rsid w:val="008A0EA7"/>
    <w:rsid w:val="008A1289"/>
    <w:rsid w:val="008A1940"/>
    <w:rsid w:val="008A1D1F"/>
    <w:rsid w:val="008A220B"/>
    <w:rsid w:val="008A2FDD"/>
    <w:rsid w:val="008A3577"/>
    <w:rsid w:val="008A3BCE"/>
    <w:rsid w:val="008A3DAB"/>
    <w:rsid w:val="008A420A"/>
    <w:rsid w:val="008A4B82"/>
    <w:rsid w:val="008A50AC"/>
    <w:rsid w:val="008A5195"/>
    <w:rsid w:val="008A57D8"/>
    <w:rsid w:val="008A6222"/>
    <w:rsid w:val="008A64F0"/>
    <w:rsid w:val="008A7064"/>
    <w:rsid w:val="008A7B32"/>
    <w:rsid w:val="008B0AFA"/>
    <w:rsid w:val="008B1389"/>
    <w:rsid w:val="008B1521"/>
    <w:rsid w:val="008B19A2"/>
    <w:rsid w:val="008B202E"/>
    <w:rsid w:val="008B2DD2"/>
    <w:rsid w:val="008B3275"/>
    <w:rsid w:val="008B493F"/>
    <w:rsid w:val="008B4A4A"/>
    <w:rsid w:val="008B4FA5"/>
    <w:rsid w:val="008B62D6"/>
    <w:rsid w:val="008B63FB"/>
    <w:rsid w:val="008B7156"/>
    <w:rsid w:val="008B790B"/>
    <w:rsid w:val="008B7960"/>
    <w:rsid w:val="008B79E5"/>
    <w:rsid w:val="008B7ED2"/>
    <w:rsid w:val="008B7F3E"/>
    <w:rsid w:val="008C0CC2"/>
    <w:rsid w:val="008C0E0B"/>
    <w:rsid w:val="008C0ECC"/>
    <w:rsid w:val="008C115E"/>
    <w:rsid w:val="008C15D1"/>
    <w:rsid w:val="008C1669"/>
    <w:rsid w:val="008C18C1"/>
    <w:rsid w:val="008C1D3F"/>
    <w:rsid w:val="008C1D7F"/>
    <w:rsid w:val="008C2417"/>
    <w:rsid w:val="008C2E56"/>
    <w:rsid w:val="008C2FBE"/>
    <w:rsid w:val="008C343B"/>
    <w:rsid w:val="008C3452"/>
    <w:rsid w:val="008C381C"/>
    <w:rsid w:val="008C3A4B"/>
    <w:rsid w:val="008C431E"/>
    <w:rsid w:val="008C47C2"/>
    <w:rsid w:val="008C4882"/>
    <w:rsid w:val="008C4E7E"/>
    <w:rsid w:val="008C523E"/>
    <w:rsid w:val="008C5265"/>
    <w:rsid w:val="008C5384"/>
    <w:rsid w:val="008C59EF"/>
    <w:rsid w:val="008C5CD9"/>
    <w:rsid w:val="008C65B4"/>
    <w:rsid w:val="008C6978"/>
    <w:rsid w:val="008C6C8B"/>
    <w:rsid w:val="008C766B"/>
    <w:rsid w:val="008C7BD0"/>
    <w:rsid w:val="008C7C01"/>
    <w:rsid w:val="008C7F38"/>
    <w:rsid w:val="008D045D"/>
    <w:rsid w:val="008D0504"/>
    <w:rsid w:val="008D0D91"/>
    <w:rsid w:val="008D0DFF"/>
    <w:rsid w:val="008D118E"/>
    <w:rsid w:val="008D1256"/>
    <w:rsid w:val="008D12B5"/>
    <w:rsid w:val="008D1FE8"/>
    <w:rsid w:val="008D2116"/>
    <w:rsid w:val="008D228D"/>
    <w:rsid w:val="008D246A"/>
    <w:rsid w:val="008D2514"/>
    <w:rsid w:val="008D275A"/>
    <w:rsid w:val="008D2916"/>
    <w:rsid w:val="008D2E0E"/>
    <w:rsid w:val="008D2E7E"/>
    <w:rsid w:val="008D2F6F"/>
    <w:rsid w:val="008D3291"/>
    <w:rsid w:val="008D32A2"/>
    <w:rsid w:val="008D382B"/>
    <w:rsid w:val="008D39C4"/>
    <w:rsid w:val="008D4424"/>
    <w:rsid w:val="008D4E22"/>
    <w:rsid w:val="008D4F75"/>
    <w:rsid w:val="008D52FD"/>
    <w:rsid w:val="008D5397"/>
    <w:rsid w:val="008D5448"/>
    <w:rsid w:val="008D544F"/>
    <w:rsid w:val="008D59EE"/>
    <w:rsid w:val="008D5C9A"/>
    <w:rsid w:val="008D65C9"/>
    <w:rsid w:val="008D6991"/>
    <w:rsid w:val="008D6993"/>
    <w:rsid w:val="008D69EE"/>
    <w:rsid w:val="008D6A6E"/>
    <w:rsid w:val="008D6C37"/>
    <w:rsid w:val="008D6D1D"/>
    <w:rsid w:val="008D6EBA"/>
    <w:rsid w:val="008D72D9"/>
    <w:rsid w:val="008D796D"/>
    <w:rsid w:val="008D7A69"/>
    <w:rsid w:val="008E047B"/>
    <w:rsid w:val="008E09A6"/>
    <w:rsid w:val="008E09FF"/>
    <w:rsid w:val="008E19DE"/>
    <w:rsid w:val="008E231C"/>
    <w:rsid w:val="008E2F56"/>
    <w:rsid w:val="008E3946"/>
    <w:rsid w:val="008E3E47"/>
    <w:rsid w:val="008E40A5"/>
    <w:rsid w:val="008E44E9"/>
    <w:rsid w:val="008E4B19"/>
    <w:rsid w:val="008E5018"/>
    <w:rsid w:val="008E5284"/>
    <w:rsid w:val="008E58B2"/>
    <w:rsid w:val="008E58E9"/>
    <w:rsid w:val="008E5E5F"/>
    <w:rsid w:val="008E63D3"/>
    <w:rsid w:val="008E698E"/>
    <w:rsid w:val="008E708F"/>
    <w:rsid w:val="008E75C5"/>
    <w:rsid w:val="008E7B44"/>
    <w:rsid w:val="008F009E"/>
    <w:rsid w:val="008F080B"/>
    <w:rsid w:val="008F2734"/>
    <w:rsid w:val="008F2B43"/>
    <w:rsid w:val="008F35F3"/>
    <w:rsid w:val="008F3668"/>
    <w:rsid w:val="008F3872"/>
    <w:rsid w:val="008F39FD"/>
    <w:rsid w:val="008F41A1"/>
    <w:rsid w:val="008F449C"/>
    <w:rsid w:val="008F4511"/>
    <w:rsid w:val="008F505B"/>
    <w:rsid w:val="008F50A0"/>
    <w:rsid w:val="008F5276"/>
    <w:rsid w:val="008F574C"/>
    <w:rsid w:val="008F57E3"/>
    <w:rsid w:val="008F5A04"/>
    <w:rsid w:val="008F658C"/>
    <w:rsid w:val="008F6B3D"/>
    <w:rsid w:val="008F6F4D"/>
    <w:rsid w:val="008F7027"/>
    <w:rsid w:val="008F77B1"/>
    <w:rsid w:val="008F793A"/>
    <w:rsid w:val="008F7AEC"/>
    <w:rsid w:val="008F7C9C"/>
    <w:rsid w:val="008F7F50"/>
    <w:rsid w:val="009002EC"/>
    <w:rsid w:val="00900655"/>
    <w:rsid w:val="0090088B"/>
    <w:rsid w:val="00900ADD"/>
    <w:rsid w:val="00901036"/>
    <w:rsid w:val="00901281"/>
    <w:rsid w:val="009012FD"/>
    <w:rsid w:val="009013C1"/>
    <w:rsid w:val="00901756"/>
    <w:rsid w:val="00901B38"/>
    <w:rsid w:val="00901BD2"/>
    <w:rsid w:val="00902CAC"/>
    <w:rsid w:val="0090327F"/>
    <w:rsid w:val="0090332C"/>
    <w:rsid w:val="009036CA"/>
    <w:rsid w:val="00903D4B"/>
    <w:rsid w:val="00903F1B"/>
    <w:rsid w:val="0090456E"/>
    <w:rsid w:val="00904690"/>
    <w:rsid w:val="00904BE5"/>
    <w:rsid w:val="0090500E"/>
    <w:rsid w:val="009051C4"/>
    <w:rsid w:val="009059CB"/>
    <w:rsid w:val="00905F56"/>
    <w:rsid w:val="00906551"/>
    <w:rsid w:val="0090757C"/>
    <w:rsid w:val="0091036B"/>
    <w:rsid w:val="0091056D"/>
    <w:rsid w:val="00910615"/>
    <w:rsid w:val="00910F87"/>
    <w:rsid w:val="00911059"/>
    <w:rsid w:val="00911638"/>
    <w:rsid w:val="009117D8"/>
    <w:rsid w:val="00911A62"/>
    <w:rsid w:val="00911B0B"/>
    <w:rsid w:val="00911CB3"/>
    <w:rsid w:val="00911FC7"/>
    <w:rsid w:val="00912300"/>
    <w:rsid w:val="00912553"/>
    <w:rsid w:val="009129BC"/>
    <w:rsid w:val="0091317A"/>
    <w:rsid w:val="00913516"/>
    <w:rsid w:val="00914114"/>
    <w:rsid w:val="0091435E"/>
    <w:rsid w:val="00914DF6"/>
    <w:rsid w:val="00915135"/>
    <w:rsid w:val="009152DD"/>
    <w:rsid w:val="00915587"/>
    <w:rsid w:val="0091588F"/>
    <w:rsid w:val="00915C6D"/>
    <w:rsid w:val="00916103"/>
    <w:rsid w:val="00916152"/>
    <w:rsid w:val="00916DE1"/>
    <w:rsid w:val="00917163"/>
    <w:rsid w:val="00917728"/>
    <w:rsid w:val="00917EDC"/>
    <w:rsid w:val="00917F95"/>
    <w:rsid w:val="00917F9B"/>
    <w:rsid w:val="00920989"/>
    <w:rsid w:val="00920F70"/>
    <w:rsid w:val="0092132F"/>
    <w:rsid w:val="0092136B"/>
    <w:rsid w:val="00921AAF"/>
    <w:rsid w:val="00921F02"/>
    <w:rsid w:val="00922682"/>
    <w:rsid w:val="00922B16"/>
    <w:rsid w:val="00923205"/>
    <w:rsid w:val="00923CA2"/>
    <w:rsid w:val="00923EDF"/>
    <w:rsid w:val="009247B1"/>
    <w:rsid w:val="00924939"/>
    <w:rsid w:val="00924BB9"/>
    <w:rsid w:val="00924E0B"/>
    <w:rsid w:val="00924E82"/>
    <w:rsid w:val="00924F77"/>
    <w:rsid w:val="00925295"/>
    <w:rsid w:val="009263C9"/>
    <w:rsid w:val="00926684"/>
    <w:rsid w:val="009267D2"/>
    <w:rsid w:val="00927070"/>
    <w:rsid w:val="00927235"/>
    <w:rsid w:val="0092731E"/>
    <w:rsid w:val="00927504"/>
    <w:rsid w:val="00927A11"/>
    <w:rsid w:val="00927EFF"/>
    <w:rsid w:val="00930A88"/>
    <w:rsid w:val="00931558"/>
    <w:rsid w:val="0093176B"/>
    <w:rsid w:val="00931894"/>
    <w:rsid w:val="00931D3D"/>
    <w:rsid w:val="00931D6B"/>
    <w:rsid w:val="00931FFA"/>
    <w:rsid w:val="00932347"/>
    <w:rsid w:val="009329E5"/>
    <w:rsid w:val="00933112"/>
    <w:rsid w:val="009337BC"/>
    <w:rsid w:val="009337F6"/>
    <w:rsid w:val="00933D60"/>
    <w:rsid w:val="00933E08"/>
    <w:rsid w:val="009340EA"/>
    <w:rsid w:val="00934179"/>
    <w:rsid w:val="00934212"/>
    <w:rsid w:val="0093463D"/>
    <w:rsid w:val="00934ACA"/>
    <w:rsid w:val="00934B13"/>
    <w:rsid w:val="0093586A"/>
    <w:rsid w:val="00935BF7"/>
    <w:rsid w:val="00935C75"/>
    <w:rsid w:val="00935E11"/>
    <w:rsid w:val="0093682A"/>
    <w:rsid w:val="00936AE7"/>
    <w:rsid w:val="00937401"/>
    <w:rsid w:val="0093781A"/>
    <w:rsid w:val="00937846"/>
    <w:rsid w:val="009408A8"/>
    <w:rsid w:val="00940F2A"/>
    <w:rsid w:val="00941059"/>
    <w:rsid w:val="009413D2"/>
    <w:rsid w:val="00941B1C"/>
    <w:rsid w:val="009425AD"/>
    <w:rsid w:val="009428F0"/>
    <w:rsid w:val="009429CC"/>
    <w:rsid w:val="009433AF"/>
    <w:rsid w:val="00943695"/>
    <w:rsid w:val="00943991"/>
    <w:rsid w:val="00943AD4"/>
    <w:rsid w:val="00943DE2"/>
    <w:rsid w:val="00943E24"/>
    <w:rsid w:val="00944CBA"/>
    <w:rsid w:val="00944F9C"/>
    <w:rsid w:val="009453B4"/>
    <w:rsid w:val="00945587"/>
    <w:rsid w:val="009463C3"/>
    <w:rsid w:val="0094688C"/>
    <w:rsid w:val="0094698F"/>
    <w:rsid w:val="00946F1D"/>
    <w:rsid w:val="009470B6"/>
    <w:rsid w:val="0094710A"/>
    <w:rsid w:val="009479A7"/>
    <w:rsid w:val="0095045F"/>
    <w:rsid w:val="009506B9"/>
    <w:rsid w:val="00950F09"/>
    <w:rsid w:val="009512BC"/>
    <w:rsid w:val="00951863"/>
    <w:rsid w:val="00951981"/>
    <w:rsid w:val="009520DD"/>
    <w:rsid w:val="00952683"/>
    <w:rsid w:val="00952896"/>
    <w:rsid w:val="00953274"/>
    <w:rsid w:val="00953B9E"/>
    <w:rsid w:val="00953BFA"/>
    <w:rsid w:val="00953EA7"/>
    <w:rsid w:val="009540F0"/>
    <w:rsid w:val="00954426"/>
    <w:rsid w:val="00954574"/>
    <w:rsid w:val="009549C9"/>
    <w:rsid w:val="009554F0"/>
    <w:rsid w:val="00955AC6"/>
    <w:rsid w:val="0095690E"/>
    <w:rsid w:val="00956F68"/>
    <w:rsid w:val="00957784"/>
    <w:rsid w:val="00957EC3"/>
    <w:rsid w:val="00960206"/>
    <w:rsid w:val="009602AB"/>
    <w:rsid w:val="00960546"/>
    <w:rsid w:val="0096153F"/>
    <w:rsid w:val="009617C9"/>
    <w:rsid w:val="00961CBC"/>
    <w:rsid w:val="00961CFB"/>
    <w:rsid w:val="0096226E"/>
    <w:rsid w:val="0096241A"/>
    <w:rsid w:val="0096263D"/>
    <w:rsid w:val="00962B4D"/>
    <w:rsid w:val="0096312D"/>
    <w:rsid w:val="0096393C"/>
    <w:rsid w:val="00963D88"/>
    <w:rsid w:val="00963FB3"/>
    <w:rsid w:val="009644F2"/>
    <w:rsid w:val="00965246"/>
    <w:rsid w:val="00965382"/>
    <w:rsid w:val="009655AA"/>
    <w:rsid w:val="00965895"/>
    <w:rsid w:val="00965C36"/>
    <w:rsid w:val="00965F22"/>
    <w:rsid w:val="00965F8B"/>
    <w:rsid w:val="009665F2"/>
    <w:rsid w:val="00966825"/>
    <w:rsid w:val="00967142"/>
    <w:rsid w:val="00967B65"/>
    <w:rsid w:val="00967C5D"/>
    <w:rsid w:val="0097054F"/>
    <w:rsid w:val="0097070F"/>
    <w:rsid w:val="0097080C"/>
    <w:rsid w:val="00970A67"/>
    <w:rsid w:val="00970C70"/>
    <w:rsid w:val="00971153"/>
    <w:rsid w:val="00971ABF"/>
    <w:rsid w:val="00971EC0"/>
    <w:rsid w:val="0097248A"/>
    <w:rsid w:val="009725DE"/>
    <w:rsid w:val="009726EC"/>
    <w:rsid w:val="0097290D"/>
    <w:rsid w:val="00973E2C"/>
    <w:rsid w:val="009741E9"/>
    <w:rsid w:val="00974579"/>
    <w:rsid w:val="00974F95"/>
    <w:rsid w:val="0097534F"/>
    <w:rsid w:val="0097575D"/>
    <w:rsid w:val="00975846"/>
    <w:rsid w:val="00975858"/>
    <w:rsid w:val="00975D44"/>
    <w:rsid w:val="00975E12"/>
    <w:rsid w:val="00975EB7"/>
    <w:rsid w:val="009760E5"/>
    <w:rsid w:val="009768E4"/>
    <w:rsid w:val="00976B79"/>
    <w:rsid w:val="00976FC3"/>
    <w:rsid w:val="00977229"/>
    <w:rsid w:val="009772D7"/>
    <w:rsid w:val="009778E7"/>
    <w:rsid w:val="00977B6B"/>
    <w:rsid w:val="009801E7"/>
    <w:rsid w:val="009804E1"/>
    <w:rsid w:val="009807A4"/>
    <w:rsid w:val="00980AF2"/>
    <w:rsid w:val="00980BCD"/>
    <w:rsid w:val="009810A5"/>
    <w:rsid w:val="009812BE"/>
    <w:rsid w:val="00981A87"/>
    <w:rsid w:val="0098207C"/>
    <w:rsid w:val="00982A44"/>
    <w:rsid w:val="00982B1C"/>
    <w:rsid w:val="00982F75"/>
    <w:rsid w:val="00983615"/>
    <w:rsid w:val="00983E4B"/>
    <w:rsid w:val="00984571"/>
    <w:rsid w:val="00984AE2"/>
    <w:rsid w:val="00984D8F"/>
    <w:rsid w:val="00984DAB"/>
    <w:rsid w:val="00984E0D"/>
    <w:rsid w:val="00984E20"/>
    <w:rsid w:val="009856D8"/>
    <w:rsid w:val="00985E12"/>
    <w:rsid w:val="00986B9E"/>
    <w:rsid w:val="0098704C"/>
    <w:rsid w:val="0098715C"/>
    <w:rsid w:val="00987423"/>
    <w:rsid w:val="009874C0"/>
    <w:rsid w:val="00987650"/>
    <w:rsid w:val="009877C8"/>
    <w:rsid w:val="00987995"/>
    <w:rsid w:val="009905A9"/>
    <w:rsid w:val="00990E92"/>
    <w:rsid w:val="00990EEC"/>
    <w:rsid w:val="00990FA2"/>
    <w:rsid w:val="00991B17"/>
    <w:rsid w:val="00992479"/>
    <w:rsid w:val="00992766"/>
    <w:rsid w:val="00992F6D"/>
    <w:rsid w:val="00993050"/>
    <w:rsid w:val="0099313A"/>
    <w:rsid w:val="0099349B"/>
    <w:rsid w:val="00993985"/>
    <w:rsid w:val="00993B67"/>
    <w:rsid w:val="00994220"/>
    <w:rsid w:val="00994260"/>
    <w:rsid w:val="009945B1"/>
    <w:rsid w:val="009946BC"/>
    <w:rsid w:val="009949E5"/>
    <w:rsid w:val="00994C35"/>
    <w:rsid w:val="00994D63"/>
    <w:rsid w:val="00994E5B"/>
    <w:rsid w:val="00994FDE"/>
    <w:rsid w:val="009950EA"/>
    <w:rsid w:val="0099518D"/>
    <w:rsid w:val="00995227"/>
    <w:rsid w:val="009959E0"/>
    <w:rsid w:val="00995D05"/>
    <w:rsid w:val="009961F5"/>
    <w:rsid w:val="00996919"/>
    <w:rsid w:val="00996BEA"/>
    <w:rsid w:val="00997852"/>
    <w:rsid w:val="00997858"/>
    <w:rsid w:val="00997D0D"/>
    <w:rsid w:val="009A025D"/>
    <w:rsid w:val="009A09CF"/>
    <w:rsid w:val="009A0DD0"/>
    <w:rsid w:val="009A13ED"/>
    <w:rsid w:val="009A2176"/>
    <w:rsid w:val="009A288F"/>
    <w:rsid w:val="009A2947"/>
    <w:rsid w:val="009A2D73"/>
    <w:rsid w:val="009A30E0"/>
    <w:rsid w:val="009A33FB"/>
    <w:rsid w:val="009A3C87"/>
    <w:rsid w:val="009A3F8E"/>
    <w:rsid w:val="009A40C4"/>
    <w:rsid w:val="009A462F"/>
    <w:rsid w:val="009A4CEC"/>
    <w:rsid w:val="009A4DA7"/>
    <w:rsid w:val="009A53BE"/>
    <w:rsid w:val="009A54BF"/>
    <w:rsid w:val="009A580C"/>
    <w:rsid w:val="009A5A04"/>
    <w:rsid w:val="009A5AA7"/>
    <w:rsid w:val="009A5BB5"/>
    <w:rsid w:val="009A6666"/>
    <w:rsid w:val="009A6D76"/>
    <w:rsid w:val="009A7AF7"/>
    <w:rsid w:val="009A7E68"/>
    <w:rsid w:val="009A7EAD"/>
    <w:rsid w:val="009B0525"/>
    <w:rsid w:val="009B0C67"/>
    <w:rsid w:val="009B0ED4"/>
    <w:rsid w:val="009B11BE"/>
    <w:rsid w:val="009B1383"/>
    <w:rsid w:val="009B1A44"/>
    <w:rsid w:val="009B1B39"/>
    <w:rsid w:val="009B1D97"/>
    <w:rsid w:val="009B1E53"/>
    <w:rsid w:val="009B1F6D"/>
    <w:rsid w:val="009B225E"/>
    <w:rsid w:val="009B22BA"/>
    <w:rsid w:val="009B2BE4"/>
    <w:rsid w:val="009B2C80"/>
    <w:rsid w:val="009B2E58"/>
    <w:rsid w:val="009B2F8B"/>
    <w:rsid w:val="009B342C"/>
    <w:rsid w:val="009B345B"/>
    <w:rsid w:val="009B36BF"/>
    <w:rsid w:val="009B376A"/>
    <w:rsid w:val="009B3911"/>
    <w:rsid w:val="009B3D0E"/>
    <w:rsid w:val="009B3E7C"/>
    <w:rsid w:val="009B3FE9"/>
    <w:rsid w:val="009B4143"/>
    <w:rsid w:val="009B427C"/>
    <w:rsid w:val="009B4379"/>
    <w:rsid w:val="009B4D29"/>
    <w:rsid w:val="009B50A0"/>
    <w:rsid w:val="009B5B81"/>
    <w:rsid w:val="009B685D"/>
    <w:rsid w:val="009B6EDF"/>
    <w:rsid w:val="009B70FC"/>
    <w:rsid w:val="009B79D3"/>
    <w:rsid w:val="009B7B0B"/>
    <w:rsid w:val="009C0DA7"/>
    <w:rsid w:val="009C13A4"/>
    <w:rsid w:val="009C14A1"/>
    <w:rsid w:val="009C19D5"/>
    <w:rsid w:val="009C236D"/>
    <w:rsid w:val="009C2767"/>
    <w:rsid w:val="009C2EEF"/>
    <w:rsid w:val="009C2FEB"/>
    <w:rsid w:val="009C33ED"/>
    <w:rsid w:val="009C35A6"/>
    <w:rsid w:val="009C3616"/>
    <w:rsid w:val="009C4067"/>
    <w:rsid w:val="009C4B13"/>
    <w:rsid w:val="009C4BC9"/>
    <w:rsid w:val="009C51C7"/>
    <w:rsid w:val="009C56DA"/>
    <w:rsid w:val="009C596B"/>
    <w:rsid w:val="009C5F30"/>
    <w:rsid w:val="009C5FF1"/>
    <w:rsid w:val="009C614B"/>
    <w:rsid w:val="009C61EC"/>
    <w:rsid w:val="009C6A16"/>
    <w:rsid w:val="009C6E16"/>
    <w:rsid w:val="009D02A1"/>
    <w:rsid w:val="009D0A4A"/>
    <w:rsid w:val="009D17F8"/>
    <w:rsid w:val="009D2D9B"/>
    <w:rsid w:val="009D30D1"/>
    <w:rsid w:val="009D3A7A"/>
    <w:rsid w:val="009D409D"/>
    <w:rsid w:val="009D40FF"/>
    <w:rsid w:val="009D41C3"/>
    <w:rsid w:val="009D4520"/>
    <w:rsid w:val="009D49A1"/>
    <w:rsid w:val="009D51AD"/>
    <w:rsid w:val="009D5703"/>
    <w:rsid w:val="009D5A68"/>
    <w:rsid w:val="009D5F1D"/>
    <w:rsid w:val="009D6138"/>
    <w:rsid w:val="009D6AB0"/>
    <w:rsid w:val="009D760D"/>
    <w:rsid w:val="009D76E2"/>
    <w:rsid w:val="009D7A09"/>
    <w:rsid w:val="009E0290"/>
    <w:rsid w:val="009E0FDA"/>
    <w:rsid w:val="009E13D7"/>
    <w:rsid w:val="009E1BA9"/>
    <w:rsid w:val="009E1BAF"/>
    <w:rsid w:val="009E2033"/>
    <w:rsid w:val="009E2128"/>
    <w:rsid w:val="009E243E"/>
    <w:rsid w:val="009E2B1D"/>
    <w:rsid w:val="009E2D6D"/>
    <w:rsid w:val="009E2EEF"/>
    <w:rsid w:val="009E2F67"/>
    <w:rsid w:val="009E3B7A"/>
    <w:rsid w:val="009E3E02"/>
    <w:rsid w:val="009E418B"/>
    <w:rsid w:val="009E4489"/>
    <w:rsid w:val="009E46F3"/>
    <w:rsid w:val="009E4771"/>
    <w:rsid w:val="009E4CED"/>
    <w:rsid w:val="009E4D55"/>
    <w:rsid w:val="009E5584"/>
    <w:rsid w:val="009E560F"/>
    <w:rsid w:val="009E5FC5"/>
    <w:rsid w:val="009E6C75"/>
    <w:rsid w:val="009E75D7"/>
    <w:rsid w:val="009E7A34"/>
    <w:rsid w:val="009E7BF8"/>
    <w:rsid w:val="009F025D"/>
    <w:rsid w:val="009F0F9C"/>
    <w:rsid w:val="009F0FD5"/>
    <w:rsid w:val="009F1570"/>
    <w:rsid w:val="009F18B4"/>
    <w:rsid w:val="009F1BF1"/>
    <w:rsid w:val="009F24F8"/>
    <w:rsid w:val="009F2AAF"/>
    <w:rsid w:val="009F2B4A"/>
    <w:rsid w:val="009F2E3D"/>
    <w:rsid w:val="009F34E8"/>
    <w:rsid w:val="009F3A3A"/>
    <w:rsid w:val="009F3B1E"/>
    <w:rsid w:val="009F450B"/>
    <w:rsid w:val="009F4692"/>
    <w:rsid w:val="009F49B3"/>
    <w:rsid w:val="009F5351"/>
    <w:rsid w:val="009F568C"/>
    <w:rsid w:val="009F5AAB"/>
    <w:rsid w:val="009F5D68"/>
    <w:rsid w:val="009F66A2"/>
    <w:rsid w:val="009F68E7"/>
    <w:rsid w:val="009F6C52"/>
    <w:rsid w:val="009F6D84"/>
    <w:rsid w:val="009F6DF6"/>
    <w:rsid w:val="009F751D"/>
    <w:rsid w:val="009F78ED"/>
    <w:rsid w:val="009F7EC6"/>
    <w:rsid w:val="00A005C1"/>
    <w:rsid w:val="00A00EF2"/>
    <w:rsid w:val="00A01225"/>
    <w:rsid w:val="00A01BA0"/>
    <w:rsid w:val="00A01DC6"/>
    <w:rsid w:val="00A0213A"/>
    <w:rsid w:val="00A02231"/>
    <w:rsid w:val="00A0258D"/>
    <w:rsid w:val="00A02632"/>
    <w:rsid w:val="00A029E2"/>
    <w:rsid w:val="00A02B2C"/>
    <w:rsid w:val="00A02B57"/>
    <w:rsid w:val="00A036AC"/>
    <w:rsid w:val="00A03A1B"/>
    <w:rsid w:val="00A03B04"/>
    <w:rsid w:val="00A04189"/>
    <w:rsid w:val="00A0418E"/>
    <w:rsid w:val="00A0509C"/>
    <w:rsid w:val="00A05250"/>
    <w:rsid w:val="00A0536D"/>
    <w:rsid w:val="00A058B0"/>
    <w:rsid w:val="00A05D3E"/>
    <w:rsid w:val="00A06794"/>
    <w:rsid w:val="00A069F9"/>
    <w:rsid w:val="00A06DE9"/>
    <w:rsid w:val="00A07007"/>
    <w:rsid w:val="00A0769C"/>
    <w:rsid w:val="00A07E52"/>
    <w:rsid w:val="00A07E59"/>
    <w:rsid w:val="00A111FB"/>
    <w:rsid w:val="00A1138E"/>
    <w:rsid w:val="00A11B8B"/>
    <w:rsid w:val="00A11BAF"/>
    <w:rsid w:val="00A11CA9"/>
    <w:rsid w:val="00A12236"/>
    <w:rsid w:val="00A127B3"/>
    <w:rsid w:val="00A12B39"/>
    <w:rsid w:val="00A12C23"/>
    <w:rsid w:val="00A133C7"/>
    <w:rsid w:val="00A13549"/>
    <w:rsid w:val="00A14237"/>
    <w:rsid w:val="00A14315"/>
    <w:rsid w:val="00A146E3"/>
    <w:rsid w:val="00A14F43"/>
    <w:rsid w:val="00A14FAF"/>
    <w:rsid w:val="00A1528A"/>
    <w:rsid w:val="00A15EC0"/>
    <w:rsid w:val="00A162B5"/>
    <w:rsid w:val="00A162E2"/>
    <w:rsid w:val="00A16D6A"/>
    <w:rsid w:val="00A16E14"/>
    <w:rsid w:val="00A172E8"/>
    <w:rsid w:val="00A173EC"/>
    <w:rsid w:val="00A1758A"/>
    <w:rsid w:val="00A1783C"/>
    <w:rsid w:val="00A17E82"/>
    <w:rsid w:val="00A205EF"/>
    <w:rsid w:val="00A20C44"/>
    <w:rsid w:val="00A20E12"/>
    <w:rsid w:val="00A21054"/>
    <w:rsid w:val="00A2153B"/>
    <w:rsid w:val="00A218BF"/>
    <w:rsid w:val="00A21A8C"/>
    <w:rsid w:val="00A21C16"/>
    <w:rsid w:val="00A21F81"/>
    <w:rsid w:val="00A222E9"/>
    <w:rsid w:val="00A224AD"/>
    <w:rsid w:val="00A22B29"/>
    <w:rsid w:val="00A22D5D"/>
    <w:rsid w:val="00A23463"/>
    <w:rsid w:val="00A2392C"/>
    <w:rsid w:val="00A23AF7"/>
    <w:rsid w:val="00A23C6C"/>
    <w:rsid w:val="00A24582"/>
    <w:rsid w:val="00A245EB"/>
    <w:rsid w:val="00A2494C"/>
    <w:rsid w:val="00A2502F"/>
    <w:rsid w:val="00A25600"/>
    <w:rsid w:val="00A2607E"/>
    <w:rsid w:val="00A26823"/>
    <w:rsid w:val="00A26A43"/>
    <w:rsid w:val="00A26D55"/>
    <w:rsid w:val="00A271CC"/>
    <w:rsid w:val="00A27AA1"/>
    <w:rsid w:val="00A27F23"/>
    <w:rsid w:val="00A27FEB"/>
    <w:rsid w:val="00A301DC"/>
    <w:rsid w:val="00A31206"/>
    <w:rsid w:val="00A3155E"/>
    <w:rsid w:val="00A31B6B"/>
    <w:rsid w:val="00A31B93"/>
    <w:rsid w:val="00A321DA"/>
    <w:rsid w:val="00A32265"/>
    <w:rsid w:val="00A322B7"/>
    <w:rsid w:val="00A32CB8"/>
    <w:rsid w:val="00A33119"/>
    <w:rsid w:val="00A3329F"/>
    <w:rsid w:val="00A3351F"/>
    <w:rsid w:val="00A3353E"/>
    <w:rsid w:val="00A3402F"/>
    <w:rsid w:val="00A34245"/>
    <w:rsid w:val="00A34377"/>
    <w:rsid w:val="00A3454C"/>
    <w:rsid w:val="00A34A7A"/>
    <w:rsid w:val="00A351BC"/>
    <w:rsid w:val="00A355C8"/>
    <w:rsid w:val="00A35AA7"/>
    <w:rsid w:val="00A35B7F"/>
    <w:rsid w:val="00A35C10"/>
    <w:rsid w:val="00A35C9C"/>
    <w:rsid w:val="00A362CB"/>
    <w:rsid w:val="00A3634E"/>
    <w:rsid w:val="00A36934"/>
    <w:rsid w:val="00A36D7E"/>
    <w:rsid w:val="00A3727B"/>
    <w:rsid w:val="00A37567"/>
    <w:rsid w:val="00A37612"/>
    <w:rsid w:val="00A3780F"/>
    <w:rsid w:val="00A404DB"/>
    <w:rsid w:val="00A40D04"/>
    <w:rsid w:val="00A41207"/>
    <w:rsid w:val="00A41427"/>
    <w:rsid w:val="00A41A70"/>
    <w:rsid w:val="00A41E01"/>
    <w:rsid w:val="00A41F41"/>
    <w:rsid w:val="00A4221B"/>
    <w:rsid w:val="00A42526"/>
    <w:rsid w:val="00A42628"/>
    <w:rsid w:val="00A4274F"/>
    <w:rsid w:val="00A42798"/>
    <w:rsid w:val="00A428D8"/>
    <w:rsid w:val="00A429DE"/>
    <w:rsid w:val="00A42F63"/>
    <w:rsid w:val="00A42FD9"/>
    <w:rsid w:val="00A42FE0"/>
    <w:rsid w:val="00A4310A"/>
    <w:rsid w:val="00A43256"/>
    <w:rsid w:val="00A43716"/>
    <w:rsid w:val="00A4386C"/>
    <w:rsid w:val="00A4437B"/>
    <w:rsid w:val="00A44677"/>
    <w:rsid w:val="00A4467D"/>
    <w:rsid w:val="00A4494D"/>
    <w:rsid w:val="00A4499E"/>
    <w:rsid w:val="00A44CD0"/>
    <w:rsid w:val="00A44EAA"/>
    <w:rsid w:val="00A453AF"/>
    <w:rsid w:val="00A4557F"/>
    <w:rsid w:val="00A4585E"/>
    <w:rsid w:val="00A45ABA"/>
    <w:rsid w:val="00A45D1C"/>
    <w:rsid w:val="00A45FA8"/>
    <w:rsid w:val="00A461AB"/>
    <w:rsid w:val="00A46243"/>
    <w:rsid w:val="00A46A25"/>
    <w:rsid w:val="00A4709F"/>
    <w:rsid w:val="00A47372"/>
    <w:rsid w:val="00A47686"/>
    <w:rsid w:val="00A47C07"/>
    <w:rsid w:val="00A47EBB"/>
    <w:rsid w:val="00A50610"/>
    <w:rsid w:val="00A507EE"/>
    <w:rsid w:val="00A50F53"/>
    <w:rsid w:val="00A51924"/>
    <w:rsid w:val="00A51E56"/>
    <w:rsid w:val="00A5204A"/>
    <w:rsid w:val="00A5276E"/>
    <w:rsid w:val="00A527F4"/>
    <w:rsid w:val="00A52DFB"/>
    <w:rsid w:val="00A5361C"/>
    <w:rsid w:val="00A53A54"/>
    <w:rsid w:val="00A53E14"/>
    <w:rsid w:val="00A5458A"/>
    <w:rsid w:val="00A5466E"/>
    <w:rsid w:val="00A54B95"/>
    <w:rsid w:val="00A5504E"/>
    <w:rsid w:val="00A5506E"/>
    <w:rsid w:val="00A55097"/>
    <w:rsid w:val="00A55326"/>
    <w:rsid w:val="00A559C0"/>
    <w:rsid w:val="00A56594"/>
    <w:rsid w:val="00A5690E"/>
    <w:rsid w:val="00A56CE8"/>
    <w:rsid w:val="00A5752D"/>
    <w:rsid w:val="00A57664"/>
    <w:rsid w:val="00A57B94"/>
    <w:rsid w:val="00A57BF0"/>
    <w:rsid w:val="00A57D1C"/>
    <w:rsid w:val="00A57E0E"/>
    <w:rsid w:val="00A6001D"/>
    <w:rsid w:val="00A60C3F"/>
    <w:rsid w:val="00A61255"/>
    <w:rsid w:val="00A61278"/>
    <w:rsid w:val="00A61711"/>
    <w:rsid w:val="00A61CC1"/>
    <w:rsid w:val="00A62192"/>
    <w:rsid w:val="00A6247D"/>
    <w:rsid w:val="00A6266E"/>
    <w:rsid w:val="00A62B11"/>
    <w:rsid w:val="00A62C62"/>
    <w:rsid w:val="00A62F19"/>
    <w:rsid w:val="00A632F9"/>
    <w:rsid w:val="00A6368B"/>
    <w:rsid w:val="00A64062"/>
    <w:rsid w:val="00A64B05"/>
    <w:rsid w:val="00A64DE2"/>
    <w:rsid w:val="00A654AA"/>
    <w:rsid w:val="00A656DE"/>
    <w:rsid w:val="00A65B5D"/>
    <w:rsid w:val="00A65F85"/>
    <w:rsid w:val="00A66150"/>
    <w:rsid w:val="00A66C99"/>
    <w:rsid w:val="00A672D2"/>
    <w:rsid w:val="00A673EA"/>
    <w:rsid w:val="00A6742D"/>
    <w:rsid w:val="00A67472"/>
    <w:rsid w:val="00A67DDF"/>
    <w:rsid w:val="00A710A9"/>
    <w:rsid w:val="00A71380"/>
    <w:rsid w:val="00A71AE4"/>
    <w:rsid w:val="00A71E11"/>
    <w:rsid w:val="00A71E6D"/>
    <w:rsid w:val="00A7239B"/>
    <w:rsid w:val="00A7245B"/>
    <w:rsid w:val="00A72651"/>
    <w:rsid w:val="00A726B2"/>
    <w:rsid w:val="00A72DB5"/>
    <w:rsid w:val="00A7372A"/>
    <w:rsid w:val="00A7374C"/>
    <w:rsid w:val="00A73B38"/>
    <w:rsid w:val="00A73DCF"/>
    <w:rsid w:val="00A74D0C"/>
    <w:rsid w:val="00A74E7D"/>
    <w:rsid w:val="00A750C7"/>
    <w:rsid w:val="00A7545B"/>
    <w:rsid w:val="00A75632"/>
    <w:rsid w:val="00A761CE"/>
    <w:rsid w:val="00A767B1"/>
    <w:rsid w:val="00A767EE"/>
    <w:rsid w:val="00A779E8"/>
    <w:rsid w:val="00A80214"/>
    <w:rsid w:val="00A80863"/>
    <w:rsid w:val="00A8123F"/>
    <w:rsid w:val="00A81616"/>
    <w:rsid w:val="00A81D09"/>
    <w:rsid w:val="00A81E47"/>
    <w:rsid w:val="00A82653"/>
    <w:rsid w:val="00A82720"/>
    <w:rsid w:val="00A82ED1"/>
    <w:rsid w:val="00A8365E"/>
    <w:rsid w:val="00A84022"/>
    <w:rsid w:val="00A84139"/>
    <w:rsid w:val="00A8429D"/>
    <w:rsid w:val="00A844EC"/>
    <w:rsid w:val="00A8451F"/>
    <w:rsid w:val="00A84785"/>
    <w:rsid w:val="00A848D8"/>
    <w:rsid w:val="00A84B7A"/>
    <w:rsid w:val="00A84BAC"/>
    <w:rsid w:val="00A85211"/>
    <w:rsid w:val="00A858E5"/>
    <w:rsid w:val="00A860B7"/>
    <w:rsid w:val="00A862B2"/>
    <w:rsid w:val="00A86401"/>
    <w:rsid w:val="00A86564"/>
    <w:rsid w:val="00A86E51"/>
    <w:rsid w:val="00A8787B"/>
    <w:rsid w:val="00A87B44"/>
    <w:rsid w:val="00A87C14"/>
    <w:rsid w:val="00A87CE1"/>
    <w:rsid w:val="00A900FC"/>
    <w:rsid w:val="00A902A4"/>
    <w:rsid w:val="00A916B2"/>
    <w:rsid w:val="00A91AA8"/>
    <w:rsid w:val="00A91AF3"/>
    <w:rsid w:val="00A91B7D"/>
    <w:rsid w:val="00A923B2"/>
    <w:rsid w:val="00A92580"/>
    <w:rsid w:val="00A92605"/>
    <w:rsid w:val="00A92793"/>
    <w:rsid w:val="00A93158"/>
    <w:rsid w:val="00A93340"/>
    <w:rsid w:val="00A9354B"/>
    <w:rsid w:val="00A93D46"/>
    <w:rsid w:val="00A93DD2"/>
    <w:rsid w:val="00A94026"/>
    <w:rsid w:val="00A9402F"/>
    <w:rsid w:val="00A94268"/>
    <w:rsid w:val="00A94361"/>
    <w:rsid w:val="00A943ED"/>
    <w:rsid w:val="00A9488D"/>
    <w:rsid w:val="00A94A29"/>
    <w:rsid w:val="00A94FC5"/>
    <w:rsid w:val="00A950F1"/>
    <w:rsid w:val="00A951BF"/>
    <w:rsid w:val="00A9550C"/>
    <w:rsid w:val="00A95584"/>
    <w:rsid w:val="00A95DBA"/>
    <w:rsid w:val="00A95ED2"/>
    <w:rsid w:val="00A96104"/>
    <w:rsid w:val="00A9621F"/>
    <w:rsid w:val="00A96510"/>
    <w:rsid w:val="00A96687"/>
    <w:rsid w:val="00A967F5"/>
    <w:rsid w:val="00A97C4B"/>
    <w:rsid w:val="00A97D4E"/>
    <w:rsid w:val="00AA03AC"/>
    <w:rsid w:val="00AA0ACB"/>
    <w:rsid w:val="00AA0CCA"/>
    <w:rsid w:val="00AA1361"/>
    <w:rsid w:val="00AA198C"/>
    <w:rsid w:val="00AA1E82"/>
    <w:rsid w:val="00AA2C1E"/>
    <w:rsid w:val="00AA35FF"/>
    <w:rsid w:val="00AA3D6E"/>
    <w:rsid w:val="00AA4258"/>
    <w:rsid w:val="00AA433C"/>
    <w:rsid w:val="00AA4CE3"/>
    <w:rsid w:val="00AA5739"/>
    <w:rsid w:val="00AA5B75"/>
    <w:rsid w:val="00AA61B5"/>
    <w:rsid w:val="00AA6226"/>
    <w:rsid w:val="00AA65B1"/>
    <w:rsid w:val="00AA74BF"/>
    <w:rsid w:val="00AA786F"/>
    <w:rsid w:val="00AA7943"/>
    <w:rsid w:val="00AA7B70"/>
    <w:rsid w:val="00AA7D20"/>
    <w:rsid w:val="00AA7FF4"/>
    <w:rsid w:val="00AB0AA0"/>
    <w:rsid w:val="00AB0C62"/>
    <w:rsid w:val="00AB0D71"/>
    <w:rsid w:val="00AB0E6D"/>
    <w:rsid w:val="00AB14CF"/>
    <w:rsid w:val="00AB162E"/>
    <w:rsid w:val="00AB1707"/>
    <w:rsid w:val="00AB1820"/>
    <w:rsid w:val="00AB1B1D"/>
    <w:rsid w:val="00AB23BE"/>
    <w:rsid w:val="00AB26C1"/>
    <w:rsid w:val="00AB2B2A"/>
    <w:rsid w:val="00AB318A"/>
    <w:rsid w:val="00AB350C"/>
    <w:rsid w:val="00AB37A5"/>
    <w:rsid w:val="00AB3BAE"/>
    <w:rsid w:val="00AB3C78"/>
    <w:rsid w:val="00AB3CD3"/>
    <w:rsid w:val="00AB3E13"/>
    <w:rsid w:val="00AB3F51"/>
    <w:rsid w:val="00AB4157"/>
    <w:rsid w:val="00AB560F"/>
    <w:rsid w:val="00AB5C4D"/>
    <w:rsid w:val="00AB6A4A"/>
    <w:rsid w:val="00AB6D15"/>
    <w:rsid w:val="00AB6E17"/>
    <w:rsid w:val="00AB73A4"/>
    <w:rsid w:val="00AB76F7"/>
    <w:rsid w:val="00AB7710"/>
    <w:rsid w:val="00AB7EDB"/>
    <w:rsid w:val="00AB7FFC"/>
    <w:rsid w:val="00AC04F3"/>
    <w:rsid w:val="00AC0BA4"/>
    <w:rsid w:val="00AC0FF1"/>
    <w:rsid w:val="00AC13A4"/>
    <w:rsid w:val="00AC1438"/>
    <w:rsid w:val="00AC1558"/>
    <w:rsid w:val="00AC1A9F"/>
    <w:rsid w:val="00AC1AA3"/>
    <w:rsid w:val="00AC1D63"/>
    <w:rsid w:val="00AC20A2"/>
    <w:rsid w:val="00AC2102"/>
    <w:rsid w:val="00AC234A"/>
    <w:rsid w:val="00AC23BD"/>
    <w:rsid w:val="00AC25E1"/>
    <w:rsid w:val="00AC2D32"/>
    <w:rsid w:val="00AC32BC"/>
    <w:rsid w:val="00AC34AE"/>
    <w:rsid w:val="00AC3789"/>
    <w:rsid w:val="00AC3D1C"/>
    <w:rsid w:val="00AC4778"/>
    <w:rsid w:val="00AC47D2"/>
    <w:rsid w:val="00AC52F2"/>
    <w:rsid w:val="00AC579B"/>
    <w:rsid w:val="00AC5B7B"/>
    <w:rsid w:val="00AC5C39"/>
    <w:rsid w:val="00AC6B02"/>
    <w:rsid w:val="00AC71B6"/>
    <w:rsid w:val="00AC7798"/>
    <w:rsid w:val="00AC7A7F"/>
    <w:rsid w:val="00AC7E87"/>
    <w:rsid w:val="00AD042C"/>
    <w:rsid w:val="00AD0BBE"/>
    <w:rsid w:val="00AD0C3C"/>
    <w:rsid w:val="00AD13C4"/>
    <w:rsid w:val="00AD1752"/>
    <w:rsid w:val="00AD1F81"/>
    <w:rsid w:val="00AD1F9B"/>
    <w:rsid w:val="00AD212C"/>
    <w:rsid w:val="00AD24AA"/>
    <w:rsid w:val="00AD26A7"/>
    <w:rsid w:val="00AD2DD1"/>
    <w:rsid w:val="00AD3083"/>
    <w:rsid w:val="00AD330D"/>
    <w:rsid w:val="00AD419E"/>
    <w:rsid w:val="00AD4D2B"/>
    <w:rsid w:val="00AD4E96"/>
    <w:rsid w:val="00AD510A"/>
    <w:rsid w:val="00AD51E7"/>
    <w:rsid w:val="00AD54D7"/>
    <w:rsid w:val="00AD569B"/>
    <w:rsid w:val="00AD585E"/>
    <w:rsid w:val="00AD5863"/>
    <w:rsid w:val="00AD62FD"/>
    <w:rsid w:val="00AD732E"/>
    <w:rsid w:val="00AD73EA"/>
    <w:rsid w:val="00AD747A"/>
    <w:rsid w:val="00AD756F"/>
    <w:rsid w:val="00AD7983"/>
    <w:rsid w:val="00AD7CB0"/>
    <w:rsid w:val="00AD7D5E"/>
    <w:rsid w:val="00AD7E65"/>
    <w:rsid w:val="00AE008E"/>
    <w:rsid w:val="00AE049B"/>
    <w:rsid w:val="00AE06C9"/>
    <w:rsid w:val="00AE079A"/>
    <w:rsid w:val="00AE0A4A"/>
    <w:rsid w:val="00AE0E38"/>
    <w:rsid w:val="00AE10C3"/>
    <w:rsid w:val="00AE13D0"/>
    <w:rsid w:val="00AE142D"/>
    <w:rsid w:val="00AE1460"/>
    <w:rsid w:val="00AE1803"/>
    <w:rsid w:val="00AE1A08"/>
    <w:rsid w:val="00AE1A11"/>
    <w:rsid w:val="00AE1A5C"/>
    <w:rsid w:val="00AE2586"/>
    <w:rsid w:val="00AE297B"/>
    <w:rsid w:val="00AE36E6"/>
    <w:rsid w:val="00AE3D7B"/>
    <w:rsid w:val="00AE3E4D"/>
    <w:rsid w:val="00AE48F2"/>
    <w:rsid w:val="00AE5355"/>
    <w:rsid w:val="00AE5511"/>
    <w:rsid w:val="00AE58D5"/>
    <w:rsid w:val="00AE5F7B"/>
    <w:rsid w:val="00AE6686"/>
    <w:rsid w:val="00AE68FD"/>
    <w:rsid w:val="00AE720C"/>
    <w:rsid w:val="00AE7318"/>
    <w:rsid w:val="00AE7385"/>
    <w:rsid w:val="00AE7396"/>
    <w:rsid w:val="00AE79F7"/>
    <w:rsid w:val="00AE7C41"/>
    <w:rsid w:val="00AE7C43"/>
    <w:rsid w:val="00AF0266"/>
    <w:rsid w:val="00AF0B11"/>
    <w:rsid w:val="00AF0EF6"/>
    <w:rsid w:val="00AF14F6"/>
    <w:rsid w:val="00AF19B4"/>
    <w:rsid w:val="00AF1DD6"/>
    <w:rsid w:val="00AF2157"/>
    <w:rsid w:val="00AF226D"/>
    <w:rsid w:val="00AF22A0"/>
    <w:rsid w:val="00AF2FE7"/>
    <w:rsid w:val="00AF3B84"/>
    <w:rsid w:val="00AF49E2"/>
    <w:rsid w:val="00AF49E5"/>
    <w:rsid w:val="00AF4BD3"/>
    <w:rsid w:val="00AF55C4"/>
    <w:rsid w:val="00AF5620"/>
    <w:rsid w:val="00AF575A"/>
    <w:rsid w:val="00AF5B00"/>
    <w:rsid w:val="00AF643C"/>
    <w:rsid w:val="00AF6854"/>
    <w:rsid w:val="00AF755D"/>
    <w:rsid w:val="00AF7B09"/>
    <w:rsid w:val="00B0003F"/>
    <w:rsid w:val="00B00785"/>
    <w:rsid w:val="00B00A63"/>
    <w:rsid w:val="00B015F3"/>
    <w:rsid w:val="00B01634"/>
    <w:rsid w:val="00B01655"/>
    <w:rsid w:val="00B01E4F"/>
    <w:rsid w:val="00B025DB"/>
    <w:rsid w:val="00B02771"/>
    <w:rsid w:val="00B02C6C"/>
    <w:rsid w:val="00B03EF1"/>
    <w:rsid w:val="00B040AE"/>
    <w:rsid w:val="00B0474C"/>
    <w:rsid w:val="00B04AE9"/>
    <w:rsid w:val="00B056CA"/>
    <w:rsid w:val="00B05C8C"/>
    <w:rsid w:val="00B0627D"/>
    <w:rsid w:val="00B06546"/>
    <w:rsid w:val="00B06565"/>
    <w:rsid w:val="00B06CC5"/>
    <w:rsid w:val="00B06E43"/>
    <w:rsid w:val="00B06F3E"/>
    <w:rsid w:val="00B07496"/>
    <w:rsid w:val="00B079F8"/>
    <w:rsid w:val="00B07BDF"/>
    <w:rsid w:val="00B07C23"/>
    <w:rsid w:val="00B07C88"/>
    <w:rsid w:val="00B07E50"/>
    <w:rsid w:val="00B10687"/>
    <w:rsid w:val="00B107A3"/>
    <w:rsid w:val="00B10CBF"/>
    <w:rsid w:val="00B10E2A"/>
    <w:rsid w:val="00B110F0"/>
    <w:rsid w:val="00B1166E"/>
    <w:rsid w:val="00B1178F"/>
    <w:rsid w:val="00B11793"/>
    <w:rsid w:val="00B11E35"/>
    <w:rsid w:val="00B138BF"/>
    <w:rsid w:val="00B1439E"/>
    <w:rsid w:val="00B14501"/>
    <w:rsid w:val="00B14549"/>
    <w:rsid w:val="00B146DD"/>
    <w:rsid w:val="00B151E5"/>
    <w:rsid w:val="00B1569C"/>
    <w:rsid w:val="00B159F7"/>
    <w:rsid w:val="00B17642"/>
    <w:rsid w:val="00B204B4"/>
    <w:rsid w:val="00B2068A"/>
    <w:rsid w:val="00B20785"/>
    <w:rsid w:val="00B20911"/>
    <w:rsid w:val="00B20CEB"/>
    <w:rsid w:val="00B211E6"/>
    <w:rsid w:val="00B21696"/>
    <w:rsid w:val="00B21F56"/>
    <w:rsid w:val="00B22374"/>
    <w:rsid w:val="00B22D86"/>
    <w:rsid w:val="00B22ED8"/>
    <w:rsid w:val="00B230D0"/>
    <w:rsid w:val="00B2369E"/>
    <w:rsid w:val="00B24044"/>
    <w:rsid w:val="00B2437F"/>
    <w:rsid w:val="00B2450E"/>
    <w:rsid w:val="00B24624"/>
    <w:rsid w:val="00B24699"/>
    <w:rsid w:val="00B246A3"/>
    <w:rsid w:val="00B24D0A"/>
    <w:rsid w:val="00B2517B"/>
    <w:rsid w:val="00B26368"/>
    <w:rsid w:val="00B263E3"/>
    <w:rsid w:val="00B277CF"/>
    <w:rsid w:val="00B27A9E"/>
    <w:rsid w:val="00B27DBB"/>
    <w:rsid w:val="00B305AD"/>
    <w:rsid w:val="00B30612"/>
    <w:rsid w:val="00B3086C"/>
    <w:rsid w:val="00B30A74"/>
    <w:rsid w:val="00B317D9"/>
    <w:rsid w:val="00B319B8"/>
    <w:rsid w:val="00B31A7E"/>
    <w:rsid w:val="00B31AF6"/>
    <w:rsid w:val="00B31EAC"/>
    <w:rsid w:val="00B3246E"/>
    <w:rsid w:val="00B32E91"/>
    <w:rsid w:val="00B330F8"/>
    <w:rsid w:val="00B3317D"/>
    <w:rsid w:val="00B33738"/>
    <w:rsid w:val="00B3388C"/>
    <w:rsid w:val="00B33923"/>
    <w:rsid w:val="00B343D5"/>
    <w:rsid w:val="00B34CAD"/>
    <w:rsid w:val="00B34CF2"/>
    <w:rsid w:val="00B35053"/>
    <w:rsid w:val="00B3505A"/>
    <w:rsid w:val="00B35908"/>
    <w:rsid w:val="00B359A0"/>
    <w:rsid w:val="00B35A53"/>
    <w:rsid w:val="00B362EF"/>
    <w:rsid w:val="00B36583"/>
    <w:rsid w:val="00B36683"/>
    <w:rsid w:val="00B36805"/>
    <w:rsid w:val="00B378F0"/>
    <w:rsid w:val="00B37C29"/>
    <w:rsid w:val="00B4038D"/>
    <w:rsid w:val="00B4047C"/>
    <w:rsid w:val="00B40495"/>
    <w:rsid w:val="00B404FB"/>
    <w:rsid w:val="00B40804"/>
    <w:rsid w:val="00B4095A"/>
    <w:rsid w:val="00B40E0C"/>
    <w:rsid w:val="00B40EF4"/>
    <w:rsid w:val="00B41499"/>
    <w:rsid w:val="00B41E28"/>
    <w:rsid w:val="00B41EC4"/>
    <w:rsid w:val="00B41FFD"/>
    <w:rsid w:val="00B429B1"/>
    <w:rsid w:val="00B42ACE"/>
    <w:rsid w:val="00B4387D"/>
    <w:rsid w:val="00B43953"/>
    <w:rsid w:val="00B43AD6"/>
    <w:rsid w:val="00B43DB2"/>
    <w:rsid w:val="00B43FD2"/>
    <w:rsid w:val="00B4438F"/>
    <w:rsid w:val="00B449AA"/>
    <w:rsid w:val="00B455C1"/>
    <w:rsid w:val="00B45A95"/>
    <w:rsid w:val="00B45FB8"/>
    <w:rsid w:val="00B472FD"/>
    <w:rsid w:val="00B473D6"/>
    <w:rsid w:val="00B47884"/>
    <w:rsid w:val="00B50814"/>
    <w:rsid w:val="00B50E85"/>
    <w:rsid w:val="00B514C9"/>
    <w:rsid w:val="00B525CD"/>
    <w:rsid w:val="00B52A46"/>
    <w:rsid w:val="00B52AD5"/>
    <w:rsid w:val="00B52B9A"/>
    <w:rsid w:val="00B52BB3"/>
    <w:rsid w:val="00B52CDF"/>
    <w:rsid w:val="00B52D1A"/>
    <w:rsid w:val="00B52E19"/>
    <w:rsid w:val="00B53058"/>
    <w:rsid w:val="00B532C8"/>
    <w:rsid w:val="00B539BC"/>
    <w:rsid w:val="00B54E01"/>
    <w:rsid w:val="00B5595B"/>
    <w:rsid w:val="00B55ABC"/>
    <w:rsid w:val="00B55B7D"/>
    <w:rsid w:val="00B55E35"/>
    <w:rsid w:val="00B5733F"/>
    <w:rsid w:val="00B57A05"/>
    <w:rsid w:val="00B57BA3"/>
    <w:rsid w:val="00B57D7B"/>
    <w:rsid w:val="00B57FA2"/>
    <w:rsid w:val="00B60170"/>
    <w:rsid w:val="00B612B7"/>
    <w:rsid w:val="00B61508"/>
    <w:rsid w:val="00B6199A"/>
    <w:rsid w:val="00B61C1C"/>
    <w:rsid w:val="00B61D8D"/>
    <w:rsid w:val="00B62198"/>
    <w:rsid w:val="00B6229B"/>
    <w:rsid w:val="00B627F7"/>
    <w:rsid w:val="00B63440"/>
    <w:rsid w:val="00B63758"/>
    <w:rsid w:val="00B63794"/>
    <w:rsid w:val="00B639F2"/>
    <w:rsid w:val="00B63BA4"/>
    <w:rsid w:val="00B63F6C"/>
    <w:rsid w:val="00B63FBC"/>
    <w:rsid w:val="00B64135"/>
    <w:rsid w:val="00B651F7"/>
    <w:rsid w:val="00B65542"/>
    <w:rsid w:val="00B65821"/>
    <w:rsid w:val="00B65ACA"/>
    <w:rsid w:val="00B66105"/>
    <w:rsid w:val="00B66310"/>
    <w:rsid w:val="00B67235"/>
    <w:rsid w:val="00B675A7"/>
    <w:rsid w:val="00B675AA"/>
    <w:rsid w:val="00B67642"/>
    <w:rsid w:val="00B67A6B"/>
    <w:rsid w:val="00B67E42"/>
    <w:rsid w:val="00B67E65"/>
    <w:rsid w:val="00B700C9"/>
    <w:rsid w:val="00B70116"/>
    <w:rsid w:val="00B701ED"/>
    <w:rsid w:val="00B70490"/>
    <w:rsid w:val="00B7074F"/>
    <w:rsid w:val="00B709A1"/>
    <w:rsid w:val="00B70F55"/>
    <w:rsid w:val="00B71044"/>
    <w:rsid w:val="00B7126E"/>
    <w:rsid w:val="00B71C00"/>
    <w:rsid w:val="00B72A76"/>
    <w:rsid w:val="00B72C16"/>
    <w:rsid w:val="00B72F39"/>
    <w:rsid w:val="00B73109"/>
    <w:rsid w:val="00B73458"/>
    <w:rsid w:val="00B740B9"/>
    <w:rsid w:val="00B7481A"/>
    <w:rsid w:val="00B74CD6"/>
    <w:rsid w:val="00B757B9"/>
    <w:rsid w:val="00B75A6C"/>
    <w:rsid w:val="00B75AF0"/>
    <w:rsid w:val="00B75E8D"/>
    <w:rsid w:val="00B762F4"/>
    <w:rsid w:val="00B763B3"/>
    <w:rsid w:val="00B765AF"/>
    <w:rsid w:val="00B76F4D"/>
    <w:rsid w:val="00B773C8"/>
    <w:rsid w:val="00B77D9A"/>
    <w:rsid w:val="00B77F53"/>
    <w:rsid w:val="00B80270"/>
    <w:rsid w:val="00B8116D"/>
    <w:rsid w:val="00B819C1"/>
    <w:rsid w:val="00B81A06"/>
    <w:rsid w:val="00B81E33"/>
    <w:rsid w:val="00B81FDF"/>
    <w:rsid w:val="00B828FC"/>
    <w:rsid w:val="00B83299"/>
    <w:rsid w:val="00B834BA"/>
    <w:rsid w:val="00B83843"/>
    <w:rsid w:val="00B83DA0"/>
    <w:rsid w:val="00B83F6E"/>
    <w:rsid w:val="00B83F96"/>
    <w:rsid w:val="00B8426B"/>
    <w:rsid w:val="00B8436F"/>
    <w:rsid w:val="00B84642"/>
    <w:rsid w:val="00B84A4E"/>
    <w:rsid w:val="00B84A8D"/>
    <w:rsid w:val="00B84D02"/>
    <w:rsid w:val="00B84DB7"/>
    <w:rsid w:val="00B8525C"/>
    <w:rsid w:val="00B85482"/>
    <w:rsid w:val="00B85B95"/>
    <w:rsid w:val="00B86826"/>
    <w:rsid w:val="00B8705B"/>
    <w:rsid w:val="00B87303"/>
    <w:rsid w:val="00B87E28"/>
    <w:rsid w:val="00B87E41"/>
    <w:rsid w:val="00B87E45"/>
    <w:rsid w:val="00B90298"/>
    <w:rsid w:val="00B90349"/>
    <w:rsid w:val="00B906B4"/>
    <w:rsid w:val="00B9163E"/>
    <w:rsid w:val="00B91854"/>
    <w:rsid w:val="00B919F2"/>
    <w:rsid w:val="00B91B86"/>
    <w:rsid w:val="00B91D02"/>
    <w:rsid w:val="00B92312"/>
    <w:rsid w:val="00B9265E"/>
    <w:rsid w:val="00B929A1"/>
    <w:rsid w:val="00B92A6B"/>
    <w:rsid w:val="00B93353"/>
    <w:rsid w:val="00B9393F"/>
    <w:rsid w:val="00B93A8F"/>
    <w:rsid w:val="00B941BB"/>
    <w:rsid w:val="00B94798"/>
    <w:rsid w:val="00B94B12"/>
    <w:rsid w:val="00B94E0F"/>
    <w:rsid w:val="00B954F6"/>
    <w:rsid w:val="00B95533"/>
    <w:rsid w:val="00B95CCE"/>
    <w:rsid w:val="00B95FC2"/>
    <w:rsid w:val="00B96061"/>
    <w:rsid w:val="00B96072"/>
    <w:rsid w:val="00B9620B"/>
    <w:rsid w:val="00B96C5B"/>
    <w:rsid w:val="00B9717F"/>
    <w:rsid w:val="00B9797D"/>
    <w:rsid w:val="00B97F32"/>
    <w:rsid w:val="00BA0120"/>
    <w:rsid w:val="00BA030A"/>
    <w:rsid w:val="00BA03FF"/>
    <w:rsid w:val="00BA0D00"/>
    <w:rsid w:val="00BA1241"/>
    <w:rsid w:val="00BA1C0A"/>
    <w:rsid w:val="00BA1F12"/>
    <w:rsid w:val="00BA1F83"/>
    <w:rsid w:val="00BA276B"/>
    <w:rsid w:val="00BA291A"/>
    <w:rsid w:val="00BA2DB2"/>
    <w:rsid w:val="00BA32F3"/>
    <w:rsid w:val="00BA3A9D"/>
    <w:rsid w:val="00BA3EB9"/>
    <w:rsid w:val="00BA40B4"/>
    <w:rsid w:val="00BA4121"/>
    <w:rsid w:val="00BA4526"/>
    <w:rsid w:val="00BA4A29"/>
    <w:rsid w:val="00BA565E"/>
    <w:rsid w:val="00BA5985"/>
    <w:rsid w:val="00BA5D24"/>
    <w:rsid w:val="00BA5DF4"/>
    <w:rsid w:val="00BA62DF"/>
    <w:rsid w:val="00BA632D"/>
    <w:rsid w:val="00BA72F6"/>
    <w:rsid w:val="00BA7681"/>
    <w:rsid w:val="00BA7B37"/>
    <w:rsid w:val="00BB021E"/>
    <w:rsid w:val="00BB0D93"/>
    <w:rsid w:val="00BB14C2"/>
    <w:rsid w:val="00BB1EDF"/>
    <w:rsid w:val="00BB1FFF"/>
    <w:rsid w:val="00BB20E2"/>
    <w:rsid w:val="00BB23BD"/>
    <w:rsid w:val="00BB249F"/>
    <w:rsid w:val="00BB2574"/>
    <w:rsid w:val="00BB25D9"/>
    <w:rsid w:val="00BB29C5"/>
    <w:rsid w:val="00BB3B3D"/>
    <w:rsid w:val="00BB3C47"/>
    <w:rsid w:val="00BB42C8"/>
    <w:rsid w:val="00BB4502"/>
    <w:rsid w:val="00BB4675"/>
    <w:rsid w:val="00BB4975"/>
    <w:rsid w:val="00BB4B32"/>
    <w:rsid w:val="00BB5667"/>
    <w:rsid w:val="00BB575B"/>
    <w:rsid w:val="00BB5794"/>
    <w:rsid w:val="00BB5F3A"/>
    <w:rsid w:val="00BB6872"/>
    <w:rsid w:val="00BB6B80"/>
    <w:rsid w:val="00BB6CAC"/>
    <w:rsid w:val="00BB7163"/>
    <w:rsid w:val="00BB79C1"/>
    <w:rsid w:val="00BB7BDF"/>
    <w:rsid w:val="00BB7C77"/>
    <w:rsid w:val="00BB7D70"/>
    <w:rsid w:val="00BB7E01"/>
    <w:rsid w:val="00BC0604"/>
    <w:rsid w:val="00BC0D9D"/>
    <w:rsid w:val="00BC14BA"/>
    <w:rsid w:val="00BC1972"/>
    <w:rsid w:val="00BC1CAE"/>
    <w:rsid w:val="00BC24CA"/>
    <w:rsid w:val="00BC2542"/>
    <w:rsid w:val="00BC299D"/>
    <w:rsid w:val="00BC307D"/>
    <w:rsid w:val="00BC38DC"/>
    <w:rsid w:val="00BC3AA0"/>
    <w:rsid w:val="00BC4258"/>
    <w:rsid w:val="00BC430E"/>
    <w:rsid w:val="00BC4530"/>
    <w:rsid w:val="00BC4A0A"/>
    <w:rsid w:val="00BC51B8"/>
    <w:rsid w:val="00BC5866"/>
    <w:rsid w:val="00BC5A2B"/>
    <w:rsid w:val="00BC5B94"/>
    <w:rsid w:val="00BC5C7E"/>
    <w:rsid w:val="00BC5EE2"/>
    <w:rsid w:val="00BC6522"/>
    <w:rsid w:val="00BC6BF7"/>
    <w:rsid w:val="00BC6F62"/>
    <w:rsid w:val="00BC70A2"/>
    <w:rsid w:val="00BC7144"/>
    <w:rsid w:val="00BC74E5"/>
    <w:rsid w:val="00BC757C"/>
    <w:rsid w:val="00BC7590"/>
    <w:rsid w:val="00BC77A4"/>
    <w:rsid w:val="00BC786A"/>
    <w:rsid w:val="00BC7A60"/>
    <w:rsid w:val="00BC7CCF"/>
    <w:rsid w:val="00BC7DEE"/>
    <w:rsid w:val="00BD001E"/>
    <w:rsid w:val="00BD0641"/>
    <w:rsid w:val="00BD07F1"/>
    <w:rsid w:val="00BD0D46"/>
    <w:rsid w:val="00BD0D71"/>
    <w:rsid w:val="00BD113A"/>
    <w:rsid w:val="00BD1631"/>
    <w:rsid w:val="00BD16B9"/>
    <w:rsid w:val="00BD2B00"/>
    <w:rsid w:val="00BD2BDC"/>
    <w:rsid w:val="00BD2CFE"/>
    <w:rsid w:val="00BD2F3B"/>
    <w:rsid w:val="00BD31D8"/>
    <w:rsid w:val="00BD35D4"/>
    <w:rsid w:val="00BD3BBF"/>
    <w:rsid w:val="00BD3DA8"/>
    <w:rsid w:val="00BD41F2"/>
    <w:rsid w:val="00BD45D5"/>
    <w:rsid w:val="00BD47F2"/>
    <w:rsid w:val="00BD49A6"/>
    <w:rsid w:val="00BD4F20"/>
    <w:rsid w:val="00BD5AC8"/>
    <w:rsid w:val="00BD6251"/>
    <w:rsid w:val="00BD7817"/>
    <w:rsid w:val="00BE02B3"/>
    <w:rsid w:val="00BE08EA"/>
    <w:rsid w:val="00BE0B19"/>
    <w:rsid w:val="00BE0C11"/>
    <w:rsid w:val="00BE17EB"/>
    <w:rsid w:val="00BE1D4B"/>
    <w:rsid w:val="00BE211C"/>
    <w:rsid w:val="00BE2AE1"/>
    <w:rsid w:val="00BE2E18"/>
    <w:rsid w:val="00BE3038"/>
    <w:rsid w:val="00BE3944"/>
    <w:rsid w:val="00BE3A9D"/>
    <w:rsid w:val="00BE3DBE"/>
    <w:rsid w:val="00BE3DD2"/>
    <w:rsid w:val="00BE3FDF"/>
    <w:rsid w:val="00BE470E"/>
    <w:rsid w:val="00BE4841"/>
    <w:rsid w:val="00BE4FAA"/>
    <w:rsid w:val="00BE5369"/>
    <w:rsid w:val="00BE58FA"/>
    <w:rsid w:val="00BE656D"/>
    <w:rsid w:val="00BE666F"/>
    <w:rsid w:val="00BF0CA4"/>
    <w:rsid w:val="00BF0F94"/>
    <w:rsid w:val="00BF11C3"/>
    <w:rsid w:val="00BF11F4"/>
    <w:rsid w:val="00BF184D"/>
    <w:rsid w:val="00BF18E9"/>
    <w:rsid w:val="00BF1992"/>
    <w:rsid w:val="00BF1EF2"/>
    <w:rsid w:val="00BF27C6"/>
    <w:rsid w:val="00BF2A07"/>
    <w:rsid w:val="00BF2FE2"/>
    <w:rsid w:val="00BF3867"/>
    <w:rsid w:val="00BF3BE8"/>
    <w:rsid w:val="00BF3E39"/>
    <w:rsid w:val="00BF3F35"/>
    <w:rsid w:val="00BF40C1"/>
    <w:rsid w:val="00BF43E9"/>
    <w:rsid w:val="00BF4997"/>
    <w:rsid w:val="00BF51EF"/>
    <w:rsid w:val="00BF5A18"/>
    <w:rsid w:val="00BF6BC9"/>
    <w:rsid w:val="00BF6BF2"/>
    <w:rsid w:val="00BF6CC2"/>
    <w:rsid w:val="00BF73B0"/>
    <w:rsid w:val="00BF7501"/>
    <w:rsid w:val="00BF7591"/>
    <w:rsid w:val="00BF77EB"/>
    <w:rsid w:val="00BF7AC3"/>
    <w:rsid w:val="00BF7EFF"/>
    <w:rsid w:val="00C00425"/>
    <w:rsid w:val="00C004E9"/>
    <w:rsid w:val="00C00697"/>
    <w:rsid w:val="00C0095A"/>
    <w:rsid w:val="00C00DDA"/>
    <w:rsid w:val="00C01191"/>
    <w:rsid w:val="00C0173C"/>
    <w:rsid w:val="00C02261"/>
    <w:rsid w:val="00C041BD"/>
    <w:rsid w:val="00C050B5"/>
    <w:rsid w:val="00C054A6"/>
    <w:rsid w:val="00C057C9"/>
    <w:rsid w:val="00C05919"/>
    <w:rsid w:val="00C05B21"/>
    <w:rsid w:val="00C05C03"/>
    <w:rsid w:val="00C06098"/>
    <w:rsid w:val="00C063A3"/>
    <w:rsid w:val="00C066C3"/>
    <w:rsid w:val="00C0732B"/>
    <w:rsid w:val="00C073B3"/>
    <w:rsid w:val="00C07574"/>
    <w:rsid w:val="00C07712"/>
    <w:rsid w:val="00C07B64"/>
    <w:rsid w:val="00C100BC"/>
    <w:rsid w:val="00C10286"/>
    <w:rsid w:val="00C106AC"/>
    <w:rsid w:val="00C109AB"/>
    <w:rsid w:val="00C109F9"/>
    <w:rsid w:val="00C10B63"/>
    <w:rsid w:val="00C113F2"/>
    <w:rsid w:val="00C11BA9"/>
    <w:rsid w:val="00C120B5"/>
    <w:rsid w:val="00C12253"/>
    <w:rsid w:val="00C1273C"/>
    <w:rsid w:val="00C12B5C"/>
    <w:rsid w:val="00C12C25"/>
    <w:rsid w:val="00C12F9F"/>
    <w:rsid w:val="00C1310F"/>
    <w:rsid w:val="00C1335D"/>
    <w:rsid w:val="00C13621"/>
    <w:rsid w:val="00C13644"/>
    <w:rsid w:val="00C13BF8"/>
    <w:rsid w:val="00C1433E"/>
    <w:rsid w:val="00C148C1"/>
    <w:rsid w:val="00C14BED"/>
    <w:rsid w:val="00C15437"/>
    <w:rsid w:val="00C15B10"/>
    <w:rsid w:val="00C15BFB"/>
    <w:rsid w:val="00C15C8C"/>
    <w:rsid w:val="00C15F00"/>
    <w:rsid w:val="00C16B70"/>
    <w:rsid w:val="00C16BEC"/>
    <w:rsid w:val="00C16FBA"/>
    <w:rsid w:val="00C176E1"/>
    <w:rsid w:val="00C17B35"/>
    <w:rsid w:val="00C1E754"/>
    <w:rsid w:val="00C20309"/>
    <w:rsid w:val="00C20F00"/>
    <w:rsid w:val="00C2132A"/>
    <w:rsid w:val="00C21A1B"/>
    <w:rsid w:val="00C21B06"/>
    <w:rsid w:val="00C21DCB"/>
    <w:rsid w:val="00C229A0"/>
    <w:rsid w:val="00C22FDE"/>
    <w:rsid w:val="00C23684"/>
    <w:rsid w:val="00C237E5"/>
    <w:rsid w:val="00C23BE2"/>
    <w:rsid w:val="00C23E16"/>
    <w:rsid w:val="00C24189"/>
    <w:rsid w:val="00C2428D"/>
    <w:rsid w:val="00C24A6F"/>
    <w:rsid w:val="00C24CB9"/>
    <w:rsid w:val="00C25331"/>
    <w:rsid w:val="00C25444"/>
    <w:rsid w:val="00C256F2"/>
    <w:rsid w:val="00C25F18"/>
    <w:rsid w:val="00C25FC8"/>
    <w:rsid w:val="00C2625D"/>
    <w:rsid w:val="00C262EB"/>
    <w:rsid w:val="00C27985"/>
    <w:rsid w:val="00C27FDF"/>
    <w:rsid w:val="00C307B4"/>
    <w:rsid w:val="00C30B63"/>
    <w:rsid w:val="00C31372"/>
    <w:rsid w:val="00C31C1E"/>
    <w:rsid w:val="00C321EF"/>
    <w:rsid w:val="00C32274"/>
    <w:rsid w:val="00C32B13"/>
    <w:rsid w:val="00C32B23"/>
    <w:rsid w:val="00C32BF6"/>
    <w:rsid w:val="00C32CB2"/>
    <w:rsid w:val="00C33617"/>
    <w:rsid w:val="00C34011"/>
    <w:rsid w:val="00C3406A"/>
    <w:rsid w:val="00C344EE"/>
    <w:rsid w:val="00C34537"/>
    <w:rsid w:val="00C34557"/>
    <w:rsid w:val="00C34637"/>
    <w:rsid w:val="00C3499E"/>
    <w:rsid w:val="00C34D52"/>
    <w:rsid w:val="00C34E2C"/>
    <w:rsid w:val="00C34EBA"/>
    <w:rsid w:val="00C35076"/>
    <w:rsid w:val="00C354ED"/>
    <w:rsid w:val="00C35576"/>
    <w:rsid w:val="00C355A4"/>
    <w:rsid w:val="00C35E30"/>
    <w:rsid w:val="00C368DD"/>
    <w:rsid w:val="00C36E28"/>
    <w:rsid w:val="00C371E9"/>
    <w:rsid w:val="00C3756E"/>
    <w:rsid w:val="00C3772A"/>
    <w:rsid w:val="00C37C65"/>
    <w:rsid w:val="00C37F9B"/>
    <w:rsid w:val="00C40512"/>
    <w:rsid w:val="00C407BA"/>
    <w:rsid w:val="00C40E1E"/>
    <w:rsid w:val="00C410D8"/>
    <w:rsid w:val="00C413A0"/>
    <w:rsid w:val="00C416EB"/>
    <w:rsid w:val="00C41912"/>
    <w:rsid w:val="00C422AB"/>
    <w:rsid w:val="00C43322"/>
    <w:rsid w:val="00C433C4"/>
    <w:rsid w:val="00C43655"/>
    <w:rsid w:val="00C4389C"/>
    <w:rsid w:val="00C43F09"/>
    <w:rsid w:val="00C44233"/>
    <w:rsid w:val="00C44A48"/>
    <w:rsid w:val="00C45420"/>
    <w:rsid w:val="00C454D0"/>
    <w:rsid w:val="00C458A0"/>
    <w:rsid w:val="00C45F1B"/>
    <w:rsid w:val="00C461A3"/>
    <w:rsid w:val="00C46B76"/>
    <w:rsid w:val="00C46B99"/>
    <w:rsid w:val="00C46E53"/>
    <w:rsid w:val="00C473F8"/>
    <w:rsid w:val="00C474DA"/>
    <w:rsid w:val="00C4775A"/>
    <w:rsid w:val="00C4778A"/>
    <w:rsid w:val="00C47D56"/>
    <w:rsid w:val="00C500BF"/>
    <w:rsid w:val="00C50751"/>
    <w:rsid w:val="00C50773"/>
    <w:rsid w:val="00C509E2"/>
    <w:rsid w:val="00C50AB1"/>
    <w:rsid w:val="00C50CFC"/>
    <w:rsid w:val="00C50D3F"/>
    <w:rsid w:val="00C50F73"/>
    <w:rsid w:val="00C51551"/>
    <w:rsid w:val="00C51C42"/>
    <w:rsid w:val="00C51C6B"/>
    <w:rsid w:val="00C51CBB"/>
    <w:rsid w:val="00C51E27"/>
    <w:rsid w:val="00C52085"/>
    <w:rsid w:val="00C520BD"/>
    <w:rsid w:val="00C525AC"/>
    <w:rsid w:val="00C525BF"/>
    <w:rsid w:val="00C526CF"/>
    <w:rsid w:val="00C52950"/>
    <w:rsid w:val="00C52BDA"/>
    <w:rsid w:val="00C52C7A"/>
    <w:rsid w:val="00C531C4"/>
    <w:rsid w:val="00C532D8"/>
    <w:rsid w:val="00C533ED"/>
    <w:rsid w:val="00C53D1D"/>
    <w:rsid w:val="00C54D25"/>
    <w:rsid w:val="00C557EE"/>
    <w:rsid w:val="00C55B68"/>
    <w:rsid w:val="00C56A41"/>
    <w:rsid w:val="00C56E0D"/>
    <w:rsid w:val="00C57021"/>
    <w:rsid w:val="00C574C9"/>
    <w:rsid w:val="00C60280"/>
    <w:rsid w:val="00C603C3"/>
    <w:rsid w:val="00C60556"/>
    <w:rsid w:val="00C60C9C"/>
    <w:rsid w:val="00C60DF6"/>
    <w:rsid w:val="00C61062"/>
    <w:rsid w:val="00C611E6"/>
    <w:rsid w:val="00C6166D"/>
    <w:rsid w:val="00C6197C"/>
    <w:rsid w:val="00C61C1F"/>
    <w:rsid w:val="00C6232E"/>
    <w:rsid w:val="00C62960"/>
    <w:rsid w:val="00C62AB2"/>
    <w:rsid w:val="00C62EC9"/>
    <w:rsid w:val="00C63309"/>
    <w:rsid w:val="00C63745"/>
    <w:rsid w:val="00C63946"/>
    <w:rsid w:val="00C63D0D"/>
    <w:rsid w:val="00C64924"/>
    <w:rsid w:val="00C64B73"/>
    <w:rsid w:val="00C64F37"/>
    <w:rsid w:val="00C655A8"/>
    <w:rsid w:val="00C65D56"/>
    <w:rsid w:val="00C65DAE"/>
    <w:rsid w:val="00C66563"/>
    <w:rsid w:val="00C6685B"/>
    <w:rsid w:val="00C66A73"/>
    <w:rsid w:val="00C66CBA"/>
    <w:rsid w:val="00C673F5"/>
    <w:rsid w:val="00C677AD"/>
    <w:rsid w:val="00C67AA6"/>
    <w:rsid w:val="00C67ED6"/>
    <w:rsid w:val="00C70400"/>
    <w:rsid w:val="00C70553"/>
    <w:rsid w:val="00C709B5"/>
    <w:rsid w:val="00C7144C"/>
    <w:rsid w:val="00C71A6C"/>
    <w:rsid w:val="00C71ADB"/>
    <w:rsid w:val="00C71BAC"/>
    <w:rsid w:val="00C71DAF"/>
    <w:rsid w:val="00C72739"/>
    <w:rsid w:val="00C73020"/>
    <w:rsid w:val="00C7356D"/>
    <w:rsid w:val="00C7395F"/>
    <w:rsid w:val="00C73ECE"/>
    <w:rsid w:val="00C73F2E"/>
    <w:rsid w:val="00C743A1"/>
    <w:rsid w:val="00C751C2"/>
    <w:rsid w:val="00C75317"/>
    <w:rsid w:val="00C75547"/>
    <w:rsid w:val="00C756EB"/>
    <w:rsid w:val="00C761AF"/>
    <w:rsid w:val="00C765DC"/>
    <w:rsid w:val="00C77259"/>
    <w:rsid w:val="00C77596"/>
    <w:rsid w:val="00C7783D"/>
    <w:rsid w:val="00C77A0A"/>
    <w:rsid w:val="00C77FBE"/>
    <w:rsid w:val="00C80CAE"/>
    <w:rsid w:val="00C80CF8"/>
    <w:rsid w:val="00C80D25"/>
    <w:rsid w:val="00C80DFC"/>
    <w:rsid w:val="00C80F70"/>
    <w:rsid w:val="00C811E3"/>
    <w:rsid w:val="00C81433"/>
    <w:rsid w:val="00C814B9"/>
    <w:rsid w:val="00C8168E"/>
    <w:rsid w:val="00C816EC"/>
    <w:rsid w:val="00C81EC3"/>
    <w:rsid w:val="00C81F90"/>
    <w:rsid w:val="00C821CC"/>
    <w:rsid w:val="00C82342"/>
    <w:rsid w:val="00C829EE"/>
    <w:rsid w:val="00C82C48"/>
    <w:rsid w:val="00C83031"/>
    <w:rsid w:val="00C83A6F"/>
    <w:rsid w:val="00C83BF4"/>
    <w:rsid w:val="00C84510"/>
    <w:rsid w:val="00C84DDA"/>
    <w:rsid w:val="00C84E4D"/>
    <w:rsid w:val="00C852F8"/>
    <w:rsid w:val="00C857E6"/>
    <w:rsid w:val="00C86399"/>
    <w:rsid w:val="00C863BE"/>
    <w:rsid w:val="00C864F8"/>
    <w:rsid w:val="00C86679"/>
    <w:rsid w:val="00C86F22"/>
    <w:rsid w:val="00C8708D"/>
    <w:rsid w:val="00C870C6"/>
    <w:rsid w:val="00C872BB"/>
    <w:rsid w:val="00C87CA5"/>
    <w:rsid w:val="00C919E9"/>
    <w:rsid w:val="00C9291E"/>
    <w:rsid w:val="00C92A95"/>
    <w:rsid w:val="00C933C9"/>
    <w:rsid w:val="00C9345B"/>
    <w:rsid w:val="00C93C4C"/>
    <w:rsid w:val="00C94075"/>
    <w:rsid w:val="00C9526D"/>
    <w:rsid w:val="00C9526E"/>
    <w:rsid w:val="00C959B4"/>
    <w:rsid w:val="00C95D09"/>
    <w:rsid w:val="00C95D66"/>
    <w:rsid w:val="00C9650F"/>
    <w:rsid w:val="00C9663F"/>
    <w:rsid w:val="00C96CB1"/>
    <w:rsid w:val="00C96CDC"/>
    <w:rsid w:val="00C96D80"/>
    <w:rsid w:val="00C9713B"/>
    <w:rsid w:val="00C9741E"/>
    <w:rsid w:val="00CA01C3"/>
    <w:rsid w:val="00CA0221"/>
    <w:rsid w:val="00CA0516"/>
    <w:rsid w:val="00CA06AA"/>
    <w:rsid w:val="00CA09C2"/>
    <w:rsid w:val="00CA0B6F"/>
    <w:rsid w:val="00CA1DED"/>
    <w:rsid w:val="00CA27A6"/>
    <w:rsid w:val="00CA27CC"/>
    <w:rsid w:val="00CA30F1"/>
    <w:rsid w:val="00CA3153"/>
    <w:rsid w:val="00CA33C7"/>
    <w:rsid w:val="00CA37AF"/>
    <w:rsid w:val="00CA3EB5"/>
    <w:rsid w:val="00CA4634"/>
    <w:rsid w:val="00CA5218"/>
    <w:rsid w:val="00CA577B"/>
    <w:rsid w:val="00CA5ECD"/>
    <w:rsid w:val="00CA65C7"/>
    <w:rsid w:val="00CA6D90"/>
    <w:rsid w:val="00CA6FEB"/>
    <w:rsid w:val="00CA7AA4"/>
    <w:rsid w:val="00CA7DA7"/>
    <w:rsid w:val="00CA7F59"/>
    <w:rsid w:val="00CB0436"/>
    <w:rsid w:val="00CB055F"/>
    <w:rsid w:val="00CB0935"/>
    <w:rsid w:val="00CB1167"/>
    <w:rsid w:val="00CB1560"/>
    <w:rsid w:val="00CB16FE"/>
    <w:rsid w:val="00CB1D9E"/>
    <w:rsid w:val="00CB2029"/>
    <w:rsid w:val="00CB2517"/>
    <w:rsid w:val="00CB2961"/>
    <w:rsid w:val="00CB29B1"/>
    <w:rsid w:val="00CB29FE"/>
    <w:rsid w:val="00CB2A97"/>
    <w:rsid w:val="00CB2C58"/>
    <w:rsid w:val="00CB2D83"/>
    <w:rsid w:val="00CB3116"/>
    <w:rsid w:val="00CB32C3"/>
    <w:rsid w:val="00CB38A3"/>
    <w:rsid w:val="00CB3953"/>
    <w:rsid w:val="00CB3ED0"/>
    <w:rsid w:val="00CB40DE"/>
    <w:rsid w:val="00CB45AC"/>
    <w:rsid w:val="00CB50D4"/>
    <w:rsid w:val="00CB516D"/>
    <w:rsid w:val="00CB53BE"/>
    <w:rsid w:val="00CB5FC3"/>
    <w:rsid w:val="00CB6CE0"/>
    <w:rsid w:val="00CB7396"/>
    <w:rsid w:val="00CB74EE"/>
    <w:rsid w:val="00CB75E0"/>
    <w:rsid w:val="00CB7EF5"/>
    <w:rsid w:val="00CC0571"/>
    <w:rsid w:val="00CC0E2C"/>
    <w:rsid w:val="00CC1641"/>
    <w:rsid w:val="00CC1ACA"/>
    <w:rsid w:val="00CC1BFC"/>
    <w:rsid w:val="00CC22BC"/>
    <w:rsid w:val="00CC2628"/>
    <w:rsid w:val="00CC36B9"/>
    <w:rsid w:val="00CC390B"/>
    <w:rsid w:val="00CC3E33"/>
    <w:rsid w:val="00CC4691"/>
    <w:rsid w:val="00CC4788"/>
    <w:rsid w:val="00CC4905"/>
    <w:rsid w:val="00CC490C"/>
    <w:rsid w:val="00CC4F39"/>
    <w:rsid w:val="00CC5890"/>
    <w:rsid w:val="00CC6215"/>
    <w:rsid w:val="00CC6A42"/>
    <w:rsid w:val="00CC7FD7"/>
    <w:rsid w:val="00CD1D46"/>
    <w:rsid w:val="00CD20D0"/>
    <w:rsid w:val="00CD218B"/>
    <w:rsid w:val="00CD21A7"/>
    <w:rsid w:val="00CD37B7"/>
    <w:rsid w:val="00CD3B62"/>
    <w:rsid w:val="00CD3FD9"/>
    <w:rsid w:val="00CD42DE"/>
    <w:rsid w:val="00CD4509"/>
    <w:rsid w:val="00CD4C14"/>
    <w:rsid w:val="00CD4F6B"/>
    <w:rsid w:val="00CD6488"/>
    <w:rsid w:val="00CD6986"/>
    <w:rsid w:val="00CD6FAB"/>
    <w:rsid w:val="00CD730D"/>
    <w:rsid w:val="00CD75A4"/>
    <w:rsid w:val="00CE0013"/>
    <w:rsid w:val="00CE067A"/>
    <w:rsid w:val="00CE1482"/>
    <w:rsid w:val="00CE1635"/>
    <w:rsid w:val="00CE16B6"/>
    <w:rsid w:val="00CE17D9"/>
    <w:rsid w:val="00CE2204"/>
    <w:rsid w:val="00CE2F2B"/>
    <w:rsid w:val="00CE2F63"/>
    <w:rsid w:val="00CE3B81"/>
    <w:rsid w:val="00CE40CF"/>
    <w:rsid w:val="00CE43A0"/>
    <w:rsid w:val="00CE44D9"/>
    <w:rsid w:val="00CE4C59"/>
    <w:rsid w:val="00CE569D"/>
    <w:rsid w:val="00CE56F3"/>
    <w:rsid w:val="00CE5BC6"/>
    <w:rsid w:val="00CE5F05"/>
    <w:rsid w:val="00CE6542"/>
    <w:rsid w:val="00CE654E"/>
    <w:rsid w:val="00CE66B7"/>
    <w:rsid w:val="00CE6EC6"/>
    <w:rsid w:val="00CE6F53"/>
    <w:rsid w:val="00CE7487"/>
    <w:rsid w:val="00CE7569"/>
    <w:rsid w:val="00CE7822"/>
    <w:rsid w:val="00CF0590"/>
    <w:rsid w:val="00CF0C15"/>
    <w:rsid w:val="00CF0D33"/>
    <w:rsid w:val="00CF10F9"/>
    <w:rsid w:val="00CF1FD1"/>
    <w:rsid w:val="00CF22B7"/>
    <w:rsid w:val="00CF241B"/>
    <w:rsid w:val="00CF297A"/>
    <w:rsid w:val="00CF2C3E"/>
    <w:rsid w:val="00CF2CF1"/>
    <w:rsid w:val="00CF36AB"/>
    <w:rsid w:val="00CF37CC"/>
    <w:rsid w:val="00CF3E7C"/>
    <w:rsid w:val="00CF3ECA"/>
    <w:rsid w:val="00CF4072"/>
    <w:rsid w:val="00CF4D92"/>
    <w:rsid w:val="00CF4E9D"/>
    <w:rsid w:val="00CF504A"/>
    <w:rsid w:val="00CF5508"/>
    <w:rsid w:val="00CF5A97"/>
    <w:rsid w:val="00CF5FFD"/>
    <w:rsid w:val="00CF61DC"/>
    <w:rsid w:val="00CF647E"/>
    <w:rsid w:val="00CF6A7F"/>
    <w:rsid w:val="00CF6BBA"/>
    <w:rsid w:val="00CF6C56"/>
    <w:rsid w:val="00CF7819"/>
    <w:rsid w:val="00CF7C48"/>
    <w:rsid w:val="00CF7F86"/>
    <w:rsid w:val="00D002AF"/>
    <w:rsid w:val="00D0062E"/>
    <w:rsid w:val="00D0068D"/>
    <w:rsid w:val="00D00B4E"/>
    <w:rsid w:val="00D00D38"/>
    <w:rsid w:val="00D00EB8"/>
    <w:rsid w:val="00D00F15"/>
    <w:rsid w:val="00D00F19"/>
    <w:rsid w:val="00D01111"/>
    <w:rsid w:val="00D01192"/>
    <w:rsid w:val="00D0166E"/>
    <w:rsid w:val="00D0188F"/>
    <w:rsid w:val="00D019C8"/>
    <w:rsid w:val="00D01B77"/>
    <w:rsid w:val="00D024DD"/>
    <w:rsid w:val="00D028B0"/>
    <w:rsid w:val="00D02902"/>
    <w:rsid w:val="00D02CF5"/>
    <w:rsid w:val="00D03009"/>
    <w:rsid w:val="00D0342A"/>
    <w:rsid w:val="00D03654"/>
    <w:rsid w:val="00D037A4"/>
    <w:rsid w:val="00D039DD"/>
    <w:rsid w:val="00D03A83"/>
    <w:rsid w:val="00D03BB7"/>
    <w:rsid w:val="00D04317"/>
    <w:rsid w:val="00D05153"/>
    <w:rsid w:val="00D05322"/>
    <w:rsid w:val="00D05838"/>
    <w:rsid w:val="00D05DED"/>
    <w:rsid w:val="00D06000"/>
    <w:rsid w:val="00D060A4"/>
    <w:rsid w:val="00D068FB"/>
    <w:rsid w:val="00D06CCE"/>
    <w:rsid w:val="00D06DD5"/>
    <w:rsid w:val="00D06E82"/>
    <w:rsid w:val="00D074FD"/>
    <w:rsid w:val="00D07C6B"/>
    <w:rsid w:val="00D10060"/>
    <w:rsid w:val="00D10A15"/>
    <w:rsid w:val="00D10E35"/>
    <w:rsid w:val="00D10E86"/>
    <w:rsid w:val="00D1112E"/>
    <w:rsid w:val="00D1181A"/>
    <w:rsid w:val="00D11AD7"/>
    <w:rsid w:val="00D11FE6"/>
    <w:rsid w:val="00D1253A"/>
    <w:rsid w:val="00D12720"/>
    <w:rsid w:val="00D12796"/>
    <w:rsid w:val="00D1289A"/>
    <w:rsid w:val="00D136EB"/>
    <w:rsid w:val="00D1393E"/>
    <w:rsid w:val="00D13C51"/>
    <w:rsid w:val="00D13E7F"/>
    <w:rsid w:val="00D14B44"/>
    <w:rsid w:val="00D14CC1"/>
    <w:rsid w:val="00D14CDB"/>
    <w:rsid w:val="00D15069"/>
    <w:rsid w:val="00D154AC"/>
    <w:rsid w:val="00D155E9"/>
    <w:rsid w:val="00D158E6"/>
    <w:rsid w:val="00D15C37"/>
    <w:rsid w:val="00D15F3E"/>
    <w:rsid w:val="00D1621F"/>
    <w:rsid w:val="00D16C66"/>
    <w:rsid w:val="00D16E00"/>
    <w:rsid w:val="00D17024"/>
    <w:rsid w:val="00D170C5"/>
    <w:rsid w:val="00D17A6D"/>
    <w:rsid w:val="00D17D12"/>
    <w:rsid w:val="00D20052"/>
    <w:rsid w:val="00D2012A"/>
    <w:rsid w:val="00D20E88"/>
    <w:rsid w:val="00D210DC"/>
    <w:rsid w:val="00D22BD4"/>
    <w:rsid w:val="00D23190"/>
    <w:rsid w:val="00D234C2"/>
    <w:rsid w:val="00D239D0"/>
    <w:rsid w:val="00D23BAC"/>
    <w:rsid w:val="00D23F58"/>
    <w:rsid w:val="00D24605"/>
    <w:rsid w:val="00D246F2"/>
    <w:rsid w:val="00D24843"/>
    <w:rsid w:val="00D2485F"/>
    <w:rsid w:val="00D24C9A"/>
    <w:rsid w:val="00D25571"/>
    <w:rsid w:val="00D256C9"/>
    <w:rsid w:val="00D25BC5"/>
    <w:rsid w:val="00D25F58"/>
    <w:rsid w:val="00D265EE"/>
    <w:rsid w:val="00D26617"/>
    <w:rsid w:val="00D2681E"/>
    <w:rsid w:val="00D26AF9"/>
    <w:rsid w:val="00D26C8B"/>
    <w:rsid w:val="00D26D77"/>
    <w:rsid w:val="00D27742"/>
    <w:rsid w:val="00D27F2C"/>
    <w:rsid w:val="00D300D7"/>
    <w:rsid w:val="00D30609"/>
    <w:rsid w:val="00D307F5"/>
    <w:rsid w:val="00D30C0F"/>
    <w:rsid w:val="00D30F6E"/>
    <w:rsid w:val="00D315A4"/>
    <w:rsid w:val="00D31787"/>
    <w:rsid w:val="00D31850"/>
    <w:rsid w:val="00D31E0A"/>
    <w:rsid w:val="00D3202C"/>
    <w:rsid w:val="00D325E7"/>
    <w:rsid w:val="00D32CD7"/>
    <w:rsid w:val="00D32DB4"/>
    <w:rsid w:val="00D3375E"/>
    <w:rsid w:val="00D3388A"/>
    <w:rsid w:val="00D33DE6"/>
    <w:rsid w:val="00D34040"/>
    <w:rsid w:val="00D345C8"/>
    <w:rsid w:val="00D3472C"/>
    <w:rsid w:val="00D347DE"/>
    <w:rsid w:val="00D34981"/>
    <w:rsid w:val="00D34AE0"/>
    <w:rsid w:val="00D34C00"/>
    <w:rsid w:val="00D34D3F"/>
    <w:rsid w:val="00D34F34"/>
    <w:rsid w:val="00D34F5C"/>
    <w:rsid w:val="00D353C2"/>
    <w:rsid w:val="00D356BE"/>
    <w:rsid w:val="00D35E83"/>
    <w:rsid w:val="00D36326"/>
    <w:rsid w:val="00D40208"/>
    <w:rsid w:val="00D40236"/>
    <w:rsid w:val="00D40F19"/>
    <w:rsid w:val="00D41D21"/>
    <w:rsid w:val="00D41D3E"/>
    <w:rsid w:val="00D4238F"/>
    <w:rsid w:val="00D43174"/>
    <w:rsid w:val="00D43ADF"/>
    <w:rsid w:val="00D43B3E"/>
    <w:rsid w:val="00D43F28"/>
    <w:rsid w:val="00D44BEF"/>
    <w:rsid w:val="00D44EEA"/>
    <w:rsid w:val="00D45752"/>
    <w:rsid w:val="00D45D04"/>
    <w:rsid w:val="00D4602A"/>
    <w:rsid w:val="00D46144"/>
    <w:rsid w:val="00D463FF"/>
    <w:rsid w:val="00D4643A"/>
    <w:rsid w:val="00D4699F"/>
    <w:rsid w:val="00D46B2C"/>
    <w:rsid w:val="00D46D87"/>
    <w:rsid w:val="00D4748D"/>
    <w:rsid w:val="00D4785F"/>
    <w:rsid w:val="00D47963"/>
    <w:rsid w:val="00D47F34"/>
    <w:rsid w:val="00D505A9"/>
    <w:rsid w:val="00D50ACB"/>
    <w:rsid w:val="00D510F3"/>
    <w:rsid w:val="00D5118C"/>
    <w:rsid w:val="00D51485"/>
    <w:rsid w:val="00D51661"/>
    <w:rsid w:val="00D51958"/>
    <w:rsid w:val="00D51D7F"/>
    <w:rsid w:val="00D52023"/>
    <w:rsid w:val="00D52159"/>
    <w:rsid w:val="00D52187"/>
    <w:rsid w:val="00D528AD"/>
    <w:rsid w:val="00D52B22"/>
    <w:rsid w:val="00D52E56"/>
    <w:rsid w:val="00D53196"/>
    <w:rsid w:val="00D53738"/>
    <w:rsid w:val="00D53DAF"/>
    <w:rsid w:val="00D54034"/>
    <w:rsid w:val="00D5413C"/>
    <w:rsid w:val="00D542AA"/>
    <w:rsid w:val="00D544DD"/>
    <w:rsid w:val="00D5451C"/>
    <w:rsid w:val="00D54CE5"/>
    <w:rsid w:val="00D54F6F"/>
    <w:rsid w:val="00D54FDC"/>
    <w:rsid w:val="00D55121"/>
    <w:rsid w:val="00D5599E"/>
    <w:rsid w:val="00D5602E"/>
    <w:rsid w:val="00D568E0"/>
    <w:rsid w:val="00D5690E"/>
    <w:rsid w:val="00D56B54"/>
    <w:rsid w:val="00D5774B"/>
    <w:rsid w:val="00D57EA7"/>
    <w:rsid w:val="00D57F8F"/>
    <w:rsid w:val="00D605E0"/>
    <w:rsid w:val="00D611A9"/>
    <w:rsid w:val="00D619A2"/>
    <w:rsid w:val="00D61A6A"/>
    <w:rsid w:val="00D61EA3"/>
    <w:rsid w:val="00D621F3"/>
    <w:rsid w:val="00D6298E"/>
    <w:rsid w:val="00D62A0F"/>
    <w:rsid w:val="00D62E54"/>
    <w:rsid w:val="00D632B2"/>
    <w:rsid w:val="00D6358A"/>
    <w:rsid w:val="00D63FC2"/>
    <w:rsid w:val="00D64116"/>
    <w:rsid w:val="00D64B4B"/>
    <w:rsid w:val="00D64CDC"/>
    <w:rsid w:val="00D6545B"/>
    <w:rsid w:val="00D65B79"/>
    <w:rsid w:val="00D65BD4"/>
    <w:rsid w:val="00D65C8D"/>
    <w:rsid w:val="00D65E54"/>
    <w:rsid w:val="00D6637F"/>
    <w:rsid w:val="00D6673D"/>
    <w:rsid w:val="00D66773"/>
    <w:rsid w:val="00D6685C"/>
    <w:rsid w:val="00D66914"/>
    <w:rsid w:val="00D66BD4"/>
    <w:rsid w:val="00D66C38"/>
    <w:rsid w:val="00D66F8B"/>
    <w:rsid w:val="00D67131"/>
    <w:rsid w:val="00D677F5"/>
    <w:rsid w:val="00D67801"/>
    <w:rsid w:val="00D678B9"/>
    <w:rsid w:val="00D67ABD"/>
    <w:rsid w:val="00D67FA1"/>
    <w:rsid w:val="00D67FD4"/>
    <w:rsid w:val="00D705F8"/>
    <w:rsid w:val="00D70AA4"/>
    <w:rsid w:val="00D70AED"/>
    <w:rsid w:val="00D71064"/>
    <w:rsid w:val="00D717E2"/>
    <w:rsid w:val="00D7224D"/>
    <w:rsid w:val="00D722E9"/>
    <w:rsid w:val="00D734D1"/>
    <w:rsid w:val="00D7378A"/>
    <w:rsid w:val="00D737A0"/>
    <w:rsid w:val="00D73CF7"/>
    <w:rsid w:val="00D73E31"/>
    <w:rsid w:val="00D741C2"/>
    <w:rsid w:val="00D742F1"/>
    <w:rsid w:val="00D743B3"/>
    <w:rsid w:val="00D743E3"/>
    <w:rsid w:val="00D74F6D"/>
    <w:rsid w:val="00D74FBC"/>
    <w:rsid w:val="00D75076"/>
    <w:rsid w:val="00D75127"/>
    <w:rsid w:val="00D75142"/>
    <w:rsid w:val="00D75156"/>
    <w:rsid w:val="00D7530B"/>
    <w:rsid w:val="00D75361"/>
    <w:rsid w:val="00D756C3"/>
    <w:rsid w:val="00D765BB"/>
    <w:rsid w:val="00D76855"/>
    <w:rsid w:val="00D76C19"/>
    <w:rsid w:val="00D76C1A"/>
    <w:rsid w:val="00D77BA4"/>
    <w:rsid w:val="00D77D34"/>
    <w:rsid w:val="00D807FA"/>
    <w:rsid w:val="00D8094B"/>
    <w:rsid w:val="00D8096D"/>
    <w:rsid w:val="00D80BA5"/>
    <w:rsid w:val="00D80E81"/>
    <w:rsid w:val="00D8178E"/>
    <w:rsid w:val="00D8183C"/>
    <w:rsid w:val="00D81973"/>
    <w:rsid w:val="00D81DAA"/>
    <w:rsid w:val="00D82CD7"/>
    <w:rsid w:val="00D83AAB"/>
    <w:rsid w:val="00D83C42"/>
    <w:rsid w:val="00D83F25"/>
    <w:rsid w:val="00D84BE1"/>
    <w:rsid w:val="00D84CE3"/>
    <w:rsid w:val="00D857B5"/>
    <w:rsid w:val="00D85D0F"/>
    <w:rsid w:val="00D86294"/>
    <w:rsid w:val="00D8662D"/>
    <w:rsid w:val="00D86FEC"/>
    <w:rsid w:val="00D87970"/>
    <w:rsid w:val="00D87B89"/>
    <w:rsid w:val="00D87DEE"/>
    <w:rsid w:val="00D87FCF"/>
    <w:rsid w:val="00D9012E"/>
    <w:rsid w:val="00D90897"/>
    <w:rsid w:val="00D90C88"/>
    <w:rsid w:val="00D90C96"/>
    <w:rsid w:val="00D90CD9"/>
    <w:rsid w:val="00D90DF6"/>
    <w:rsid w:val="00D9127D"/>
    <w:rsid w:val="00D91299"/>
    <w:rsid w:val="00D912D4"/>
    <w:rsid w:val="00D91771"/>
    <w:rsid w:val="00D91C1B"/>
    <w:rsid w:val="00D926A6"/>
    <w:rsid w:val="00D926CE"/>
    <w:rsid w:val="00D92B15"/>
    <w:rsid w:val="00D92C43"/>
    <w:rsid w:val="00D92CC6"/>
    <w:rsid w:val="00D92E3D"/>
    <w:rsid w:val="00D93E86"/>
    <w:rsid w:val="00D93F4B"/>
    <w:rsid w:val="00D94848"/>
    <w:rsid w:val="00D94A03"/>
    <w:rsid w:val="00D94C5E"/>
    <w:rsid w:val="00D94C9C"/>
    <w:rsid w:val="00D951CA"/>
    <w:rsid w:val="00D952CB"/>
    <w:rsid w:val="00D95712"/>
    <w:rsid w:val="00D95CB9"/>
    <w:rsid w:val="00D95ED8"/>
    <w:rsid w:val="00D95FF0"/>
    <w:rsid w:val="00D960F1"/>
    <w:rsid w:val="00D96156"/>
    <w:rsid w:val="00D9650A"/>
    <w:rsid w:val="00D96597"/>
    <w:rsid w:val="00D969DB"/>
    <w:rsid w:val="00D96FB7"/>
    <w:rsid w:val="00D96FDA"/>
    <w:rsid w:val="00D9706A"/>
    <w:rsid w:val="00D97C9C"/>
    <w:rsid w:val="00DA0006"/>
    <w:rsid w:val="00DA0332"/>
    <w:rsid w:val="00DA0649"/>
    <w:rsid w:val="00DA0919"/>
    <w:rsid w:val="00DA0EA9"/>
    <w:rsid w:val="00DA10C4"/>
    <w:rsid w:val="00DA2852"/>
    <w:rsid w:val="00DA3036"/>
    <w:rsid w:val="00DA3F26"/>
    <w:rsid w:val="00DA4A19"/>
    <w:rsid w:val="00DA4BCC"/>
    <w:rsid w:val="00DA4C62"/>
    <w:rsid w:val="00DA5340"/>
    <w:rsid w:val="00DA59DB"/>
    <w:rsid w:val="00DA5C05"/>
    <w:rsid w:val="00DA5F0C"/>
    <w:rsid w:val="00DA6984"/>
    <w:rsid w:val="00DA6F63"/>
    <w:rsid w:val="00DA708F"/>
    <w:rsid w:val="00DA75E3"/>
    <w:rsid w:val="00DB015B"/>
    <w:rsid w:val="00DB02D3"/>
    <w:rsid w:val="00DB02D5"/>
    <w:rsid w:val="00DB05E1"/>
    <w:rsid w:val="00DB080C"/>
    <w:rsid w:val="00DB0D51"/>
    <w:rsid w:val="00DB1024"/>
    <w:rsid w:val="00DB119E"/>
    <w:rsid w:val="00DB12DF"/>
    <w:rsid w:val="00DB1448"/>
    <w:rsid w:val="00DB1F8D"/>
    <w:rsid w:val="00DB1F9E"/>
    <w:rsid w:val="00DB20F5"/>
    <w:rsid w:val="00DB22BD"/>
    <w:rsid w:val="00DB2B71"/>
    <w:rsid w:val="00DB3521"/>
    <w:rsid w:val="00DB3DEB"/>
    <w:rsid w:val="00DB3DFB"/>
    <w:rsid w:val="00DB4577"/>
    <w:rsid w:val="00DB462A"/>
    <w:rsid w:val="00DB478D"/>
    <w:rsid w:val="00DB480A"/>
    <w:rsid w:val="00DB48EB"/>
    <w:rsid w:val="00DB4B35"/>
    <w:rsid w:val="00DB5049"/>
    <w:rsid w:val="00DB56C1"/>
    <w:rsid w:val="00DB57F7"/>
    <w:rsid w:val="00DB5C78"/>
    <w:rsid w:val="00DB5E67"/>
    <w:rsid w:val="00DB605D"/>
    <w:rsid w:val="00DB6378"/>
    <w:rsid w:val="00DB63A1"/>
    <w:rsid w:val="00DB6864"/>
    <w:rsid w:val="00DB68B1"/>
    <w:rsid w:val="00DB6912"/>
    <w:rsid w:val="00DB6F16"/>
    <w:rsid w:val="00DB6F85"/>
    <w:rsid w:val="00DB7120"/>
    <w:rsid w:val="00DB7BA8"/>
    <w:rsid w:val="00DB7DEE"/>
    <w:rsid w:val="00DB7DFC"/>
    <w:rsid w:val="00DB7EE7"/>
    <w:rsid w:val="00DC00F6"/>
    <w:rsid w:val="00DC0658"/>
    <w:rsid w:val="00DC06C8"/>
    <w:rsid w:val="00DC0CEE"/>
    <w:rsid w:val="00DC10F6"/>
    <w:rsid w:val="00DC1418"/>
    <w:rsid w:val="00DC153A"/>
    <w:rsid w:val="00DC2382"/>
    <w:rsid w:val="00DC2488"/>
    <w:rsid w:val="00DC24A1"/>
    <w:rsid w:val="00DC2629"/>
    <w:rsid w:val="00DC2D15"/>
    <w:rsid w:val="00DC32C4"/>
    <w:rsid w:val="00DC35EA"/>
    <w:rsid w:val="00DC3814"/>
    <w:rsid w:val="00DC384B"/>
    <w:rsid w:val="00DC39F0"/>
    <w:rsid w:val="00DC3E50"/>
    <w:rsid w:val="00DC402A"/>
    <w:rsid w:val="00DC411A"/>
    <w:rsid w:val="00DC43D0"/>
    <w:rsid w:val="00DC45B2"/>
    <w:rsid w:val="00DC481B"/>
    <w:rsid w:val="00DC499C"/>
    <w:rsid w:val="00DC4AA7"/>
    <w:rsid w:val="00DC4D56"/>
    <w:rsid w:val="00DC6976"/>
    <w:rsid w:val="00DC6B32"/>
    <w:rsid w:val="00DC6E1E"/>
    <w:rsid w:val="00DC6FE6"/>
    <w:rsid w:val="00DC74E4"/>
    <w:rsid w:val="00DC753B"/>
    <w:rsid w:val="00DC7592"/>
    <w:rsid w:val="00DC764A"/>
    <w:rsid w:val="00DD025A"/>
    <w:rsid w:val="00DD04E7"/>
    <w:rsid w:val="00DD0AC0"/>
    <w:rsid w:val="00DD0E84"/>
    <w:rsid w:val="00DD147B"/>
    <w:rsid w:val="00DD192C"/>
    <w:rsid w:val="00DD1A24"/>
    <w:rsid w:val="00DD1C64"/>
    <w:rsid w:val="00DD237E"/>
    <w:rsid w:val="00DD2593"/>
    <w:rsid w:val="00DD2674"/>
    <w:rsid w:val="00DD2CA8"/>
    <w:rsid w:val="00DD2FD6"/>
    <w:rsid w:val="00DD36AE"/>
    <w:rsid w:val="00DD36B3"/>
    <w:rsid w:val="00DD3DD3"/>
    <w:rsid w:val="00DD4041"/>
    <w:rsid w:val="00DD4B0D"/>
    <w:rsid w:val="00DD5003"/>
    <w:rsid w:val="00DD5774"/>
    <w:rsid w:val="00DD5A93"/>
    <w:rsid w:val="00DD5E23"/>
    <w:rsid w:val="00DD6004"/>
    <w:rsid w:val="00DD61F1"/>
    <w:rsid w:val="00DD6589"/>
    <w:rsid w:val="00DD6B0E"/>
    <w:rsid w:val="00DD6D5C"/>
    <w:rsid w:val="00DD70AF"/>
    <w:rsid w:val="00DD7915"/>
    <w:rsid w:val="00DE03A2"/>
    <w:rsid w:val="00DE04BD"/>
    <w:rsid w:val="00DE07B6"/>
    <w:rsid w:val="00DE0ED5"/>
    <w:rsid w:val="00DE1064"/>
    <w:rsid w:val="00DE13DB"/>
    <w:rsid w:val="00DE193D"/>
    <w:rsid w:val="00DE1C60"/>
    <w:rsid w:val="00DE1E08"/>
    <w:rsid w:val="00DE2265"/>
    <w:rsid w:val="00DE241C"/>
    <w:rsid w:val="00DE2669"/>
    <w:rsid w:val="00DE296C"/>
    <w:rsid w:val="00DE2CA0"/>
    <w:rsid w:val="00DE2F16"/>
    <w:rsid w:val="00DE3C64"/>
    <w:rsid w:val="00DE3D8E"/>
    <w:rsid w:val="00DE3EC0"/>
    <w:rsid w:val="00DE4695"/>
    <w:rsid w:val="00DE547A"/>
    <w:rsid w:val="00DE628B"/>
    <w:rsid w:val="00DE6732"/>
    <w:rsid w:val="00DE6985"/>
    <w:rsid w:val="00DE710F"/>
    <w:rsid w:val="00DE766C"/>
    <w:rsid w:val="00DE7C24"/>
    <w:rsid w:val="00DE7D78"/>
    <w:rsid w:val="00DE7EED"/>
    <w:rsid w:val="00DE7FB1"/>
    <w:rsid w:val="00DE7FB4"/>
    <w:rsid w:val="00DF018C"/>
    <w:rsid w:val="00DF02DE"/>
    <w:rsid w:val="00DF0D39"/>
    <w:rsid w:val="00DF0F6A"/>
    <w:rsid w:val="00DF1012"/>
    <w:rsid w:val="00DF1663"/>
    <w:rsid w:val="00DF1710"/>
    <w:rsid w:val="00DF1A23"/>
    <w:rsid w:val="00DF1B30"/>
    <w:rsid w:val="00DF20F4"/>
    <w:rsid w:val="00DF2185"/>
    <w:rsid w:val="00DF25FB"/>
    <w:rsid w:val="00DF285B"/>
    <w:rsid w:val="00DF2A43"/>
    <w:rsid w:val="00DF2F08"/>
    <w:rsid w:val="00DF3597"/>
    <w:rsid w:val="00DF35E8"/>
    <w:rsid w:val="00DF3626"/>
    <w:rsid w:val="00DF3B73"/>
    <w:rsid w:val="00DF3D26"/>
    <w:rsid w:val="00DF4294"/>
    <w:rsid w:val="00DF461C"/>
    <w:rsid w:val="00DF49AD"/>
    <w:rsid w:val="00DF4A5C"/>
    <w:rsid w:val="00DF4A9B"/>
    <w:rsid w:val="00DF4C91"/>
    <w:rsid w:val="00DF515A"/>
    <w:rsid w:val="00DF515E"/>
    <w:rsid w:val="00DF56BE"/>
    <w:rsid w:val="00DF575A"/>
    <w:rsid w:val="00DF57D6"/>
    <w:rsid w:val="00DF58FC"/>
    <w:rsid w:val="00DF73EB"/>
    <w:rsid w:val="00DF79DA"/>
    <w:rsid w:val="00DF7A5C"/>
    <w:rsid w:val="00DF7C48"/>
    <w:rsid w:val="00DF7C83"/>
    <w:rsid w:val="00DF7D98"/>
    <w:rsid w:val="00E00AFA"/>
    <w:rsid w:val="00E00BC3"/>
    <w:rsid w:val="00E00C39"/>
    <w:rsid w:val="00E00EAA"/>
    <w:rsid w:val="00E018C9"/>
    <w:rsid w:val="00E01B77"/>
    <w:rsid w:val="00E01D25"/>
    <w:rsid w:val="00E01E83"/>
    <w:rsid w:val="00E02374"/>
    <w:rsid w:val="00E02C42"/>
    <w:rsid w:val="00E02E5D"/>
    <w:rsid w:val="00E03F7B"/>
    <w:rsid w:val="00E047D7"/>
    <w:rsid w:val="00E0516D"/>
    <w:rsid w:val="00E05B58"/>
    <w:rsid w:val="00E06466"/>
    <w:rsid w:val="00E068A1"/>
    <w:rsid w:val="00E070F2"/>
    <w:rsid w:val="00E07362"/>
    <w:rsid w:val="00E07733"/>
    <w:rsid w:val="00E07847"/>
    <w:rsid w:val="00E0BB96"/>
    <w:rsid w:val="00E1043C"/>
    <w:rsid w:val="00E118AA"/>
    <w:rsid w:val="00E11DE0"/>
    <w:rsid w:val="00E12008"/>
    <w:rsid w:val="00E125A8"/>
    <w:rsid w:val="00E13AC9"/>
    <w:rsid w:val="00E13DC4"/>
    <w:rsid w:val="00E14B90"/>
    <w:rsid w:val="00E15278"/>
    <w:rsid w:val="00E155E6"/>
    <w:rsid w:val="00E156EC"/>
    <w:rsid w:val="00E15A96"/>
    <w:rsid w:val="00E164FE"/>
    <w:rsid w:val="00E17D99"/>
    <w:rsid w:val="00E203AA"/>
    <w:rsid w:val="00E2056F"/>
    <w:rsid w:val="00E20DB1"/>
    <w:rsid w:val="00E20E01"/>
    <w:rsid w:val="00E218F7"/>
    <w:rsid w:val="00E220DA"/>
    <w:rsid w:val="00E2279F"/>
    <w:rsid w:val="00E22E61"/>
    <w:rsid w:val="00E236A8"/>
    <w:rsid w:val="00E237C8"/>
    <w:rsid w:val="00E23B18"/>
    <w:rsid w:val="00E244DC"/>
    <w:rsid w:val="00E24A6C"/>
    <w:rsid w:val="00E24D1B"/>
    <w:rsid w:val="00E24F81"/>
    <w:rsid w:val="00E257EF"/>
    <w:rsid w:val="00E25B14"/>
    <w:rsid w:val="00E25CCC"/>
    <w:rsid w:val="00E26427"/>
    <w:rsid w:val="00E26661"/>
    <w:rsid w:val="00E26684"/>
    <w:rsid w:val="00E266AA"/>
    <w:rsid w:val="00E2707B"/>
    <w:rsid w:val="00E2719D"/>
    <w:rsid w:val="00E3035B"/>
    <w:rsid w:val="00E303D4"/>
    <w:rsid w:val="00E3042E"/>
    <w:rsid w:val="00E30BCE"/>
    <w:rsid w:val="00E30C19"/>
    <w:rsid w:val="00E31610"/>
    <w:rsid w:val="00E316F2"/>
    <w:rsid w:val="00E319DA"/>
    <w:rsid w:val="00E32475"/>
    <w:rsid w:val="00E3255E"/>
    <w:rsid w:val="00E327DE"/>
    <w:rsid w:val="00E33175"/>
    <w:rsid w:val="00E33638"/>
    <w:rsid w:val="00E33F58"/>
    <w:rsid w:val="00E3429A"/>
    <w:rsid w:val="00E346AA"/>
    <w:rsid w:val="00E34B12"/>
    <w:rsid w:val="00E34E9A"/>
    <w:rsid w:val="00E34F03"/>
    <w:rsid w:val="00E3532C"/>
    <w:rsid w:val="00E35D60"/>
    <w:rsid w:val="00E369C6"/>
    <w:rsid w:val="00E370A2"/>
    <w:rsid w:val="00E3772B"/>
    <w:rsid w:val="00E40021"/>
    <w:rsid w:val="00E40077"/>
    <w:rsid w:val="00E401B3"/>
    <w:rsid w:val="00E403F0"/>
    <w:rsid w:val="00E40DF0"/>
    <w:rsid w:val="00E40FC7"/>
    <w:rsid w:val="00E411A1"/>
    <w:rsid w:val="00E41911"/>
    <w:rsid w:val="00E41D79"/>
    <w:rsid w:val="00E41F76"/>
    <w:rsid w:val="00E4216B"/>
    <w:rsid w:val="00E424A1"/>
    <w:rsid w:val="00E428FA"/>
    <w:rsid w:val="00E42BBA"/>
    <w:rsid w:val="00E4305F"/>
    <w:rsid w:val="00E435BF"/>
    <w:rsid w:val="00E4362D"/>
    <w:rsid w:val="00E436A9"/>
    <w:rsid w:val="00E43717"/>
    <w:rsid w:val="00E437BD"/>
    <w:rsid w:val="00E43DE5"/>
    <w:rsid w:val="00E44301"/>
    <w:rsid w:val="00E4463E"/>
    <w:rsid w:val="00E44777"/>
    <w:rsid w:val="00E44906"/>
    <w:rsid w:val="00E44971"/>
    <w:rsid w:val="00E44DEE"/>
    <w:rsid w:val="00E450E8"/>
    <w:rsid w:val="00E45349"/>
    <w:rsid w:val="00E454C9"/>
    <w:rsid w:val="00E45DFE"/>
    <w:rsid w:val="00E45F3E"/>
    <w:rsid w:val="00E4614F"/>
    <w:rsid w:val="00E46566"/>
    <w:rsid w:val="00E473B2"/>
    <w:rsid w:val="00E473C8"/>
    <w:rsid w:val="00E4747A"/>
    <w:rsid w:val="00E4747B"/>
    <w:rsid w:val="00E4776D"/>
    <w:rsid w:val="00E47B3B"/>
    <w:rsid w:val="00E47C12"/>
    <w:rsid w:val="00E47C75"/>
    <w:rsid w:val="00E47E9C"/>
    <w:rsid w:val="00E47F95"/>
    <w:rsid w:val="00E50ADE"/>
    <w:rsid w:val="00E50CF6"/>
    <w:rsid w:val="00E5136D"/>
    <w:rsid w:val="00E51624"/>
    <w:rsid w:val="00E5168D"/>
    <w:rsid w:val="00E51D13"/>
    <w:rsid w:val="00E51DAB"/>
    <w:rsid w:val="00E51E37"/>
    <w:rsid w:val="00E52182"/>
    <w:rsid w:val="00E52935"/>
    <w:rsid w:val="00E52A7F"/>
    <w:rsid w:val="00E52D5B"/>
    <w:rsid w:val="00E52F28"/>
    <w:rsid w:val="00E5300A"/>
    <w:rsid w:val="00E532FD"/>
    <w:rsid w:val="00E538F5"/>
    <w:rsid w:val="00E53ABD"/>
    <w:rsid w:val="00E5531F"/>
    <w:rsid w:val="00E55544"/>
    <w:rsid w:val="00E55B95"/>
    <w:rsid w:val="00E55F62"/>
    <w:rsid w:val="00E56EF3"/>
    <w:rsid w:val="00E57899"/>
    <w:rsid w:val="00E578B7"/>
    <w:rsid w:val="00E57F01"/>
    <w:rsid w:val="00E5BCC1"/>
    <w:rsid w:val="00E605DF"/>
    <w:rsid w:val="00E60B41"/>
    <w:rsid w:val="00E61156"/>
    <w:rsid w:val="00E61380"/>
    <w:rsid w:val="00E6156A"/>
    <w:rsid w:val="00E6161D"/>
    <w:rsid w:val="00E6173F"/>
    <w:rsid w:val="00E6190B"/>
    <w:rsid w:val="00E62392"/>
    <w:rsid w:val="00E6310F"/>
    <w:rsid w:val="00E63AD2"/>
    <w:rsid w:val="00E645C3"/>
    <w:rsid w:val="00E64739"/>
    <w:rsid w:val="00E649DD"/>
    <w:rsid w:val="00E64A7F"/>
    <w:rsid w:val="00E64DD9"/>
    <w:rsid w:val="00E65070"/>
    <w:rsid w:val="00E653E0"/>
    <w:rsid w:val="00E6557B"/>
    <w:rsid w:val="00E6567D"/>
    <w:rsid w:val="00E65AE2"/>
    <w:rsid w:val="00E65C8E"/>
    <w:rsid w:val="00E660E2"/>
    <w:rsid w:val="00E66501"/>
    <w:rsid w:val="00E66FBB"/>
    <w:rsid w:val="00E67166"/>
    <w:rsid w:val="00E67621"/>
    <w:rsid w:val="00E67DBC"/>
    <w:rsid w:val="00E70410"/>
    <w:rsid w:val="00E707B3"/>
    <w:rsid w:val="00E70996"/>
    <w:rsid w:val="00E709AF"/>
    <w:rsid w:val="00E709D8"/>
    <w:rsid w:val="00E713C7"/>
    <w:rsid w:val="00E71B55"/>
    <w:rsid w:val="00E71CE8"/>
    <w:rsid w:val="00E7211B"/>
    <w:rsid w:val="00E7227E"/>
    <w:rsid w:val="00E7242C"/>
    <w:rsid w:val="00E72B6A"/>
    <w:rsid w:val="00E72DAE"/>
    <w:rsid w:val="00E72DAF"/>
    <w:rsid w:val="00E7329A"/>
    <w:rsid w:val="00E73419"/>
    <w:rsid w:val="00E73498"/>
    <w:rsid w:val="00E736FE"/>
    <w:rsid w:val="00E73A8D"/>
    <w:rsid w:val="00E73EFC"/>
    <w:rsid w:val="00E74CD7"/>
    <w:rsid w:val="00E752D5"/>
    <w:rsid w:val="00E7602E"/>
    <w:rsid w:val="00E76451"/>
    <w:rsid w:val="00E7788A"/>
    <w:rsid w:val="00E77DB8"/>
    <w:rsid w:val="00E77FB1"/>
    <w:rsid w:val="00E8016F"/>
    <w:rsid w:val="00E80726"/>
    <w:rsid w:val="00E80E52"/>
    <w:rsid w:val="00E80EC2"/>
    <w:rsid w:val="00E812DD"/>
    <w:rsid w:val="00E816CE"/>
    <w:rsid w:val="00E81DF8"/>
    <w:rsid w:val="00E81F20"/>
    <w:rsid w:val="00E8228E"/>
    <w:rsid w:val="00E82433"/>
    <w:rsid w:val="00E83977"/>
    <w:rsid w:val="00E845B7"/>
    <w:rsid w:val="00E8481C"/>
    <w:rsid w:val="00E85696"/>
    <w:rsid w:val="00E86178"/>
    <w:rsid w:val="00E87225"/>
    <w:rsid w:val="00E873D1"/>
    <w:rsid w:val="00E87660"/>
    <w:rsid w:val="00E87950"/>
    <w:rsid w:val="00E87CA1"/>
    <w:rsid w:val="00E90666"/>
    <w:rsid w:val="00E90C13"/>
    <w:rsid w:val="00E90D45"/>
    <w:rsid w:val="00E90FA2"/>
    <w:rsid w:val="00E90FB5"/>
    <w:rsid w:val="00E9120F"/>
    <w:rsid w:val="00E91512"/>
    <w:rsid w:val="00E917EB"/>
    <w:rsid w:val="00E91E68"/>
    <w:rsid w:val="00E92360"/>
    <w:rsid w:val="00E92F0C"/>
    <w:rsid w:val="00E93365"/>
    <w:rsid w:val="00E94565"/>
    <w:rsid w:val="00E94715"/>
    <w:rsid w:val="00E947D5"/>
    <w:rsid w:val="00E94B26"/>
    <w:rsid w:val="00E94CFF"/>
    <w:rsid w:val="00E94D4C"/>
    <w:rsid w:val="00E94F67"/>
    <w:rsid w:val="00E95290"/>
    <w:rsid w:val="00E95CBB"/>
    <w:rsid w:val="00E95F56"/>
    <w:rsid w:val="00E96183"/>
    <w:rsid w:val="00E961D0"/>
    <w:rsid w:val="00E9696B"/>
    <w:rsid w:val="00E96B15"/>
    <w:rsid w:val="00E97249"/>
    <w:rsid w:val="00E9748D"/>
    <w:rsid w:val="00E9792E"/>
    <w:rsid w:val="00E97E12"/>
    <w:rsid w:val="00E97E6E"/>
    <w:rsid w:val="00EA0221"/>
    <w:rsid w:val="00EA0251"/>
    <w:rsid w:val="00EA0688"/>
    <w:rsid w:val="00EA08C1"/>
    <w:rsid w:val="00EA0A25"/>
    <w:rsid w:val="00EA105F"/>
    <w:rsid w:val="00EA10B6"/>
    <w:rsid w:val="00EA11B0"/>
    <w:rsid w:val="00EA1678"/>
    <w:rsid w:val="00EA1840"/>
    <w:rsid w:val="00EA1AC7"/>
    <w:rsid w:val="00EA1E20"/>
    <w:rsid w:val="00EA25B5"/>
    <w:rsid w:val="00EA2EC3"/>
    <w:rsid w:val="00EA3214"/>
    <w:rsid w:val="00EA360B"/>
    <w:rsid w:val="00EA363D"/>
    <w:rsid w:val="00EA3889"/>
    <w:rsid w:val="00EA39BD"/>
    <w:rsid w:val="00EA4F59"/>
    <w:rsid w:val="00EA5899"/>
    <w:rsid w:val="00EA59AA"/>
    <w:rsid w:val="00EA6419"/>
    <w:rsid w:val="00EA6804"/>
    <w:rsid w:val="00EA68FF"/>
    <w:rsid w:val="00EA6C2E"/>
    <w:rsid w:val="00EA70BD"/>
    <w:rsid w:val="00EA71F5"/>
    <w:rsid w:val="00EA7837"/>
    <w:rsid w:val="00EB0CCE"/>
    <w:rsid w:val="00EB136E"/>
    <w:rsid w:val="00EB17F4"/>
    <w:rsid w:val="00EB1965"/>
    <w:rsid w:val="00EB19EE"/>
    <w:rsid w:val="00EB2215"/>
    <w:rsid w:val="00EB2495"/>
    <w:rsid w:val="00EB24A0"/>
    <w:rsid w:val="00EB260F"/>
    <w:rsid w:val="00EB27AC"/>
    <w:rsid w:val="00EB2BA4"/>
    <w:rsid w:val="00EB3146"/>
    <w:rsid w:val="00EB3EE2"/>
    <w:rsid w:val="00EB4025"/>
    <w:rsid w:val="00EB4772"/>
    <w:rsid w:val="00EB4964"/>
    <w:rsid w:val="00EB4F2A"/>
    <w:rsid w:val="00EB5221"/>
    <w:rsid w:val="00EB5548"/>
    <w:rsid w:val="00EB5B18"/>
    <w:rsid w:val="00EB5D85"/>
    <w:rsid w:val="00EB638E"/>
    <w:rsid w:val="00EB65D0"/>
    <w:rsid w:val="00EB668A"/>
    <w:rsid w:val="00EB6862"/>
    <w:rsid w:val="00EB782C"/>
    <w:rsid w:val="00EB7B94"/>
    <w:rsid w:val="00EB7EC4"/>
    <w:rsid w:val="00EC0059"/>
    <w:rsid w:val="00EC0573"/>
    <w:rsid w:val="00EC06FD"/>
    <w:rsid w:val="00EC0752"/>
    <w:rsid w:val="00EC08E1"/>
    <w:rsid w:val="00EC0A09"/>
    <w:rsid w:val="00EC0D49"/>
    <w:rsid w:val="00EC1878"/>
    <w:rsid w:val="00EC1A92"/>
    <w:rsid w:val="00EC21F2"/>
    <w:rsid w:val="00EC23B0"/>
    <w:rsid w:val="00EC23B5"/>
    <w:rsid w:val="00EC269F"/>
    <w:rsid w:val="00EC29CB"/>
    <w:rsid w:val="00EC2A1C"/>
    <w:rsid w:val="00EC2C4F"/>
    <w:rsid w:val="00EC2E3E"/>
    <w:rsid w:val="00EC34A8"/>
    <w:rsid w:val="00EC3BDC"/>
    <w:rsid w:val="00EC3EA6"/>
    <w:rsid w:val="00EC4109"/>
    <w:rsid w:val="00EC444A"/>
    <w:rsid w:val="00EC5B0D"/>
    <w:rsid w:val="00EC5CB3"/>
    <w:rsid w:val="00EC6142"/>
    <w:rsid w:val="00EC618A"/>
    <w:rsid w:val="00EC701E"/>
    <w:rsid w:val="00EC7065"/>
    <w:rsid w:val="00EC7485"/>
    <w:rsid w:val="00EC7757"/>
    <w:rsid w:val="00EC7A63"/>
    <w:rsid w:val="00ED07E0"/>
    <w:rsid w:val="00ED080D"/>
    <w:rsid w:val="00ED087A"/>
    <w:rsid w:val="00ED0A5E"/>
    <w:rsid w:val="00ED0AE9"/>
    <w:rsid w:val="00ED0CB2"/>
    <w:rsid w:val="00ED1481"/>
    <w:rsid w:val="00ED14B7"/>
    <w:rsid w:val="00ED1DB7"/>
    <w:rsid w:val="00ED1FEC"/>
    <w:rsid w:val="00ED22BE"/>
    <w:rsid w:val="00ED2542"/>
    <w:rsid w:val="00ED2966"/>
    <w:rsid w:val="00ED306E"/>
    <w:rsid w:val="00ED334F"/>
    <w:rsid w:val="00ED34CF"/>
    <w:rsid w:val="00ED36BE"/>
    <w:rsid w:val="00ED37E3"/>
    <w:rsid w:val="00ED394F"/>
    <w:rsid w:val="00ED3A4A"/>
    <w:rsid w:val="00ED4378"/>
    <w:rsid w:val="00ED4379"/>
    <w:rsid w:val="00ED476B"/>
    <w:rsid w:val="00ED4CB2"/>
    <w:rsid w:val="00ED4D1D"/>
    <w:rsid w:val="00ED4DA2"/>
    <w:rsid w:val="00ED4E0E"/>
    <w:rsid w:val="00ED5A4F"/>
    <w:rsid w:val="00ED76B3"/>
    <w:rsid w:val="00ED77FB"/>
    <w:rsid w:val="00ED7D88"/>
    <w:rsid w:val="00EE0067"/>
    <w:rsid w:val="00EE02E8"/>
    <w:rsid w:val="00EE08E2"/>
    <w:rsid w:val="00EE0988"/>
    <w:rsid w:val="00EE0F06"/>
    <w:rsid w:val="00EE1298"/>
    <w:rsid w:val="00EE1DD7"/>
    <w:rsid w:val="00EE1E61"/>
    <w:rsid w:val="00EE200E"/>
    <w:rsid w:val="00EE218D"/>
    <w:rsid w:val="00EE24A3"/>
    <w:rsid w:val="00EE252E"/>
    <w:rsid w:val="00EE277B"/>
    <w:rsid w:val="00EE2CD3"/>
    <w:rsid w:val="00EE2E1C"/>
    <w:rsid w:val="00EE3193"/>
    <w:rsid w:val="00EE3A11"/>
    <w:rsid w:val="00EE3F20"/>
    <w:rsid w:val="00EE3F78"/>
    <w:rsid w:val="00EE407C"/>
    <w:rsid w:val="00EE4389"/>
    <w:rsid w:val="00EE43D6"/>
    <w:rsid w:val="00EE4665"/>
    <w:rsid w:val="00EE4A9B"/>
    <w:rsid w:val="00EE55B3"/>
    <w:rsid w:val="00EE5E66"/>
    <w:rsid w:val="00EE6151"/>
    <w:rsid w:val="00EE6718"/>
    <w:rsid w:val="00EE68DB"/>
    <w:rsid w:val="00EE6F14"/>
    <w:rsid w:val="00EE72BB"/>
    <w:rsid w:val="00EE79A1"/>
    <w:rsid w:val="00EE7E72"/>
    <w:rsid w:val="00EF02BC"/>
    <w:rsid w:val="00EF041B"/>
    <w:rsid w:val="00EF056E"/>
    <w:rsid w:val="00EF05B9"/>
    <w:rsid w:val="00EF0A20"/>
    <w:rsid w:val="00EF10AA"/>
    <w:rsid w:val="00EF125F"/>
    <w:rsid w:val="00EF1614"/>
    <w:rsid w:val="00EF1A55"/>
    <w:rsid w:val="00EF1B8C"/>
    <w:rsid w:val="00EF1EF7"/>
    <w:rsid w:val="00EF2587"/>
    <w:rsid w:val="00EF2AB9"/>
    <w:rsid w:val="00EF2D69"/>
    <w:rsid w:val="00EF3365"/>
    <w:rsid w:val="00EF359F"/>
    <w:rsid w:val="00EF3A7E"/>
    <w:rsid w:val="00EF4444"/>
    <w:rsid w:val="00EF5426"/>
    <w:rsid w:val="00EF5A2F"/>
    <w:rsid w:val="00EF5DB8"/>
    <w:rsid w:val="00EF6459"/>
    <w:rsid w:val="00EF6966"/>
    <w:rsid w:val="00EF6D41"/>
    <w:rsid w:val="00EF73BE"/>
    <w:rsid w:val="00EF7760"/>
    <w:rsid w:val="00F000DC"/>
    <w:rsid w:val="00F00256"/>
    <w:rsid w:val="00F0108A"/>
    <w:rsid w:val="00F017E0"/>
    <w:rsid w:val="00F01A20"/>
    <w:rsid w:val="00F01F37"/>
    <w:rsid w:val="00F02506"/>
    <w:rsid w:val="00F02D1B"/>
    <w:rsid w:val="00F02DD5"/>
    <w:rsid w:val="00F03442"/>
    <w:rsid w:val="00F03B20"/>
    <w:rsid w:val="00F03D79"/>
    <w:rsid w:val="00F03E5D"/>
    <w:rsid w:val="00F043F6"/>
    <w:rsid w:val="00F049BD"/>
    <w:rsid w:val="00F057B6"/>
    <w:rsid w:val="00F065A0"/>
    <w:rsid w:val="00F06701"/>
    <w:rsid w:val="00F07D29"/>
    <w:rsid w:val="00F07DA9"/>
    <w:rsid w:val="00F10268"/>
    <w:rsid w:val="00F102DE"/>
    <w:rsid w:val="00F110FD"/>
    <w:rsid w:val="00F1192C"/>
    <w:rsid w:val="00F11C14"/>
    <w:rsid w:val="00F11DEB"/>
    <w:rsid w:val="00F1212D"/>
    <w:rsid w:val="00F12623"/>
    <w:rsid w:val="00F1293B"/>
    <w:rsid w:val="00F129B9"/>
    <w:rsid w:val="00F12F8B"/>
    <w:rsid w:val="00F132E3"/>
    <w:rsid w:val="00F13356"/>
    <w:rsid w:val="00F1350E"/>
    <w:rsid w:val="00F137D2"/>
    <w:rsid w:val="00F1382E"/>
    <w:rsid w:val="00F13A7C"/>
    <w:rsid w:val="00F13FE4"/>
    <w:rsid w:val="00F14326"/>
    <w:rsid w:val="00F1541C"/>
    <w:rsid w:val="00F15655"/>
    <w:rsid w:val="00F15C5B"/>
    <w:rsid w:val="00F15DD6"/>
    <w:rsid w:val="00F15F7A"/>
    <w:rsid w:val="00F164A0"/>
    <w:rsid w:val="00F1663B"/>
    <w:rsid w:val="00F1700E"/>
    <w:rsid w:val="00F171B2"/>
    <w:rsid w:val="00F1766E"/>
    <w:rsid w:val="00F200C0"/>
    <w:rsid w:val="00F20303"/>
    <w:rsid w:val="00F206BD"/>
    <w:rsid w:val="00F208C3"/>
    <w:rsid w:val="00F2096A"/>
    <w:rsid w:val="00F20D37"/>
    <w:rsid w:val="00F21178"/>
    <w:rsid w:val="00F21C70"/>
    <w:rsid w:val="00F22174"/>
    <w:rsid w:val="00F22B12"/>
    <w:rsid w:val="00F22E97"/>
    <w:rsid w:val="00F23FB8"/>
    <w:rsid w:val="00F24404"/>
    <w:rsid w:val="00F247B2"/>
    <w:rsid w:val="00F24B6E"/>
    <w:rsid w:val="00F2517C"/>
    <w:rsid w:val="00F2519C"/>
    <w:rsid w:val="00F256D6"/>
    <w:rsid w:val="00F26044"/>
    <w:rsid w:val="00F26158"/>
    <w:rsid w:val="00F266C8"/>
    <w:rsid w:val="00F267E9"/>
    <w:rsid w:val="00F26930"/>
    <w:rsid w:val="00F26FD0"/>
    <w:rsid w:val="00F27336"/>
    <w:rsid w:val="00F27352"/>
    <w:rsid w:val="00F2771B"/>
    <w:rsid w:val="00F27757"/>
    <w:rsid w:val="00F277F0"/>
    <w:rsid w:val="00F27A32"/>
    <w:rsid w:val="00F27CBE"/>
    <w:rsid w:val="00F301C0"/>
    <w:rsid w:val="00F30CA6"/>
    <w:rsid w:val="00F30FB9"/>
    <w:rsid w:val="00F31003"/>
    <w:rsid w:val="00F31070"/>
    <w:rsid w:val="00F3153B"/>
    <w:rsid w:val="00F333C1"/>
    <w:rsid w:val="00F33AE8"/>
    <w:rsid w:val="00F33C5B"/>
    <w:rsid w:val="00F34357"/>
    <w:rsid w:val="00F353A2"/>
    <w:rsid w:val="00F354AC"/>
    <w:rsid w:val="00F35897"/>
    <w:rsid w:val="00F35EA6"/>
    <w:rsid w:val="00F36152"/>
    <w:rsid w:val="00F36BD4"/>
    <w:rsid w:val="00F3738C"/>
    <w:rsid w:val="00F37565"/>
    <w:rsid w:val="00F376DD"/>
    <w:rsid w:val="00F37A2F"/>
    <w:rsid w:val="00F40623"/>
    <w:rsid w:val="00F40B5A"/>
    <w:rsid w:val="00F4121E"/>
    <w:rsid w:val="00F41798"/>
    <w:rsid w:val="00F41A79"/>
    <w:rsid w:val="00F41D49"/>
    <w:rsid w:val="00F428FE"/>
    <w:rsid w:val="00F42B29"/>
    <w:rsid w:val="00F42BC5"/>
    <w:rsid w:val="00F42D7E"/>
    <w:rsid w:val="00F430E2"/>
    <w:rsid w:val="00F4347F"/>
    <w:rsid w:val="00F436C4"/>
    <w:rsid w:val="00F43CA7"/>
    <w:rsid w:val="00F4410D"/>
    <w:rsid w:val="00F446D4"/>
    <w:rsid w:val="00F447F7"/>
    <w:rsid w:val="00F44840"/>
    <w:rsid w:val="00F448F8"/>
    <w:rsid w:val="00F44D32"/>
    <w:rsid w:val="00F451C8"/>
    <w:rsid w:val="00F456FE"/>
    <w:rsid w:val="00F45855"/>
    <w:rsid w:val="00F45F07"/>
    <w:rsid w:val="00F46C97"/>
    <w:rsid w:val="00F46D66"/>
    <w:rsid w:val="00F46E4C"/>
    <w:rsid w:val="00F4704F"/>
    <w:rsid w:val="00F47081"/>
    <w:rsid w:val="00F476A0"/>
    <w:rsid w:val="00F47852"/>
    <w:rsid w:val="00F502FE"/>
    <w:rsid w:val="00F50477"/>
    <w:rsid w:val="00F50564"/>
    <w:rsid w:val="00F510D1"/>
    <w:rsid w:val="00F5143C"/>
    <w:rsid w:val="00F51D10"/>
    <w:rsid w:val="00F51FCC"/>
    <w:rsid w:val="00F52464"/>
    <w:rsid w:val="00F52C2C"/>
    <w:rsid w:val="00F52DFA"/>
    <w:rsid w:val="00F5354B"/>
    <w:rsid w:val="00F5394A"/>
    <w:rsid w:val="00F55033"/>
    <w:rsid w:val="00F5539B"/>
    <w:rsid w:val="00F555E5"/>
    <w:rsid w:val="00F55BC6"/>
    <w:rsid w:val="00F5658B"/>
    <w:rsid w:val="00F56D27"/>
    <w:rsid w:val="00F57D7A"/>
    <w:rsid w:val="00F57EC9"/>
    <w:rsid w:val="00F60886"/>
    <w:rsid w:val="00F60B09"/>
    <w:rsid w:val="00F60B31"/>
    <w:rsid w:val="00F60FCD"/>
    <w:rsid w:val="00F61375"/>
    <w:rsid w:val="00F613DA"/>
    <w:rsid w:val="00F61AF0"/>
    <w:rsid w:val="00F61AFB"/>
    <w:rsid w:val="00F61D34"/>
    <w:rsid w:val="00F61D4B"/>
    <w:rsid w:val="00F61EB1"/>
    <w:rsid w:val="00F61FD0"/>
    <w:rsid w:val="00F625EF"/>
    <w:rsid w:val="00F62DB6"/>
    <w:rsid w:val="00F630FE"/>
    <w:rsid w:val="00F63195"/>
    <w:rsid w:val="00F63360"/>
    <w:rsid w:val="00F6337F"/>
    <w:rsid w:val="00F635A2"/>
    <w:rsid w:val="00F63616"/>
    <w:rsid w:val="00F63942"/>
    <w:rsid w:val="00F63C7D"/>
    <w:rsid w:val="00F63D52"/>
    <w:rsid w:val="00F64095"/>
    <w:rsid w:val="00F6435E"/>
    <w:rsid w:val="00F650FB"/>
    <w:rsid w:val="00F6552B"/>
    <w:rsid w:val="00F65B67"/>
    <w:rsid w:val="00F668C2"/>
    <w:rsid w:val="00F669B3"/>
    <w:rsid w:val="00F66E1D"/>
    <w:rsid w:val="00F672F0"/>
    <w:rsid w:val="00F673A9"/>
    <w:rsid w:val="00F6770C"/>
    <w:rsid w:val="00F67A49"/>
    <w:rsid w:val="00F67A6A"/>
    <w:rsid w:val="00F67AA2"/>
    <w:rsid w:val="00F67F69"/>
    <w:rsid w:val="00F70863"/>
    <w:rsid w:val="00F70A81"/>
    <w:rsid w:val="00F70B82"/>
    <w:rsid w:val="00F71361"/>
    <w:rsid w:val="00F71B50"/>
    <w:rsid w:val="00F71E72"/>
    <w:rsid w:val="00F72166"/>
    <w:rsid w:val="00F72200"/>
    <w:rsid w:val="00F72281"/>
    <w:rsid w:val="00F724B6"/>
    <w:rsid w:val="00F724F1"/>
    <w:rsid w:val="00F72785"/>
    <w:rsid w:val="00F72C75"/>
    <w:rsid w:val="00F72D61"/>
    <w:rsid w:val="00F730A3"/>
    <w:rsid w:val="00F732E7"/>
    <w:rsid w:val="00F7347B"/>
    <w:rsid w:val="00F73869"/>
    <w:rsid w:val="00F739F4"/>
    <w:rsid w:val="00F73D05"/>
    <w:rsid w:val="00F74650"/>
    <w:rsid w:val="00F7476F"/>
    <w:rsid w:val="00F74CC1"/>
    <w:rsid w:val="00F750A5"/>
    <w:rsid w:val="00F750DB"/>
    <w:rsid w:val="00F75A47"/>
    <w:rsid w:val="00F766B2"/>
    <w:rsid w:val="00F766B6"/>
    <w:rsid w:val="00F7682E"/>
    <w:rsid w:val="00F76C96"/>
    <w:rsid w:val="00F76F41"/>
    <w:rsid w:val="00F770C9"/>
    <w:rsid w:val="00F80B42"/>
    <w:rsid w:val="00F80BEA"/>
    <w:rsid w:val="00F8116D"/>
    <w:rsid w:val="00F81186"/>
    <w:rsid w:val="00F8146C"/>
    <w:rsid w:val="00F816F1"/>
    <w:rsid w:val="00F81964"/>
    <w:rsid w:val="00F82CF2"/>
    <w:rsid w:val="00F82D22"/>
    <w:rsid w:val="00F82FDC"/>
    <w:rsid w:val="00F83060"/>
    <w:rsid w:val="00F83789"/>
    <w:rsid w:val="00F8405B"/>
    <w:rsid w:val="00F843EE"/>
    <w:rsid w:val="00F84467"/>
    <w:rsid w:val="00F84A7D"/>
    <w:rsid w:val="00F84ADC"/>
    <w:rsid w:val="00F84B44"/>
    <w:rsid w:val="00F84DED"/>
    <w:rsid w:val="00F84E23"/>
    <w:rsid w:val="00F8519A"/>
    <w:rsid w:val="00F853D5"/>
    <w:rsid w:val="00F8607C"/>
    <w:rsid w:val="00F860D6"/>
    <w:rsid w:val="00F864EE"/>
    <w:rsid w:val="00F865AC"/>
    <w:rsid w:val="00F866D1"/>
    <w:rsid w:val="00F868BC"/>
    <w:rsid w:val="00F86A50"/>
    <w:rsid w:val="00F86C66"/>
    <w:rsid w:val="00F86E3E"/>
    <w:rsid w:val="00F86F3F"/>
    <w:rsid w:val="00F86FAB"/>
    <w:rsid w:val="00F877D5"/>
    <w:rsid w:val="00F87906"/>
    <w:rsid w:val="00F87AD8"/>
    <w:rsid w:val="00F87E1C"/>
    <w:rsid w:val="00F87EFB"/>
    <w:rsid w:val="00F90049"/>
    <w:rsid w:val="00F903A5"/>
    <w:rsid w:val="00F903CC"/>
    <w:rsid w:val="00F90D6F"/>
    <w:rsid w:val="00F90D72"/>
    <w:rsid w:val="00F90DA8"/>
    <w:rsid w:val="00F9186A"/>
    <w:rsid w:val="00F919E3"/>
    <w:rsid w:val="00F91C50"/>
    <w:rsid w:val="00F9200E"/>
    <w:rsid w:val="00F9285C"/>
    <w:rsid w:val="00F928EA"/>
    <w:rsid w:val="00F92F51"/>
    <w:rsid w:val="00F92F76"/>
    <w:rsid w:val="00F931DE"/>
    <w:rsid w:val="00F93319"/>
    <w:rsid w:val="00F9344F"/>
    <w:rsid w:val="00F93595"/>
    <w:rsid w:val="00F93DB8"/>
    <w:rsid w:val="00F93E4D"/>
    <w:rsid w:val="00F948CD"/>
    <w:rsid w:val="00F94D16"/>
    <w:rsid w:val="00F95064"/>
    <w:rsid w:val="00F9548D"/>
    <w:rsid w:val="00F95B23"/>
    <w:rsid w:val="00F962D6"/>
    <w:rsid w:val="00F96327"/>
    <w:rsid w:val="00F96453"/>
    <w:rsid w:val="00F968D4"/>
    <w:rsid w:val="00F96A10"/>
    <w:rsid w:val="00F97586"/>
    <w:rsid w:val="00F976BA"/>
    <w:rsid w:val="00F97B4F"/>
    <w:rsid w:val="00FA0051"/>
    <w:rsid w:val="00FA0228"/>
    <w:rsid w:val="00FA0487"/>
    <w:rsid w:val="00FA08F8"/>
    <w:rsid w:val="00FA0DF7"/>
    <w:rsid w:val="00FA13D6"/>
    <w:rsid w:val="00FA1712"/>
    <w:rsid w:val="00FA183D"/>
    <w:rsid w:val="00FA2BA7"/>
    <w:rsid w:val="00FA3811"/>
    <w:rsid w:val="00FA3E14"/>
    <w:rsid w:val="00FA40E9"/>
    <w:rsid w:val="00FA42B5"/>
    <w:rsid w:val="00FA48E5"/>
    <w:rsid w:val="00FA49CA"/>
    <w:rsid w:val="00FA4C85"/>
    <w:rsid w:val="00FA4EA0"/>
    <w:rsid w:val="00FA4FC7"/>
    <w:rsid w:val="00FA50DD"/>
    <w:rsid w:val="00FA5202"/>
    <w:rsid w:val="00FA565A"/>
    <w:rsid w:val="00FA7186"/>
    <w:rsid w:val="00FA7283"/>
    <w:rsid w:val="00FA7375"/>
    <w:rsid w:val="00FA7EB7"/>
    <w:rsid w:val="00FB011D"/>
    <w:rsid w:val="00FB037F"/>
    <w:rsid w:val="00FB057B"/>
    <w:rsid w:val="00FB058A"/>
    <w:rsid w:val="00FB109B"/>
    <w:rsid w:val="00FB10D6"/>
    <w:rsid w:val="00FB15B7"/>
    <w:rsid w:val="00FB19B4"/>
    <w:rsid w:val="00FB211F"/>
    <w:rsid w:val="00FB215B"/>
    <w:rsid w:val="00FB2261"/>
    <w:rsid w:val="00FB2330"/>
    <w:rsid w:val="00FB2BD6"/>
    <w:rsid w:val="00FB30A0"/>
    <w:rsid w:val="00FB34CD"/>
    <w:rsid w:val="00FB376D"/>
    <w:rsid w:val="00FB37B4"/>
    <w:rsid w:val="00FB3BFC"/>
    <w:rsid w:val="00FB3C96"/>
    <w:rsid w:val="00FB3D54"/>
    <w:rsid w:val="00FB3ED5"/>
    <w:rsid w:val="00FB417F"/>
    <w:rsid w:val="00FB44E6"/>
    <w:rsid w:val="00FB4535"/>
    <w:rsid w:val="00FB4C28"/>
    <w:rsid w:val="00FB4D7F"/>
    <w:rsid w:val="00FB58B5"/>
    <w:rsid w:val="00FB59A5"/>
    <w:rsid w:val="00FB6024"/>
    <w:rsid w:val="00FB6534"/>
    <w:rsid w:val="00FB6EDB"/>
    <w:rsid w:val="00FB7A20"/>
    <w:rsid w:val="00FB7B62"/>
    <w:rsid w:val="00FB7C5B"/>
    <w:rsid w:val="00FC01ED"/>
    <w:rsid w:val="00FC060C"/>
    <w:rsid w:val="00FC0759"/>
    <w:rsid w:val="00FC08A5"/>
    <w:rsid w:val="00FC0D28"/>
    <w:rsid w:val="00FC13CF"/>
    <w:rsid w:val="00FC2328"/>
    <w:rsid w:val="00FC25DB"/>
    <w:rsid w:val="00FC266C"/>
    <w:rsid w:val="00FC282A"/>
    <w:rsid w:val="00FC2B11"/>
    <w:rsid w:val="00FC2C1D"/>
    <w:rsid w:val="00FC38D9"/>
    <w:rsid w:val="00FC3FE4"/>
    <w:rsid w:val="00FC4174"/>
    <w:rsid w:val="00FC42FE"/>
    <w:rsid w:val="00FC446A"/>
    <w:rsid w:val="00FC4908"/>
    <w:rsid w:val="00FC49CC"/>
    <w:rsid w:val="00FC4C62"/>
    <w:rsid w:val="00FC5125"/>
    <w:rsid w:val="00FC51A5"/>
    <w:rsid w:val="00FC55CD"/>
    <w:rsid w:val="00FC5756"/>
    <w:rsid w:val="00FC5C26"/>
    <w:rsid w:val="00FC5D03"/>
    <w:rsid w:val="00FC5E59"/>
    <w:rsid w:val="00FC6197"/>
    <w:rsid w:val="00FC6476"/>
    <w:rsid w:val="00FC6531"/>
    <w:rsid w:val="00FC6984"/>
    <w:rsid w:val="00FC6A7E"/>
    <w:rsid w:val="00FC6ABF"/>
    <w:rsid w:val="00FC6EE8"/>
    <w:rsid w:val="00FC7251"/>
    <w:rsid w:val="00FC733A"/>
    <w:rsid w:val="00FC7F1E"/>
    <w:rsid w:val="00FD0361"/>
    <w:rsid w:val="00FD03F6"/>
    <w:rsid w:val="00FD0AA1"/>
    <w:rsid w:val="00FD0AC1"/>
    <w:rsid w:val="00FD0DE7"/>
    <w:rsid w:val="00FD1778"/>
    <w:rsid w:val="00FD194C"/>
    <w:rsid w:val="00FD2404"/>
    <w:rsid w:val="00FD2A1D"/>
    <w:rsid w:val="00FD35ED"/>
    <w:rsid w:val="00FD4066"/>
    <w:rsid w:val="00FD438A"/>
    <w:rsid w:val="00FD460C"/>
    <w:rsid w:val="00FD46A5"/>
    <w:rsid w:val="00FD4B07"/>
    <w:rsid w:val="00FD4B1E"/>
    <w:rsid w:val="00FD4EA4"/>
    <w:rsid w:val="00FD5123"/>
    <w:rsid w:val="00FD591E"/>
    <w:rsid w:val="00FD5B38"/>
    <w:rsid w:val="00FD62BB"/>
    <w:rsid w:val="00FD6B5D"/>
    <w:rsid w:val="00FD738B"/>
    <w:rsid w:val="00FD752D"/>
    <w:rsid w:val="00FD791F"/>
    <w:rsid w:val="00FD7C37"/>
    <w:rsid w:val="00FD7F9C"/>
    <w:rsid w:val="00FE04E4"/>
    <w:rsid w:val="00FE06EF"/>
    <w:rsid w:val="00FE09D3"/>
    <w:rsid w:val="00FE12FD"/>
    <w:rsid w:val="00FE17BF"/>
    <w:rsid w:val="00FE189C"/>
    <w:rsid w:val="00FE198F"/>
    <w:rsid w:val="00FE1B9D"/>
    <w:rsid w:val="00FE208D"/>
    <w:rsid w:val="00FE2452"/>
    <w:rsid w:val="00FE2AE8"/>
    <w:rsid w:val="00FE2B5D"/>
    <w:rsid w:val="00FE35A1"/>
    <w:rsid w:val="00FE3AFC"/>
    <w:rsid w:val="00FE3B5C"/>
    <w:rsid w:val="00FE412F"/>
    <w:rsid w:val="00FE538F"/>
    <w:rsid w:val="00FE5533"/>
    <w:rsid w:val="00FE5B1A"/>
    <w:rsid w:val="00FE61BF"/>
    <w:rsid w:val="00FE6A0D"/>
    <w:rsid w:val="00FE7253"/>
    <w:rsid w:val="00FE7568"/>
    <w:rsid w:val="00FE7B83"/>
    <w:rsid w:val="00FF09D6"/>
    <w:rsid w:val="00FF0C6F"/>
    <w:rsid w:val="00FF0F9D"/>
    <w:rsid w:val="00FF12AB"/>
    <w:rsid w:val="00FF15B6"/>
    <w:rsid w:val="00FF16D2"/>
    <w:rsid w:val="00FF1906"/>
    <w:rsid w:val="00FF1E48"/>
    <w:rsid w:val="00FF1EFA"/>
    <w:rsid w:val="00FF2409"/>
    <w:rsid w:val="00FF2F1E"/>
    <w:rsid w:val="00FF3465"/>
    <w:rsid w:val="00FF3C26"/>
    <w:rsid w:val="00FF4107"/>
    <w:rsid w:val="00FF46F1"/>
    <w:rsid w:val="00FF4E2B"/>
    <w:rsid w:val="00FF4F04"/>
    <w:rsid w:val="00FF57F1"/>
    <w:rsid w:val="00FF597F"/>
    <w:rsid w:val="00FF6000"/>
    <w:rsid w:val="00FF6161"/>
    <w:rsid w:val="00FF63AF"/>
    <w:rsid w:val="00FF647A"/>
    <w:rsid w:val="00FF6739"/>
    <w:rsid w:val="00FF6B17"/>
    <w:rsid w:val="00FF71E3"/>
    <w:rsid w:val="00FF7576"/>
    <w:rsid w:val="00FF77A5"/>
    <w:rsid w:val="00FF79A5"/>
    <w:rsid w:val="00FF7D07"/>
    <w:rsid w:val="00FF7D28"/>
    <w:rsid w:val="00FF7EB8"/>
    <w:rsid w:val="0101D611"/>
    <w:rsid w:val="0150F4CD"/>
    <w:rsid w:val="01A72767"/>
    <w:rsid w:val="01A8E8AF"/>
    <w:rsid w:val="01C2516D"/>
    <w:rsid w:val="01E9E261"/>
    <w:rsid w:val="01FCE044"/>
    <w:rsid w:val="024665E0"/>
    <w:rsid w:val="026F08B7"/>
    <w:rsid w:val="0278E0AF"/>
    <w:rsid w:val="02797DBA"/>
    <w:rsid w:val="02B18BD0"/>
    <w:rsid w:val="030338C2"/>
    <w:rsid w:val="030CEE87"/>
    <w:rsid w:val="03172D11"/>
    <w:rsid w:val="03186AD7"/>
    <w:rsid w:val="03421B69"/>
    <w:rsid w:val="037047DB"/>
    <w:rsid w:val="037FB601"/>
    <w:rsid w:val="03C5B072"/>
    <w:rsid w:val="03DAF022"/>
    <w:rsid w:val="04127DE4"/>
    <w:rsid w:val="0414B283"/>
    <w:rsid w:val="041F52BE"/>
    <w:rsid w:val="0420F27E"/>
    <w:rsid w:val="0426CE94"/>
    <w:rsid w:val="043702C8"/>
    <w:rsid w:val="043976D3"/>
    <w:rsid w:val="0457A15A"/>
    <w:rsid w:val="0472B5EF"/>
    <w:rsid w:val="04A8BEE8"/>
    <w:rsid w:val="04D82A4E"/>
    <w:rsid w:val="050D224C"/>
    <w:rsid w:val="051BD174"/>
    <w:rsid w:val="05254C40"/>
    <w:rsid w:val="0537D19E"/>
    <w:rsid w:val="05499BCD"/>
    <w:rsid w:val="0551D974"/>
    <w:rsid w:val="056CA4DC"/>
    <w:rsid w:val="059601AF"/>
    <w:rsid w:val="05C27782"/>
    <w:rsid w:val="05D11745"/>
    <w:rsid w:val="06366450"/>
    <w:rsid w:val="0646965F"/>
    <w:rsid w:val="0666EBD5"/>
    <w:rsid w:val="06A0D76D"/>
    <w:rsid w:val="06A3BF5D"/>
    <w:rsid w:val="06AD427C"/>
    <w:rsid w:val="06CB7FD3"/>
    <w:rsid w:val="06ECBAAC"/>
    <w:rsid w:val="073A93B4"/>
    <w:rsid w:val="073BD5E8"/>
    <w:rsid w:val="07493870"/>
    <w:rsid w:val="076A4049"/>
    <w:rsid w:val="0795F70A"/>
    <w:rsid w:val="079A9C4E"/>
    <w:rsid w:val="07A44C23"/>
    <w:rsid w:val="07E8185C"/>
    <w:rsid w:val="07FD0724"/>
    <w:rsid w:val="080D10FD"/>
    <w:rsid w:val="083E7DCC"/>
    <w:rsid w:val="08734F73"/>
    <w:rsid w:val="08A35F88"/>
    <w:rsid w:val="08B27DF9"/>
    <w:rsid w:val="08D9A05F"/>
    <w:rsid w:val="08DC25B3"/>
    <w:rsid w:val="08E7BA83"/>
    <w:rsid w:val="08EAC561"/>
    <w:rsid w:val="08FFF23D"/>
    <w:rsid w:val="090A95FD"/>
    <w:rsid w:val="090CE7F6"/>
    <w:rsid w:val="09230657"/>
    <w:rsid w:val="09259377"/>
    <w:rsid w:val="094F0FBC"/>
    <w:rsid w:val="0955D9CF"/>
    <w:rsid w:val="098B07D6"/>
    <w:rsid w:val="0A23C2A7"/>
    <w:rsid w:val="0A514949"/>
    <w:rsid w:val="0A88F88E"/>
    <w:rsid w:val="0A8951D7"/>
    <w:rsid w:val="0A8F8FFA"/>
    <w:rsid w:val="0AAF0A92"/>
    <w:rsid w:val="0ACD97CC"/>
    <w:rsid w:val="0AF970F6"/>
    <w:rsid w:val="0B581CDA"/>
    <w:rsid w:val="0B6461AF"/>
    <w:rsid w:val="0B90C07A"/>
    <w:rsid w:val="0BC944A9"/>
    <w:rsid w:val="0BD20AD1"/>
    <w:rsid w:val="0BF7711B"/>
    <w:rsid w:val="0BF77978"/>
    <w:rsid w:val="0BFDB536"/>
    <w:rsid w:val="0C0FCEAD"/>
    <w:rsid w:val="0C1A329F"/>
    <w:rsid w:val="0C4217CF"/>
    <w:rsid w:val="0C75D0C5"/>
    <w:rsid w:val="0C8805E6"/>
    <w:rsid w:val="0CB5C28C"/>
    <w:rsid w:val="0CCB6888"/>
    <w:rsid w:val="0CE673AC"/>
    <w:rsid w:val="0CF20FA1"/>
    <w:rsid w:val="0D018E94"/>
    <w:rsid w:val="0D55EDAD"/>
    <w:rsid w:val="0D6BC850"/>
    <w:rsid w:val="0D8B25BA"/>
    <w:rsid w:val="0DC6777D"/>
    <w:rsid w:val="0E071E41"/>
    <w:rsid w:val="0E226BAF"/>
    <w:rsid w:val="0E2413B8"/>
    <w:rsid w:val="0E27D256"/>
    <w:rsid w:val="0E7B99D0"/>
    <w:rsid w:val="0E91150C"/>
    <w:rsid w:val="0EB30629"/>
    <w:rsid w:val="0EB931ED"/>
    <w:rsid w:val="0F0B7D19"/>
    <w:rsid w:val="0F32F3C5"/>
    <w:rsid w:val="0F3555F8"/>
    <w:rsid w:val="0F4F88B9"/>
    <w:rsid w:val="0F76E67B"/>
    <w:rsid w:val="0F82C655"/>
    <w:rsid w:val="0FADAE1A"/>
    <w:rsid w:val="0FB36C1B"/>
    <w:rsid w:val="0FF487DE"/>
    <w:rsid w:val="100942AA"/>
    <w:rsid w:val="1043462A"/>
    <w:rsid w:val="108E16F4"/>
    <w:rsid w:val="10A23DC4"/>
    <w:rsid w:val="10AF137A"/>
    <w:rsid w:val="10B2DE7C"/>
    <w:rsid w:val="115EF49D"/>
    <w:rsid w:val="117E9B20"/>
    <w:rsid w:val="11CB19F3"/>
    <w:rsid w:val="11F1BE81"/>
    <w:rsid w:val="122BF033"/>
    <w:rsid w:val="122C3834"/>
    <w:rsid w:val="1242E863"/>
    <w:rsid w:val="125639A7"/>
    <w:rsid w:val="126DFD5D"/>
    <w:rsid w:val="128EC680"/>
    <w:rsid w:val="129C1AEA"/>
    <w:rsid w:val="12B39172"/>
    <w:rsid w:val="12B99691"/>
    <w:rsid w:val="12C19F6D"/>
    <w:rsid w:val="12D041ED"/>
    <w:rsid w:val="12F397DE"/>
    <w:rsid w:val="130DC3EE"/>
    <w:rsid w:val="1379D4E1"/>
    <w:rsid w:val="137AE6EC"/>
    <w:rsid w:val="138E22A2"/>
    <w:rsid w:val="13959473"/>
    <w:rsid w:val="13AC3B3C"/>
    <w:rsid w:val="13B21557"/>
    <w:rsid w:val="147AD18D"/>
    <w:rsid w:val="14872346"/>
    <w:rsid w:val="14C760C3"/>
    <w:rsid w:val="14D1860B"/>
    <w:rsid w:val="14DF3E50"/>
    <w:rsid w:val="14EAD353"/>
    <w:rsid w:val="15733835"/>
    <w:rsid w:val="15A506A7"/>
    <w:rsid w:val="16264FA9"/>
    <w:rsid w:val="164120E3"/>
    <w:rsid w:val="16C41D5A"/>
    <w:rsid w:val="16D87548"/>
    <w:rsid w:val="16DA405B"/>
    <w:rsid w:val="16E35AB1"/>
    <w:rsid w:val="16FBDAAD"/>
    <w:rsid w:val="1722A88D"/>
    <w:rsid w:val="1781D339"/>
    <w:rsid w:val="1787EBF7"/>
    <w:rsid w:val="178CB4DA"/>
    <w:rsid w:val="17AD96F1"/>
    <w:rsid w:val="17B2CC7B"/>
    <w:rsid w:val="17E24E03"/>
    <w:rsid w:val="18295D5C"/>
    <w:rsid w:val="18618CF9"/>
    <w:rsid w:val="1880007C"/>
    <w:rsid w:val="1889DB96"/>
    <w:rsid w:val="188A6559"/>
    <w:rsid w:val="18A6147C"/>
    <w:rsid w:val="18A814F4"/>
    <w:rsid w:val="18D61ACB"/>
    <w:rsid w:val="19227436"/>
    <w:rsid w:val="1922C1B5"/>
    <w:rsid w:val="1934EE49"/>
    <w:rsid w:val="194DAB62"/>
    <w:rsid w:val="197E5CF2"/>
    <w:rsid w:val="197FA23C"/>
    <w:rsid w:val="19832014"/>
    <w:rsid w:val="19851A79"/>
    <w:rsid w:val="19E638BA"/>
    <w:rsid w:val="1A0B4D66"/>
    <w:rsid w:val="1A1AE2B4"/>
    <w:rsid w:val="1A84916C"/>
    <w:rsid w:val="1AA28863"/>
    <w:rsid w:val="1AD7B21B"/>
    <w:rsid w:val="1AF4439C"/>
    <w:rsid w:val="1AFD94B8"/>
    <w:rsid w:val="1B2A5A8C"/>
    <w:rsid w:val="1B5B7B2B"/>
    <w:rsid w:val="1BC0B813"/>
    <w:rsid w:val="1BC57A37"/>
    <w:rsid w:val="1BF32E36"/>
    <w:rsid w:val="1C020C8D"/>
    <w:rsid w:val="1C480443"/>
    <w:rsid w:val="1C50EBEF"/>
    <w:rsid w:val="1C64D08E"/>
    <w:rsid w:val="1C9BD829"/>
    <w:rsid w:val="1C9BE314"/>
    <w:rsid w:val="1CAA549B"/>
    <w:rsid w:val="1CC9087C"/>
    <w:rsid w:val="1CE7BF84"/>
    <w:rsid w:val="1D2D975A"/>
    <w:rsid w:val="1D596BF4"/>
    <w:rsid w:val="1D6B3504"/>
    <w:rsid w:val="1D7A0E3A"/>
    <w:rsid w:val="1D894F1E"/>
    <w:rsid w:val="1DA44C82"/>
    <w:rsid w:val="1E2E6308"/>
    <w:rsid w:val="1E345A91"/>
    <w:rsid w:val="1EA2F59F"/>
    <w:rsid w:val="1ED11779"/>
    <w:rsid w:val="1F1C68AB"/>
    <w:rsid w:val="1F980319"/>
    <w:rsid w:val="1FA4C2F2"/>
    <w:rsid w:val="1FAF15D8"/>
    <w:rsid w:val="1FC9C0E9"/>
    <w:rsid w:val="1FD35FEB"/>
    <w:rsid w:val="1FD951A1"/>
    <w:rsid w:val="2016DC43"/>
    <w:rsid w:val="2018E4EA"/>
    <w:rsid w:val="2027403D"/>
    <w:rsid w:val="20648AED"/>
    <w:rsid w:val="20730256"/>
    <w:rsid w:val="20C77802"/>
    <w:rsid w:val="20FFD169"/>
    <w:rsid w:val="2107D362"/>
    <w:rsid w:val="2131A669"/>
    <w:rsid w:val="2136FF89"/>
    <w:rsid w:val="213B50DA"/>
    <w:rsid w:val="216E9CA4"/>
    <w:rsid w:val="21748819"/>
    <w:rsid w:val="21994E56"/>
    <w:rsid w:val="21E406FC"/>
    <w:rsid w:val="21F93948"/>
    <w:rsid w:val="2204B396"/>
    <w:rsid w:val="220D5BC6"/>
    <w:rsid w:val="220EA746"/>
    <w:rsid w:val="222DD8B7"/>
    <w:rsid w:val="224F86BF"/>
    <w:rsid w:val="225B3D4B"/>
    <w:rsid w:val="2264D8A2"/>
    <w:rsid w:val="228FA131"/>
    <w:rsid w:val="22A36EBE"/>
    <w:rsid w:val="22D46938"/>
    <w:rsid w:val="22FE7642"/>
    <w:rsid w:val="231558BA"/>
    <w:rsid w:val="231E39A7"/>
    <w:rsid w:val="232C8FEA"/>
    <w:rsid w:val="233A9AD1"/>
    <w:rsid w:val="236FA927"/>
    <w:rsid w:val="23763019"/>
    <w:rsid w:val="2378ED49"/>
    <w:rsid w:val="23A6E08C"/>
    <w:rsid w:val="23C84ED4"/>
    <w:rsid w:val="23E32CF3"/>
    <w:rsid w:val="23F890A2"/>
    <w:rsid w:val="2453097D"/>
    <w:rsid w:val="245CBD88"/>
    <w:rsid w:val="2476124F"/>
    <w:rsid w:val="247BC4EC"/>
    <w:rsid w:val="258CEF04"/>
    <w:rsid w:val="25AA83A1"/>
    <w:rsid w:val="26168E4F"/>
    <w:rsid w:val="263C5DB7"/>
    <w:rsid w:val="264071CA"/>
    <w:rsid w:val="266B19D2"/>
    <w:rsid w:val="2676DB2E"/>
    <w:rsid w:val="26CB06EA"/>
    <w:rsid w:val="26ED294B"/>
    <w:rsid w:val="270D716B"/>
    <w:rsid w:val="271F4E3E"/>
    <w:rsid w:val="27305783"/>
    <w:rsid w:val="278736BC"/>
    <w:rsid w:val="279AF5A2"/>
    <w:rsid w:val="27A7A885"/>
    <w:rsid w:val="27C5B0F7"/>
    <w:rsid w:val="27E5AE0D"/>
    <w:rsid w:val="27EA4D3B"/>
    <w:rsid w:val="27EAA63B"/>
    <w:rsid w:val="28092C7C"/>
    <w:rsid w:val="283B0E55"/>
    <w:rsid w:val="2846CC4E"/>
    <w:rsid w:val="284AD404"/>
    <w:rsid w:val="284C9FAE"/>
    <w:rsid w:val="28CEBDFB"/>
    <w:rsid w:val="2907E952"/>
    <w:rsid w:val="293E73A9"/>
    <w:rsid w:val="2953E408"/>
    <w:rsid w:val="295E5C02"/>
    <w:rsid w:val="297345E5"/>
    <w:rsid w:val="297644DA"/>
    <w:rsid w:val="2991FDB3"/>
    <w:rsid w:val="29C4546D"/>
    <w:rsid w:val="29CD0AB4"/>
    <w:rsid w:val="29FD8E37"/>
    <w:rsid w:val="2A8DC24B"/>
    <w:rsid w:val="2AA15925"/>
    <w:rsid w:val="2AC7E6C7"/>
    <w:rsid w:val="2AC836B3"/>
    <w:rsid w:val="2AC9E8C1"/>
    <w:rsid w:val="2AD3F1BE"/>
    <w:rsid w:val="2AE7B022"/>
    <w:rsid w:val="2B610C20"/>
    <w:rsid w:val="2B7DD598"/>
    <w:rsid w:val="2B802AEE"/>
    <w:rsid w:val="2BC8C398"/>
    <w:rsid w:val="2C1B56C1"/>
    <w:rsid w:val="2C64B3D2"/>
    <w:rsid w:val="2C946E9A"/>
    <w:rsid w:val="2CD012CE"/>
    <w:rsid w:val="2CD497EC"/>
    <w:rsid w:val="2CE00033"/>
    <w:rsid w:val="2D124CB3"/>
    <w:rsid w:val="2D183A12"/>
    <w:rsid w:val="2D49A845"/>
    <w:rsid w:val="2D717908"/>
    <w:rsid w:val="2D7EE882"/>
    <w:rsid w:val="2D7F1352"/>
    <w:rsid w:val="2D895937"/>
    <w:rsid w:val="2DA085C3"/>
    <w:rsid w:val="2E5BDA91"/>
    <w:rsid w:val="2E755FF2"/>
    <w:rsid w:val="2E7E6BAB"/>
    <w:rsid w:val="2E8CC2D6"/>
    <w:rsid w:val="2E978383"/>
    <w:rsid w:val="2ED7501F"/>
    <w:rsid w:val="2EE788B0"/>
    <w:rsid w:val="2F84E9C1"/>
    <w:rsid w:val="2FA039FD"/>
    <w:rsid w:val="2FA5A2E0"/>
    <w:rsid w:val="2FB7EDF6"/>
    <w:rsid w:val="2FC68F8F"/>
    <w:rsid w:val="310EE29F"/>
    <w:rsid w:val="312DF5F3"/>
    <w:rsid w:val="313C82AD"/>
    <w:rsid w:val="314B4D72"/>
    <w:rsid w:val="31507798"/>
    <w:rsid w:val="316D53CB"/>
    <w:rsid w:val="3180CEF7"/>
    <w:rsid w:val="3182E982"/>
    <w:rsid w:val="31B0779F"/>
    <w:rsid w:val="31CB3B01"/>
    <w:rsid w:val="31DD77C0"/>
    <w:rsid w:val="32084817"/>
    <w:rsid w:val="32315995"/>
    <w:rsid w:val="3236F635"/>
    <w:rsid w:val="3246AD41"/>
    <w:rsid w:val="32593619"/>
    <w:rsid w:val="3269042A"/>
    <w:rsid w:val="326F4A45"/>
    <w:rsid w:val="32969763"/>
    <w:rsid w:val="32990B53"/>
    <w:rsid w:val="32C5DB46"/>
    <w:rsid w:val="32CE0109"/>
    <w:rsid w:val="32E0F7A0"/>
    <w:rsid w:val="32F6C852"/>
    <w:rsid w:val="33750549"/>
    <w:rsid w:val="33961C5C"/>
    <w:rsid w:val="33A22C6A"/>
    <w:rsid w:val="33A9A99D"/>
    <w:rsid w:val="33DFE49B"/>
    <w:rsid w:val="33F868DE"/>
    <w:rsid w:val="3403407B"/>
    <w:rsid w:val="3403EDB6"/>
    <w:rsid w:val="34241558"/>
    <w:rsid w:val="345734D2"/>
    <w:rsid w:val="345BCCEF"/>
    <w:rsid w:val="3469A76B"/>
    <w:rsid w:val="3474E13C"/>
    <w:rsid w:val="34750103"/>
    <w:rsid w:val="3481499E"/>
    <w:rsid w:val="34CDDCF3"/>
    <w:rsid w:val="34FF3CEB"/>
    <w:rsid w:val="3581F7B1"/>
    <w:rsid w:val="35F33E69"/>
    <w:rsid w:val="36135B22"/>
    <w:rsid w:val="3627C9BB"/>
    <w:rsid w:val="36AF8CC2"/>
    <w:rsid w:val="36DF508F"/>
    <w:rsid w:val="37132E30"/>
    <w:rsid w:val="3723BB5D"/>
    <w:rsid w:val="372AEBBF"/>
    <w:rsid w:val="374130C3"/>
    <w:rsid w:val="375017BB"/>
    <w:rsid w:val="37862A3D"/>
    <w:rsid w:val="378F0ECA"/>
    <w:rsid w:val="37CBC461"/>
    <w:rsid w:val="37F1C733"/>
    <w:rsid w:val="37F81883"/>
    <w:rsid w:val="382211BE"/>
    <w:rsid w:val="384777A9"/>
    <w:rsid w:val="384B33C2"/>
    <w:rsid w:val="387AABF4"/>
    <w:rsid w:val="38A02B0A"/>
    <w:rsid w:val="38A581E0"/>
    <w:rsid w:val="38AA306A"/>
    <w:rsid w:val="38C7531C"/>
    <w:rsid w:val="394153CF"/>
    <w:rsid w:val="394A76BD"/>
    <w:rsid w:val="39A1F84A"/>
    <w:rsid w:val="39B19579"/>
    <w:rsid w:val="39B1BA5B"/>
    <w:rsid w:val="39E3D39E"/>
    <w:rsid w:val="39EC0CD0"/>
    <w:rsid w:val="3A2575FA"/>
    <w:rsid w:val="3A82940F"/>
    <w:rsid w:val="3A99FF5D"/>
    <w:rsid w:val="3AB7FE06"/>
    <w:rsid w:val="3ADA01FE"/>
    <w:rsid w:val="3B9F02AD"/>
    <w:rsid w:val="3BB24CBE"/>
    <w:rsid w:val="3BB2C8F3"/>
    <w:rsid w:val="3BEDC39F"/>
    <w:rsid w:val="3BEF88F8"/>
    <w:rsid w:val="3C8F6A9E"/>
    <w:rsid w:val="3CF1916A"/>
    <w:rsid w:val="3D250A24"/>
    <w:rsid w:val="3DD95C86"/>
    <w:rsid w:val="3E10CF31"/>
    <w:rsid w:val="3E152255"/>
    <w:rsid w:val="3E1EBCD5"/>
    <w:rsid w:val="3E435D7E"/>
    <w:rsid w:val="3EB03FDA"/>
    <w:rsid w:val="3F27BC7B"/>
    <w:rsid w:val="3F2FFD8E"/>
    <w:rsid w:val="3F42034E"/>
    <w:rsid w:val="3F57E5E2"/>
    <w:rsid w:val="3F669103"/>
    <w:rsid w:val="3F7C578C"/>
    <w:rsid w:val="3F9A1CF6"/>
    <w:rsid w:val="3FDE2567"/>
    <w:rsid w:val="3FF5F85C"/>
    <w:rsid w:val="402C01A9"/>
    <w:rsid w:val="4038EC83"/>
    <w:rsid w:val="40531522"/>
    <w:rsid w:val="40780819"/>
    <w:rsid w:val="40AEC628"/>
    <w:rsid w:val="40E3778B"/>
    <w:rsid w:val="40F2A1CE"/>
    <w:rsid w:val="41242621"/>
    <w:rsid w:val="413B04AB"/>
    <w:rsid w:val="414A12CF"/>
    <w:rsid w:val="41710E11"/>
    <w:rsid w:val="41798950"/>
    <w:rsid w:val="41879382"/>
    <w:rsid w:val="4193BAF3"/>
    <w:rsid w:val="41A9CD41"/>
    <w:rsid w:val="41CE5B2E"/>
    <w:rsid w:val="41ED4117"/>
    <w:rsid w:val="41EEE583"/>
    <w:rsid w:val="4212B050"/>
    <w:rsid w:val="42202CC2"/>
    <w:rsid w:val="4227170A"/>
    <w:rsid w:val="426B6DFC"/>
    <w:rsid w:val="4281F323"/>
    <w:rsid w:val="42C19293"/>
    <w:rsid w:val="42CABFAF"/>
    <w:rsid w:val="42E26884"/>
    <w:rsid w:val="432041B1"/>
    <w:rsid w:val="435493B0"/>
    <w:rsid w:val="437B56A5"/>
    <w:rsid w:val="438191F1"/>
    <w:rsid w:val="438FF914"/>
    <w:rsid w:val="43CBD6F3"/>
    <w:rsid w:val="44040AA8"/>
    <w:rsid w:val="4414E764"/>
    <w:rsid w:val="44318240"/>
    <w:rsid w:val="4449B3FE"/>
    <w:rsid w:val="446276B9"/>
    <w:rsid w:val="44717625"/>
    <w:rsid w:val="449C69D0"/>
    <w:rsid w:val="44EDAB5C"/>
    <w:rsid w:val="452F95BC"/>
    <w:rsid w:val="456B9264"/>
    <w:rsid w:val="457379C3"/>
    <w:rsid w:val="45985CD4"/>
    <w:rsid w:val="45B0B481"/>
    <w:rsid w:val="46374518"/>
    <w:rsid w:val="46375003"/>
    <w:rsid w:val="464010EE"/>
    <w:rsid w:val="464D66EB"/>
    <w:rsid w:val="465A0886"/>
    <w:rsid w:val="465B2CA4"/>
    <w:rsid w:val="4679926D"/>
    <w:rsid w:val="469D04B1"/>
    <w:rsid w:val="46AAC1A2"/>
    <w:rsid w:val="46C962A9"/>
    <w:rsid w:val="46CB1D7E"/>
    <w:rsid w:val="46CFF348"/>
    <w:rsid w:val="46FC5169"/>
    <w:rsid w:val="474D1328"/>
    <w:rsid w:val="47731A4C"/>
    <w:rsid w:val="47AAB677"/>
    <w:rsid w:val="47BBBADF"/>
    <w:rsid w:val="48250F16"/>
    <w:rsid w:val="485DC4CF"/>
    <w:rsid w:val="486E1D59"/>
    <w:rsid w:val="488E18E6"/>
    <w:rsid w:val="48928FC7"/>
    <w:rsid w:val="48AF47E9"/>
    <w:rsid w:val="48BDA61E"/>
    <w:rsid w:val="4940CACD"/>
    <w:rsid w:val="498E12DB"/>
    <w:rsid w:val="49A529D2"/>
    <w:rsid w:val="49B8B22C"/>
    <w:rsid w:val="49D349F6"/>
    <w:rsid w:val="49DE8F2A"/>
    <w:rsid w:val="49E2B80B"/>
    <w:rsid w:val="4A0226C8"/>
    <w:rsid w:val="4A1BFBCD"/>
    <w:rsid w:val="4A626A8D"/>
    <w:rsid w:val="4AC681B0"/>
    <w:rsid w:val="4AF5F38D"/>
    <w:rsid w:val="4B564B30"/>
    <w:rsid w:val="4BB9C567"/>
    <w:rsid w:val="4BBC498A"/>
    <w:rsid w:val="4C2D045B"/>
    <w:rsid w:val="4C6997DF"/>
    <w:rsid w:val="4C8F0328"/>
    <w:rsid w:val="4C99A5E1"/>
    <w:rsid w:val="4CA27E71"/>
    <w:rsid w:val="4CA38012"/>
    <w:rsid w:val="4CB10981"/>
    <w:rsid w:val="4CBBEA7F"/>
    <w:rsid w:val="4CC94A0A"/>
    <w:rsid w:val="4CCD2908"/>
    <w:rsid w:val="4CE5AB8D"/>
    <w:rsid w:val="4CF3FA77"/>
    <w:rsid w:val="4CF7AA5C"/>
    <w:rsid w:val="4CF85D6B"/>
    <w:rsid w:val="4D127237"/>
    <w:rsid w:val="4D6247B0"/>
    <w:rsid w:val="4D6FECC4"/>
    <w:rsid w:val="4D7678A4"/>
    <w:rsid w:val="4DBD2827"/>
    <w:rsid w:val="4DFD7065"/>
    <w:rsid w:val="4E165C54"/>
    <w:rsid w:val="4E4ECA13"/>
    <w:rsid w:val="4E64C2BA"/>
    <w:rsid w:val="4E778541"/>
    <w:rsid w:val="4E8FF333"/>
    <w:rsid w:val="4EA7DD62"/>
    <w:rsid w:val="4ED66C06"/>
    <w:rsid w:val="4F44A7FD"/>
    <w:rsid w:val="4F6F5FE3"/>
    <w:rsid w:val="4F79D16D"/>
    <w:rsid w:val="4FA70CC4"/>
    <w:rsid w:val="4FB25501"/>
    <w:rsid w:val="502F33E4"/>
    <w:rsid w:val="50596B8A"/>
    <w:rsid w:val="509969CE"/>
    <w:rsid w:val="50CE6ABC"/>
    <w:rsid w:val="50E03B5F"/>
    <w:rsid w:val="50EF82C0"/>
    <w:rsid w:val="510C0FB4"/>
    <w:rsid w:val="5126A46E"/>
    <w:rsid w:val="515C99A7"/>
    <w:rsid w:val="518093DB"/>
    <w:rsid w:val="51B27285"/>
    <w:rsid w:val="51B44FF3"/>
    <w:rsid w:val="51E1B1A7"/>
    <w:rsid w:val="51E956A6"/>
    <w:rsid w:val="52015013"/>
    <w:rsid w:val="5219805D"/>
    <w:rsid w:val="52289CCA"/>
    <w:rsid w:val="525727B4"/>
    <w:rsid w:val="5258193B"/>
    <w:rsid w:val="526920EA"/>
    <w:rsid w:val="52733D0A"/>
    <w:rsid w:val="529AAF8E"/>
    <w:rsid w:val="529DD1D3"/>
    <w:rsid w:val="52A132C7"/>
    <w:rsid w:val="52B8906A"/>
    <w:rsid w:val="52D6D45C"/>
    <w:rsid w:val="533BC4B4"/>
    <w:rsid w:val="534982C6"/>
    <w:rsid w:val="5351811A"/>
    <w:rsid w:val="535242D6"/>
    <w:rsid w:val="536F3C03"/>
    <w:rsid w:val="5381B3BB"/>
    <w:rsid w:val="53AC4667"/>
    <w:rsid w:val="53BCE9C6"/>
    <w:rsid w:val="53C8FE56"/>
    <w:rsid w:val="53E853B1"/>
    <w:rsid w:val="53F5E80E"/>
    <w:rsid w:val="540807D3"/>
    <w:rsid w:val="546D6FD9"/>
    <w:rsid w:val="546FA769"/>
    <w:rsid w:val="5479E619"/>
    <w:rsid w:val="547B7444"/>
    <w:rsid w:val="548745A4"/>
    <w:rsid w:val="54C6217B"/>
    <w:rsid w:val="54E5FAA4"/>
    <w:rsid w:val="54F14236"/>
    <w:rsid w:val="55045BBF"/>
    <w:rsid w:val="5518A483"/>
    <w:rsid w:val="552CE002"/>
    <w:rsid w:val="552FD55A"/>
    <w:rsid w:val="55594973"/>
    <w:rsid w:val="55838F6A"/>
    <w:rsid w:val="55B24D12"/>
    <w:rsid w:val="55EECF12"/>
    <w:rsid w:val="561FECA1"/>
    <w:rsid w:val="56639FD6"/>
    <w:rsid w:val="567947CB"/>
    <w:rsid w:val="56A2537A"/>
    <w:rsid w:val="56B5233F"/>
    <w:rsid w:val="56B5DD12"/>
    <w:rsid w:val="56D9CA66"/>
    <w:rsid w:val="56E8ED1C"/>
    <w:rsid w:val="57225784"/>
    <w:rsid w:val="57295FDC"/>
    <w:rsid w:val="5759CDA9"/>
    <w:rsid w:val="57737054"/>
    <w:rsid w:val="579F0660"/>
    <w:rsid w:val="580FD5FB"/>
    <w:rsid w:val="5831FC6D"/>
    <w:rsid w:val="58771ED5"/>
    <w:rsid w:val="58796837"/>
    <w:rsid w:val="58CC365D"/>
    <w:rsid w:val="58D3C9E8"/>
    <w:rsid w:val="590BF795"/>
    <w:rsid w:val="5936CA12"/>
    <w:rsid w:val="5941464F"/>
    <w:rsid w:val="596882E9"/>
    <w:rsid w:val="596A48D7"/>
    <w:rsid w:val="599FD151"/>
    <w:rsid w:val="59A3135C"/>
    <w:rsid w:val="59A525B5"/>
    <w:rsid w:val="59AE43A7"/>
    <w:rsid w:val="59E1F307"/>
    <w:rsid w:val="59EC2C89"/>
    <w:rsid w:val="5A2FDE20"/>
    <w:rsid w:val="5A42FF8B"/>
    <w:rsid w:val="5A617AF9"/>
    <w:rsid w:val="5AC5A664"/>
    <w:rsid w:val="5AE086F4"/>
    <w:rsid w:val="5B0169DE"/>
    <w:rsid w:val="5B1E1AB2"/>
    <w:rsid w:val="5B23FAC6"/>
    <w:rsid w:val="5B2406DC"/>
    <w:rsid w:val="5B730ACD"/>
    <w:rsid w:val="5B889734"/>
    <w:rsid w:val="5BACBCDC"/>
    <w:rsid w:val="5BAFA20E"/>
    <w:rsid w:val="5BB376E1"/>
    <w:rsid w:val="5BB500DB"/>
    <w:rsid w:val="5BC3C4A5"/>
    <w:rsid w:val="5BCE60EE"/>
    <w:rsid w:val="5C4FF14B"/>
    <w:rsid w:val="5C51DD30"/>
    <w:rsid w:val="5C966EC2"/>
    <w:rsid w:val="5CC572CE"/>
    <w:rsid w:val="5CDBFC92"/>
    <w:rsid w:val="5CE4BDAF"/>
    <w:rsid w:val="5CE54CF1"/>
    <w:rsid w:val="5D0D7647"/>
    <w:rsid w:val="5D877C3D"/>
    <w:rsid w:val="5DA70674"/>
    <w:rsid w:val="5DC961B8"/>
    <w:rsid w:val="5DCA17CB"/>
    <w:rsid w:val="5DD3F3D7"/>
    <w:rsid w:val="5DDC157E"/>
    <w:rsid w:val="5DFFC9A2"/>
    <w:rsid w:val="5E7AB805"/>
    <w:rsid w:val="5E7B2905"/>
    <w:rsid w:val="5F3FB6A6"/>
    <w:rsid w:val="5F49F031"/>
    <w:rsid w:val="5F8626C3"/>
    <w:rsid w:val="5F93647C"/>
    <w:rsid w:val="5FA6DEFA"/>
    <w:rsid w:val="5FB58217"/>
    <w:rsid w:val="5FD82295"/>
    <w:rsid w:val="5FD9DE03"/>
    <w:rsid w:val="5FFA7BEA"/>
    <w:rsid w:val="60401104"/>
    <w:rsid w:val="60666D1F"/>
    <w:rsid w:val="6081DC56"/>
    <w:rsid w:val="60AE954B"/>
    <w:rsid w:val="60BB6F42"/>
    <w:rsid w:val="60C4E578"/>
    <w:rsid w:val="60E449A1"/>
    <w:rsid w:val="610BEAEE"/>
    <w:rsid w:val="6112FB3A"/>
    <w:rsid w:val="612B81F7"/>
    <w:rsid w:val="6135AB37"/>
    <w:rsid w:val="615A9D4C"/>
    <w:rsid w:val="6188E45B"/>
    <w:rsid w:val="619601C2"/>
    <w:rsid w:val="619C3C9D"/>
    <w:rsid w:val="61C923F4"/>
    <w:rsid w:val="61D17621"/>
    <w:rsid w:val="61D1E365"/>
    <w:rsid w:val="61DF062B"/>
    <w:rsid w:val="61E059A9"/>
    <w:rsid w:val="6298F2E8"/>
    <w:rsid w:val="62C61189"/>
    <w:rsid w:val="62EE80D0"/>
    <w:rsid w:val="6326269B"/>
    <w:rsid w:val="6330D2E6"/>
    <w:rsid w:val="637D5432"/>
    <w:rsid w:val="638F2115"/>
    <w:rsid w:val="63A6AC10"/>
    <w:rsid w:val="63B0CF51"/>
    <w:rsid w:val="63D55FDD"/>
    <w:rsid w:val="640EBC9F"/>
    <w:rsid w:val="6442724B"/>
    <w:rsid w:val="64F0EA03"/>
    <w:rsid w:val="6526B942"/>
    <w:rsid w:val="65384605"/>
    <w:rsid w:val="655051B5"/>
    <w:rsid w:val="656D96F3"/>
    <w:rsid w:val="657219A5"/>
    <w:rsid w:val="6573A45D"/>
    <w:rsid w:val="659D5E5B"/>
    <w:rsid w:val="65A2D72F"/>
    <w:rsid w:val="65ACE2F5"/>
    <w:rsid w:val="65B0490B"/>
    <w:rsid w:val="65B7C833"/>
    <w:rsid w:val="65CA9D93"/>
    <w:rsid w:val="65EC402A"/>
    <w:rsid w:val="661647D3"/>
    <w:rsid w:val="66292DE8"/>
    <w:rsid w:val="662A13DC"/>
    <w:rsid w:val="6631C41E"/>
    <w:rsid w:val="6638F1CE"/>
    <w:rsid w:val="665879F9"/>
    <w:rsid w:val="66762E08"/>
    <w:rsid w:val="669EBD2C"/>
    <w:rsid w:val="66D93AD4"/>
    <w:rsid w:val="66EC8A84"/>
    <w:rsid w:val="66FD95B8"/>
    <w:rsid w:val="670F74BE"/>
    <w:rsid w:val="671EAA34"/>
    <w:rsid w:val="676F4FBB"/>
    <w:rsid w:val="67806C01"/>
    <w:rsid w:val="67BE06C3"/>
    <w:rsid w:val="67CE4EE8"/>
    <w:rsid w:val="682DEC9B"/>
    <w:rsid w:val="6860139D"/>
    <w:rsid w:val="68750B35"/>
    <w:rsid w:val="687D33D9"/>
    <w:rsid w:val="6885B33A"/>
    <w:rsid w:val="689A9778"/>
    <w:rsid w:val="68AC4CA7"/>
    <w:rsid w:val="68B187D4"/>
    <w:rsid w:val="68C1FB41"/>
    <w:rsid w:val="696CF57D"/>
    <w:rsid w:val="696E9DB2"/>
    <w:rsid w:val="698273EB"/>
    <w:rsid w:val="69CCCECE"/>
    <w:rsid w:val="69D4BB59"/>
    <w:rsid w:val="69F31696"/>
    <w:rsid w:val="6A071474"/>
    <w:rsid w:val="6A13D775"/>
    <w:rsid w:val="6A14A1ED"/>
    <w:rsid w:val="6A625188"/>
    <w:rsid w:val="6A6E53FD"/>
    <w:rsid w:val="6A9E0371"/>
    <w:rsid w:val="6AA846F0"/>
    <w:rsid w:val="6AD3259F"/>
    <w:rsid w:val="6AFCCB75"/>
    <w:rsid w:val="6B5FD230"/>
    <w:rsid w:val="6BA8B28D"/>
    <w:rsid w:val="6BB96711"/>
    <w:rsid w:val="6C2E7E24"/>
    <w:rsid w:val="6C51DC67"/>
    <w:rsid w:val="6CAF0718"/>
    <w:rsid w:val="6CE9A398"/>
    <w:rsid w:val="6D0A96AE"/>
    <w:rsid w:val="6D7E78D9"/>
    <w:rsid w:val="6D99F24A"/>
    <w:rsid w:val="6DA7DFEE"/>
    <w:rsid w:val="6DE8093E"/>
    <w:rsid w:val="6DEB1AF9"/>
    <w:rsid w:val="6DFAB872"/>
    <w:rsid w:val="6E0286C8"/>
    <w:rsid w:val="6E04D04A"/>
    <w:rsid w:val="6E430365"/>
    <w:rsid w:val="6E6432A7"/>
    <w:rsid w:val="6EDA222C"/>
    <w:rsid w:val="6F02B56F"/>
    <w:rsid w:val="6F09F8D3"/>
    <w:rsid w:val="6F0A2C40"/>
    <w:rsid w:val="6F3A93AF"/>
    <w:rsid w:val="6F460EDF"/>
    <w:rsid w:val="6F56FAE3"/>
    <w:rsid w:val="6F5EBD8A"/>
    <w:rsid w:val="6F8DB2BB"/>
    <w:rsid w:val="6FD2A1D8"/>
    <w:rsid w:val="6FDBD603"/>
    <w:rsid w:val="7021445A"/>
    <w:rsid w:val="7039F590"/>
    <w:rsid w:val="706EBA20"/>
    <w:rsid w:val="708579EF"/>
    <w:rsid w:val="70885040"/>
    <w:rsid w:val="70A5FCA1"/>
    <w:rsid w:val="70D4DFEF"/>
    <w:rsid w:val="70E8FFC3"/>
    <w:rsid w:val="7178A9B1"/>
    <w:rsid w:val="718265BA"/>
    <w:rsid w:val="718805B5"/>
    <w:rsid w:val="71A7FA7B"/>
    <w:rsid w:val="71C09891"/>
    <w:rsid w:val="71D930EC"/>
    <w:rsid w:val="71F2B5CB"/>
    <w:rsid w:val="72161597"/>
    <w:rsid w:val="723EF90D"/>
    <w:rsid w:val="72512B5F"/>
    <w:rsid w:val="7251C083"/>
    <w:rsid w:val="725F4F28"/>
    <w:rsid w:val="72697462"/>
    <w:rsid w:val="726EB478"/>
    <w:rsid w:val="7299A263"/>
    <w:rsid w:val="72DF3004"/>
    <w:rsid w:val="72F19489"/>
    <w:rsid w:val="7317100A"/>
    <w:rsid w:val="733034C3"/>
    <w:rsid w:val="739E96A3"/>
    <w:rsid w:val="74219146"/>
    <w:rsid w:val="74868FB6"/>
    <w:rsid w:val="74E02531"/>
    <w:rsid w:val="74E3CE64"/>
    <w:rsid w:val="75133488"/>
    <w:rsid w:val="7573A204"/>
    <w:rsid w:val="759A1302"/>
    <w:rsid w:val="75C5F228"/>
    <w:rsid w:val="75F9DFF1"/>
    <w:rsid w:val="76325162"/>
    <w:rsid w:val="766C7781"/>
    <w:rsid w:val="76CF8DD1"/>
    <w:rsid w:val="76D7830B"/>
    <w:rsid w:val="76ED1C70"/>
    <w:rsid w:val="77513FF5"/>
    <w:rsid w:val="778ACE6F"/>
    <w:rsid w:val="77A0EC16"/>
    <w:rsid w:val="77AA8291"/>
    <w:rsid w:val="77B5D939"/>
    <w:rsid w:val="77B60ECC"/>
    <w:rsid w:val="77C48A67"/>
    <w:rsid w:val="77CAFAC6"/>
    <w:rsid w:val="77D55388"/>
    <w:rsid w:val="781EDD03"/>
    <w:rsid w:val="782A0653"/>
    <w:rsid w:val="78414218"/>
    <w:rsid w:val="78438BA4"/>
    <w:rsid w:val="785C1CAC"/>
    <w:rsid w:val="78B3B9D3"/>
    <w:rsid w:val="79137653"/>
    <w:rsid w:val="7916F614"/>
    <w:rsid w:val="793F77B6"/>
    <w:rsid w:val="798499D0"/>
    <w:rsid w:val="7992D431"/>
    <w:rsid w:val="799A26D8"/>
    <w:rsid w:val="799CDC62"/>
    <w:rsid w:val="79C687F3"/>
    <w:rsid w:val="7A00F9FB"/>
    <w:rsid w:val="7A1D6638"/>
    <w:rsid w:val="7A7215F7"/>
    <w:rsid w:val="7A7D71AF"/>
    <w:rsid w:val="7ACC8C6D"/>
    <w:rsid w:val="7B05D398"/>
    <w:rsid w:val="7B22770B"/>
    <w:rsid w:val="7B25E9D6"/>
    <w:rsid w:val="7B58CCDF"/>
    <w:rsid w:val="7B60E8CC"/>
    <w:rsid w:val="7B7C81BF"/>
    <w:rsid w:val="7BB9D424"/>
    <w:rsid w:val="7BED3BA4"/>
    <w:rsid w:val="7BFB1D56"/>
    <w:rsid w:val="7BFF034C"/>
    <w:rsid w:val="7C077DC7"/>
    <w:rsid w:val="7C0DE658"/>
    <w:rsid w:val="7C43D433"/>
    <w:rsid w:val="7C466856"/>
    <w:rsid w:val="7C812689"/>
    <w:rsid w:val="7C9845E9"/>
    <w:rsid w:val="7CAB21A3"/>
    <w:rsid w:val="7CC29B2C"/>
    <w:rsid w:val="7CEE2D50"/>
    <w:rsid w:val="7CF9F461"/>
    <w:rsid w:val="7CFCD871"/>
    <w:rsid w:val="7D48FCF2"/>
    <w:rsid w:val="7D537A85"/>
    <w:rsid w:val="7D6E8EB3"/>
    <w:rsid w:val="7D7DEF39"/>
    <w:rsid w:val="7DD78FAD"/>
    <w:rsid w:val="7E02615A"/>
    <w:rsid w:val="7E4817AF"/>
    <w:rsid w:val="7E672261"/>
    <w:rsid w:val="7E6D5526"/>
    <w:rsid w:val="7E764ECF"/>
    <w:rsid w:val="7E8A881A"/>
    <w:rsid w:val="7ED59726"/>
    <w:rsid w:val="7EED8450"/>
    <w:rsid w:val="7EEFCB24"/>
    <w:rsid w:val="7EFA0F70"/>
    <w:rsid w:val="7F11C080"/>
    <w:rsid w:val="7F428439"/>
    <w:rsid w:val="7F5A75C4"/>
    <w:rsid w:val="7F84B110"/>
    <w:rsid w:val="7FA45728"/>
    <w:rsid w:val="7FC2AB3A"/>
    <w:rsid w:val="7FC9D46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A6F74"/>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aliases w:val="1.Heading 1"/>
    <w:basedOn w:val="Normal"/>
    <w:next w:val="BodyText"/>
    <w:link w:val="Heading1Char"/>
    <w:uiPriority w:val="1"/>
    <w:qFormat/>
    <w:rsid w:val="00041D73"/>
    <w:pPr>
      <w:keepNext/>
      <w:keepLines/>
      <w:numPr>
        <w:numId w:val="39"/>
      </w:numPr>
      <w:spacing w:after="460"/>
      <w:ind w:left="851" w:hanging="851"/>
      <w:outlineLvl w:val="0"/>
    </w:pPr>
    <w:rPr>
      <w:rFonts w:asciiTheme="majorHAnsi" w:hAnsiTheme="majorHAnsi"/>
      <w:b/>
      <w:color w:val="014463" w:themeColor="text2"/>
      <w:sz w:val="60"/>
      <w:szCs w:val="60"/>
    </w:rPr>
  </w:style>
  <w:style w:type="paragraph" w:styleId="Heading2">
    <w:name w:val="heading 2"/>
    <w:basedOn w:val="Normal"/>
    <w:next w:val="BodyText"/>
    <w:link w:val="Heading2Char"/>
    <w:uiPriority w:val="1"/>
    <w:unhideWhenUsed/>
    <w:qFormat/>
    <w:rsid w:val="003801F8"/>
    <w:pPr>
      <w:keepNext/>
      <w:keepLines/>
      <w:numPr>
        <w:ilvl w:val="1"/>
        <w:numId w:val="39"/>
      </w:numPr>
      <w:spacing w:before="480" w:after="240"/>
      <w:ind w:left="851" w:hanging="851"/>
      <w:outlineLvl w:val="1"/>
    </w:pPr>
    <w:rPr>
      <w:rFonts w:asciiTheme="majorHAnsi" w:eastAsiaTheme="majorEastAsia" w:hAnsiTheme="majorHAnsi" w:cstheme="majorBidi"/>
      <w:b/>
      <w:color w:val="014463" w:themeColor="text2"/>
      <w:sz w:val="40"/>
      <w:szCs w:val="40"/>
    </w:rPr>
  </w:style>
  <w:style w:type="paragraph" w:styleId="Heading3">
    <w:name w:val="heading 3"/>
    <w:basedOn w:val="Normal"/>
    <w:next w:val="BodyText"/>
    <w:link w:val="Heading3Char"/>
    <w:uiPriority w:val="1"/>
    <w:unhideWhenUsed/>
    <w:qFormat/>
    <w:rsid w:val="00AB1820"/>
    <w:pPr>
      <w:keepNext/>
      <w:keepLines/>
      <w:numPr>
        <w:ilvl w:val="2"/>
        <w:numId w:val="39"/>
      </w:numPr>
      <w:spacing w:before="240" w:after="160" w:line="240" w:lineRule="auto"/>
      <w:outlineLvl w:val="2"/>
    </w:pPr>
    <w:rPr>
      <w:rFonts w:asciiTheme="majorHAnsi" w:eastAsiaTheme="majorEastAsia" w:hAnsiTheme="majorHAnsi" w:cstheme="majorBidi"/>
      <w:color w:val="014463" w:themeColor="text2"/>
      <w:sz w:val="24"/>
      <w:szCs w:val="30"/>
    </w:rPr>
  </w:style>
  <w:style w:type="paragraph" w:styleId="Heading4">
    <w:name w:val="heading 4"/>
    <w:basedOn w:val="BodyText"/>
    <w:next w:val="BodyText"/>
    <w:link w:val="Heading4Char"/>
    <w:uiPriority w:val="1"/>
    <w:qFormat/>
    <w:rsid w:val="004C7F81"/>
    <w:pPr>
      <w:numPr>
        <w:ilvl w:val="3"/>
        <w:numId w:val="39"/>
      </w:numPr>
      <w:spacing w:before="240"/>
      <w:outlineLvl w:val="3"/>
    </w:pPr>
    <w:rPr>
      <w:rFonts w:asciiTheme="majorHAnsi" w:hAnsiTheme="majorHAnsi"/>
      <w:color w:val="015E8A" w:themeColor="text2" w:themeTint="E6"/>
      <w:szCs w:val="24"/>
    </w:rPr>
  </w:style>
  <w:style w:type="paragraph" w:styleId="Heading5">
    <w:name w:val="heading 5"/>
    <w:basedOn w:val="Normal"/>
    <w:next w:val="Normal"/>
    <w:link w:val="Heading5Char"/>
    <w:uiPriority w:val="1"/>
    <w:qFormat/>
    <w:rsid w:val="00E4747A"/>
    <w:pPr>
      <w:keepNext/>
      <w:keepLines/>
      <w:numPr>
        <w:ilvl w:val="4"/>
        <w:numId w:val="39"/>
      </w:numPr>
      <w:spacing w:after="0" w:line="240" w:lineRule="atLeast"/>
      <w:outlineLvl w:val="4"/>
    </w:pPr>
    <w:rPr>
      <w:rFonts w:ascii="Verdana" w:eastAsiaTheme="majorEastAsia" w:hAnsi="Verdana" w:cstheme="majorBidi"/>
      <w:b/>
      <w:color w:val="auto"/>
      <w:sz w:val="18"/>
      <w:szCs w:val="18"/>
    </w:rPr>
  </w:style>
  <w:style w:type="paragraph" w:styleId="Heading6">
    <w:name w:val="heading 6"/>
    <w:basedOn w:val="Normal"/>
    <w:next w:val="Normal"/>
    <w:link w:val="Heading6Char"/>
    <w:uiPriority w:val="1"/>
    <w:semiHidden/>
    <w:qFormat/>
    <w:rsid w:val="00E4747A"/>
    <w:pPr>
      <w:keepNext/>
      <w:keepLines/>
      <w:numPr>
        <w:ilvl w:val="5"/>
        <w:numId w:val="39"/>
      </w:numPr>
      <w:spacing w:after="0" w:line="240" w:lineRule="atLeast"/>
      <w:outlineLvl w:val="5"/>
    </w:pPr>
    <w:rPr>
      <w:rFonts w:ascii="Verdana" w:eastAsiaTheme="majorEastAsia" w:hAnsi="Verdana" w:cstheme="majorBidi"/>
      <w:b/>
      <w:iCs/>
      <w:color w:val="auto"/>
      <w:sz w:val="18"/>
      <w:szCs w:val="18"/>
    </w:rPr>
  </w:style>
  <w:style w:type="paragraph" w:styleId="Heading7">
    <w:name w:val="heading 7"/>
    <w:basedOn w:val="Normal"/>
    <w:next w:val="Normal"/>
    <w:link w:val="Heading7Char"/>
    <w:uiPriority w:val="9"/>
    <w:semiHidden/>
    <w:unhideWhenUsed/>
    <w:qFormat/>
    <w:rsid w:val="0030750F"/>
    <w:pPr>
      <w:keepNext/>
      <w:keepLines/>
      <w:numPr>
        <w:ilvl w:val="6"/>
        <w:numId w:val="39"/>
      </w:numPr>
      <w:spacing w:before="40" w:after="0"/>
      <w:outlineLvl w:val="6"/>
    </w:pPr>
    <w:rPr>
      <w:rFonts w:asciiTheme="majorHAnsi" w:eastAsiaTheme="majorEastAsia" w:hAnsiTheme="majorHAnsi" w:cstheme="majorBidi"/>
      <w:i/>
      <w:iCs/>
      <w:color w:val="12171D" w:themeColor="accent1" w:themeShade="7F"/>
    </w:rPr>
  </w:style>
  <w:style w:type="paragraph" w:styleId="Heading8">
    <w:name w:val="heading 8"/>
    <w:basedOn w:val="Normal"/>
    <w:next w:val="Normal"/>
    <w:link w:val="Heading8Char"/>
    <w:uiPriority w:val="9"/>
    <w:semiHidden/>
    <w:unhideWhenUsed/>
    <w:qFormat/>
    <w:rsid w:val="0030750F"/>
    <w:pPr>
      <w:keepNext/>
      <w:keepLines/>
      <w:numPr>
        <w:ilvl w:val="7"/>
        <w:numId w:val="3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750F"/>
    <w:pPr>
      <w:keepNext/>
      <w:keepLines/>
      <w:numPr>
        <w:ilvl w:val="8"/>
        <w:numId w:val="3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095BF3"/>
    <w:pPr>
      <w:tabs>
        <w:tab w:val="center" w:pos="4513"/>
        <w:tab w:val="right" w:pos="9026"/>
      </w:tabs>
      <w:spacing w:after="0" w:line="240" w:lineRule="auto"/>
      <w:jc w:val="right"/>
    </w:pPr>
    <w:rPr>
      <w:rFonts w:asciiTheme="majorHAnsi" w:hAnsiTheme="majorHAnsi"/>
      <w:b/>
      <w:caps/>
      <w:color w:val="014463" w:themeColor="text2"/>
    </w:rPr>
  </w:style>
  <w:style w:type="character" w:customStyle="1" w:styleId="FooterChar">
    <w:name w:val="Footer Char"/>
    <w:basedOn w:val="DefaultParagraphFont"/>
    <w:link w:val="Footer"/>
    <w:uiPriority w:val="99"/>
    <w:rsid w:val="006C7FC3"/>
    <w:rPr>
      <w:rFonts w:asciiTheme="majorHAnsi" w:hAnsiTheme="majorHAnsi"/>
      <w:b/>
      <w:caps/>
      <w:color w:val="014463" w:themeColor="text2"/>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aliases w:val="1.Heading 1 Char"/>
    <w:basedOn w:val="DefaultParagraphFont"/>
    <w:link w:val="Heading1"/>
    <w:uiPriority w:val="1"/>
    <w:rsid w:val="00041D73"/>
    <w:rPr>
      <w:rFonts w:asciiTheme="majorHAnsi" w:hAnsiTheme="majorHAnsi"/>
      <w:b/>
      <w:color w:val="014463" w:themeColor="text2"/>
      <w:sz w:val="60"/>
      <w:szCs w:val="60"/>
    </w:rPr>
  </w:style>
  <w:style w:type="table" w:customStyle="1" w:styleId="PMCDefaultTableStyle">
    <w:name w:val="PMC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Bullet,SWA List Paragraph,Indent,Recommendation,List Paragraph1,standard lewis,List Paragraph11,List Paragraph2,Bulit List -  Paragraph,Main numbered paragraph,Numbered List Paragraph,Heading2,Bullet Point,NFP GP Bulleted List,L,Dot pt,列"/>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1"/>
    <w:rsid w:val="003801F8"/>
    <w:rPr>
      <w:rFonts w:asciiTheme="majorHAnsi" w:eastAsiaTheme="majorEastAsia" w:hAnsiTheme="majorHAnsi" w:cstheme="majorBidi"/>
      <w:b/>
      <w:color w:val="014463" w:themeColor="text2"/>
      <w:sz w:val="40"/>
      <w:szCs w:val="40"/>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86151D"/>
    <w:pPr>
      <w:numPr>
        <w:numId w:val="2"/>
      </w:numPr>
      <w:spacing w:after="0"/>
    </w:pPr>
  </w:style>
  <w:style w:type="paragraph" w:customStyle="1" w:styleId="NumberedListlvl2">
    <w:name w:val="Numbered List lvl2"/>
    <w:basedOn w:val="NumberedListlvl1"/>
    <w:uiPriority w:val="9"/>
    <w:rsid w:val="00E7329A"/>
    <w:pPr>
      <w:numPr>
        <w:ilvl w:val="1"/>
      </w:numPr>
      <w:tabs>
        <w:tab w:val="num" w:pos="360"/>
      </w:tabs>
      <w:ind w:left="567"/>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Id w:val="3"/>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1"/>
    <w:rsid w:val="004A4775"/>
    <w:rPr>
      <w:rFonts w:asciiTheme="majorHAnsi" w:eastAsiaTheme="majorEastAsia" w:hAnsiTheme="majorHAnsi" w:cstheme="majorBidi"/>
      <w:color w:val="014463" w:themeColor="text2"/>
      <w:sz w:val="24"/>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1"/>
    <w:rsid w:val="00825B23"/>
    <w:rPr>
      <w:rFonts w:asciiTheme="majorHAnsi" w:hAnsiTheme="majorHAnsi"/>
      <w:color w:val="015E8A" w:themeColor="text2" w:themeTint="E6"/>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PMCTableStyle2">
    <w:name w:val="PMC Table Style 2"/>
    <w:basedOn w:val="TableNormal"/>
    <w:uiPriority w:val="99"/>
    <w:rsid w:val="00FC6197"/>
    <w:pPr>
      <w:spacing w:before="60" w:after="60"/>
    </w:pPr>
    <w:tblPr>
      <w:tblStyleRowBandSize w:val="1"/>
      <w:tblBorders>
        <w:top w:val="single" w:sz="4" w:space="0" w:color="E4E9EE" w:themeColor="accent1" w:themeTint="1A"/>
        <w:left w:val="single" w:sz="4" w:space="0" w:color="E4E9EE" w:themeColor="accent1" w:themeTint="1A"/>
        <w:bottom w:val="single" w:sz="12" w:space="0" w:color="014463" w:themeColor="text2"/>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014463" w:themeFill="text2"/>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311022"/>
    <w:pPr>
      <w:ind w:left="567" w:right="567"/>
    </w:pPr>
    <w:rPr>
      <w:rFonts w:asciiTheme="majorHAnsi" w:hAnsiTheme="majorHAnsi"/>
      <w:color w:val="014463" w:themeColor="text2"/>
      <w:sz w:val="24"/>
      <w:szCs w:val="24"/>
    </w:rPr>
  </w:style>
  <w:style w:type="paragraph" w:styleId="NoSpacing">
    <w:name w:val="No Spacing"/>
    <w:basedOn w:val="BodyText"/>
    <w:link w:val="NoSpacingChar"/>
    <w:uiPriority w:val="1"/>
    <w:qFormat/>
    <w:rsid w:val="002A0289"/>
    <w:pPr>
      <w:contextualSpacing/>
    </w:pPr>
  </w:style>
  <w:style w:type="character" w:customStyle="1" w:styleId="NoSpacingChar">
    <w:name w:val="No Spacing Char"/>
    <w:basedOn w:val="DefaultParagraphFont"/>
    <w:link w:val="NoSpacing"/>
    <w:uiPriority w:val="1"/>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8436AB"/>
    <w:pPr>
      <w:spacing w:after="240"/>
    </w:pPr>
    <w:rPr>
      <w:color w:val="FFFFFF" w:themeColor="background1"/>
      <w:sz w:val="24"/>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4"/>
      </w:numPr>
      <w:spacing w:before="40" w:after="40"/>
    </w:pPr>
    <w:rPr>
      <w:color w:val="000000" w:themeColor="text1"/>
      <w:sz w:val="18"/>
    </w:rPr>
  </w:style>
  <w:style w:type="paragraph" w:styleId="Caption">
    <w:name w:val="caption"/>
    <w:basedOn w:val="Normal"/>
    <w:next w:val="Normal"/>
    <w:uiPriority w:val="35"/>
    <w:unhideWhenUsed/>
    <w:qFormat/>
    <w:rsid w:val="00BC1972"/>
    <w:pPr>
      <w:keepNext/>
      <w:tabs>
        <w:tab w:val="left" w:pos="851"/>
        <w:tab w:val="left" w:pos="1017"/>
      </w:tabs>
      <w:spacing w:before="120"/>
      <w:ind w:left="851" w:hanging="851"/>
    </w:pPr>
    <w:rPr>
      <w:rFonts w:asciiTheme="majorHAnsi" w:hAnsiTheme="majorHAnsi"/>
      <w:b/>
      <w:iCs/>
      <w:color w:val="014463" w:themeColor="text2"/>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993B6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BF3BE8"/>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left="198" w:right="215"/>
    </w:pPr>
    <w:rPr>
      <w:rFonts w:eastAsia="Times New Roman" w:cstheme="minorHAnsi"/>
      <w:lang w:val="en-US"/>
    </w:rPr>
  </w:style>
  <w:style w:type="paragraph" w:customStyle="1" w:styleId="EmphasisPanelBullet">
    <w:name w:val="Emphasis Panel Bullet"/>
    <w:uiPriority w:val="11"/>
    <w:qFormat/>
    <w:rsid w:val="00993B67"/>
    <w:pPr>
      <w:keepLines/>
      <w:numPr>
        <w:numId w:val="6"/>
      </w:numPr>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311022"/>
    <w:rPr>
      <w:rFonts w:asciiTheme="majorHAnsi" w:hAnsiTheme="majorHAnsi"/>
      <w:color w:val="014463" w:themeColor="text2"/>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aliases w:val="Footnote Text Char1 Char,Footnote Text Char Char1 Char,Footnote Text Char Char Char Char Char1,Char Char,Footnote Text Char Char Char,Footnote Text Char Char Char Char,fn,FT,ft,SD Footnote Text,Footnote Text AG,(NECG) Footnote Text"/>
    <w:basedOn w:val="Normal"/>
    <w:link w:val="FootnoteTextChar"/>
    <w:uiPriority w:val="99"/>
    <w:qFormat/>
    <w:rsid w:val="003A7E73"/>
    <w:pPr>
      <w:spacing w:after="0" w:line="240" w:lineRule="auto"/>
    </w:pPr>
  </w:style>
  <w:style w:type="character" w:customStyle="1" w:styleId="FootnoteTextChar">
    <w:name w:val="Footnote Text Char"/>
    <w:aliases w:val="Footnote Text Char1 Char Char,Footnote Text Char Char1 Char Char,Footnote Text Char Char Char Char Char1 Char,Char Char Char,Footnote Text Char Char Char Char1,Footnote Text Char Char Char Char Char,fn Char,FT Char,ft Char"/>
    <w:basedOn w:val="DefaultParagraphFont"/>
    <w:link w:val="FootnoteText"/>
    <w:uiPriority w:val="99"/>
    <w:rsid w:val="003A7E73"/>
  </w:style>
  <w:style w:type="character" w:styleId="FootnoteReference">
    <w:name w:val="footnote reference"/>
    <w:aliases w:val="fr,(NECG) Footnote Reference,Ref,de nota al pie"/>
    <w:basedOn w:val="DefaultParagraphFont"/>
    <w:uiPriority w:val="99"/>
    <w:rsid w:val="003A7E73"/>
    <w:rPr>
      <w:vertAlign w:val="superscript"/>
    </w:rPr>
  </w:style>
  <w:style w:type="paragraph" w:styleId="Title">
    <w:name w:val="Title"/>
    <w:basedOn w:val="Heading1"/>
    <w:next w:val="Normal"/>
    <w:link w:val="TitleChar"/>
    <w:uiPriority w:val="99"/>
    <w:qFormat/>
    <w:rsid w:val="00FE09D3"/>
    <w:pPr>
      <w:spacing w:after="120"/>
      <w:ind w:left="432" w:hanging="432"/>
    </w:pPr>
  </w:style>
  <w:style w:type="character" w:customStyle="1" w:styleId="TitleChar">
    <w:name w:val="Title Char"/>
    <w:basedOn w:val="DefaultParagraphFont"/>
    <w:link w:val="Title"/>
    <w:uiPriority w:val="99"/>
    <w:rsid w:val="00FE09D3"/>
    <w:rPr>
      <w:rFonts w:asciiTheme="majorHAnsi" w:hAnsiTheme="majorHAnsi"/>
      <w:b/>
      <w:color w:val="014463" w:themeColor="text2"/>
      <w:sz w:val="60"/>
      <w:szCs w:val="60"/>
    </w:rPr>
  </w:style>
  <w:style w:type="paragraph" w:styleId="Subtitle">
    <w:name w:val="Subtitle"/>
    <w:basedOn w:val="Heading4"/>
    <w:next w:val="Normal"/>
    <w:link w:val="SubtitleChar"/>
    <w:uiPriority w:val="1"/>
    <w:qFormat/>
    <w:rsid w:val="00FE09D3"/>
    <w:pPr>
      <w:spacing w:before="120" w:after="360"/>
    </w:pPr>
  </w:style>
  <w:style w:type="character" w:customStyle="1" w:styleId="SubtitleChar">
    <w:name w:val="Subtitle Char"/>
    <w:basedOn w:val="DefaultParagraphFont"/>
    <w:link w:val="Subtitle"/>
    <w:uiPriority w:val="1"/>
    <w:rsid w:val="00FE09D3"/>
    <w:rPr>
      <w:rFonts w:asciiTheme="majorHAnsi" w:hAnsiTheme="majorHAnsi"/>
      <w:color w:val="015E8A" w:themeColor="text2" w:themeTint="E6"/>
      <w:szCs w:val="24"/>
    </w:rPr>
  </w:style>
  <w:style w:type="character" w:styleId="Hyperlink">
    <w:name w:val="Hyperlink"/>
    <w:basedOn w:val="DefaultParagraphFont"/>
    <w:uiPriority w:val="99"/>
    <w:unhideWhenUsed/>
    <w:rsid w:val="00561516"/>
    <w:rPr>
      <w:color w:val="015F8B" w:themeColor="hyperlink"/>
      <w:u w:val="single"/>
    </w:rPr>
  </w:style>
  <w:style w:type="character" w:customStyle="1" w:styleId="UnresolvedMention1">
    <w:name w:val="Unresolved Mention1"/>
    <w:basedOn w:val="DefaultParagraphFont"/>
    <w:uiPriority w:val="99"/>
    <w:semiHidden/>
    <w:unhideWhenUsed/>
    <w:rsid w:val="004E3D50"/>
    <w:rPr>
      <w:color w:val="605E5C"/>
      <w:shd w:val="clear" w:color="auto" w:fill="E1DFDD"/>
    </w:rPr>
  </w:style>
  <w:style w:type="table" w:customStyle="1" w:styleId="TableGrid1">
    <w:name w:val="Table Grid1"/>
    <w:basedOn w:val="TableNormal"/>
    <w:next w:val="TableGrid"/>
    <w:uiPriority w:val="39"/>
    <w:rsid w:val="00F672F0"/>
    <w:pPr>
      <w:spacing w:before="60" w:after="60" w:line="240" w:lineRule="auto"/>
    </w:pPr>
    <w:rPr>
      <w:rFonts w:ascii="Arial" w:hAnsi="Arial"/>
      <w:color w:val="auto"/>
      <w:szCs w:val="22"/>
    </w:rPr>
    <w:tblPr>
      <w:tblBorders>
        <w:top w:val="single" w:sz="2" w:space="0" w:color="BFBFBF"/>
        <w:bottom w:val="single" w:sz="2" w:space="0" w:color="BFBFBF"/>
        <w:insideH w:val="single" w:sz="2" w:space="0" w:color="BFBFBF"/>
      </w:tblBorders>
    </w:tblPr>
    <w:tcPr>
      <w:tcMar>
        <w:top w:w="108" w:type="dxa"/>
        <w:bottom w:w="108" w:type="dxa"/>
      </w:tcMar>
    </w:tcPr>
    <w:tblStylePr w:type="firstRow">
      <w:rPr>
        <w:rFonts w:ascii="Arial" w:hAnsi="Arial"/>
        <w:b/>
      </w:rPr>
    </w:tblStylePr>
  </w:style>
  <w:style w:type="character" w:styleId="CommentReference">
    <w:name w:val="annotation reference"/>
    <w:basedOn w:val="DefaultParagraphFont"/>
    <w:uiPriority w:val="99"/>
    <w:semiHidden/>
    <w:unhideWhenUsed/>
    <w:rsid w:val="00D41D3E"/>
    <w:rPr>
      <w:sz w:val="16"/>
      <w:szCs w:val="16"/>
    </w:rPr>
  </w:style>
  <w:style w:type="paragraph" w:styleId="CommentText">
    <w:name w:val="annotation text"/>
    <w:basedOn w:val="Normal"/>
    <w:link w:val="CommentTextChar"/>
    <w:uiPriority w:val="99"/>
    <w:unhideWhenUsed/>
    <w:rsid w:val="00D41D3E"/>
    <w:pPr>
      <w:spacing w:line="240" w:lineRule="auto"/>
    </w:pPr>
  </w:style>
  <w:style w:type="character" w:customStyle="1" w:styleId="CommentTextChar">
    <w:name w:val="Comment Text Char"/>
    <w:basedOn w:val="DefaultParagraphFont"/>
    <w:link w:val="CommentText"/>
    <w:uiPriority w:val="99"/>
    <w:rsid w:val="00D41D3E"/>
  </w:style>
  <w:style w:type="paragraph" w:styleId="CommentSubject">
    <w:name w:val="annotation subject"/>
    <w:basedOn w:val="CommentText"/>
    <w:next w:val="CommentText"/>
    <w:link w:val="CommentSubjectChar"/>
    <w:uiPriority w:val="99"/>
    <w:semiHidden/>
    <w:unhideWhenUsed/>
    <w:rsid w:val="00D41D3E"/>
    <w:rPr>
      <w:b/>
      <w:bCs/>
    </w:rPr>
  </w:style>
  <w:style w:type="character" w:customStyle="1" w:styleId="CommentSubjectChar">
    <w:name w:val="Comment Subject Char"/>
    <w:basedOn w:val="CommentTextChar"/>
    <w:link w:val="CommentSubject"/>
    <w:uiPriority w:val="99"/>
    <w:semiHidden/>
    <w:rsid w:val="00D41D3E"/>
    <w:rPr>
      <w:b/>
      <w:bCs/>
    </w:rPr>
  </w:style>
  <w:style w:type="paragraph" w:customStyle="1" w:styleId="BodyText1">
    <w:name w:val="Body Text1"/>
    <w:basedOn w:val="Normal"/>
    <w:uiPriority w:val="99"/>
    <w:qFormat/>
    <w:rsid w:val="00D51485"/>
    <w:pPr>
      <w:spacing w:after="200" w:line="260" w:lineRule="exact"/>
    </w:pPr>
    <w:rPr>
      <w:rFonts w:ascii="Arial" w:eastAsia="Times New Roman" w:hAnsi="Arial" w:cs="Times New Roman"/>
      <w:color w:val="auto"/>
      <w:sz w:val="22"/>
      <w:szCs w:val="24"/>
    </w:rPr>
  </w:style>
  <w:style w:type="paragraph" w:styleId="Revision">
    <w:name w:val="Revision"/>
    <w:hidden/>
    <w:uiPriority w:val="99"/>
    <w:semiHidden/>
    <w:rsid w:val="00E070F2"/>
    <w:pPr>
      <w:spacing w:after="0" w:line="240" w:lineRule="auto"/>
    </w:pPr>
  </w:style>
  <w:style w:type="character" w:styleId="FollowedHyperlink">
    <w:name w:val="FollowedHyperlink"/>
    <w:basedOn w:val="DefaultParagraphFont"/>
    <w:uiPriority w:val="99"/>
    <w:semiHidden/>
    <w:unhideWhenUsed/>
    <w:rsid w:val="005F0394"/>
    <w:rPr>
      <w:color w:val="015F8B" w:themeColor="followedHyperlink"/>
      <w:u w:val="single"/>
    </w:rPr>
  </w:style>
  <w:style w:type="paragraph" w:styleId="TOCHeading">
    <w:name w:val="TOC Heading"/>
    <w:basedOn w:val="Heading1"/>
    <w:next w:val="Normal"/>
    <w:uiPriority w:val="39"/>
    <w:unhideWhenUsed/>
    <w:qFormat/>
    <w:rsid w:val="005F0394"/>
    <w:pPr>
      <w:spacing w:before="240" w:after="0" w:line="259" w:lineRule="auto"/>
      <w:outlineLvl w:val="9"/>
    </w:pPr>
    <w:rPr>
      <w:rFonts w:eastAsiaTheme="majorEastAsia" w:cstheme="majorBidi"/>
      <w:b w:val="0"/>
      <w:color w:val="1B232C" w:themeColor="accent1" w:themeShade="BF"/>
      <w:sz w:val="32"/>
      <w:szCs w:val="32"/>
      <w:lang w:val="en-US"/>
    </w:rPr>
  </w:style>
  <w:style w:type="paragraph" w:styleId="TOC1">
    <w:name w:val="toc 1"/>
    <w:basedOn w:val="Normal"/>
    <w:next w:val="Normal"/>
    <w:autoRedefine/>
    <w:uiPriority w:val="39"/>
    <w:unhideWhenUsed/>
    <w:rsid w:val="006B4A7D"/>
    <w:pPr>
      <w:tabs>
        <w:tab w:val="right" w:leader="dot" w:pos="9016"/>
      </w:tabs>
      <w:spacing w:after="100"/>
    </w:pPr>
  </w:style>
  <w:style w:type="paragraph" w:styleId="TOC3">
    <w:name w:val="toc 3"/>
    <w:basedOn w:val="Normal"/>
    <w:next w:val="Normal"/>
    <w:autoRedefine/>
    <w:uiPriority w:val="39"/>
    <w:unhideWhenUsed/>
    <w:rsid w:val="005F0394"/>
    <w:pPr>
      <w:spacing w:after="100"/>
      <w:ind w:left="400"/>
    </w:pPr>
  </w:style>
  <w:style w:type="paragraph" w:styleId="TOC2">
    <w:name w:val="toc 2"/>
    <w:basedOn w:val="Normal"/>
    <w:next w:val="Normal"/>
    <w:autoRedefine/>
    <w:uiPriority w:val="39"/>
    <w:unhideWhenUsed/>
    <w:rsid w:val="00E6310F"/>
    <w:pPr>
      <w:tabs>
        <w:tab w:val="left" w:pos="880"/>
        <w:tab w:val="right" w:leader="dot" w:pos="10194"/>
      </w:tabs>
      <w:spacing w:after="100"/>
      <w:ind w:left="200"/>
    </w:pPr>
  </w:style>
  <w:style w:type="character" w:customStyle="1" w:styleId="Heading5Char">
    <w:name w:val="Heading 5 Char"/>
    <w:basedOn w:val="DefaultParagraphFont"/>
    <w:link w:val="Heading5"/>
    <w:uiPriority w:val="1"/>
    <w:rsid w:val="005F7870"/>
    <w:rPr>
      <w:rFonts w:ascii="Verdana" w:eastAsiaTheme="majorEastAsia" w:hAnsi="Verdana" w:cstheme="majorBidi"/>
      <w:b/>
      <w:color w:val="auto"/>
      <w:sz w:val="18"/>
      <w:szCs w:val="18"/>
    </w:rPr>
  </w:style>
  <w:style w:type="character" w:customStyle="1" w:styleId="Heading6Char">
    <w:name w:val="Heading 6 Char"/>
    <w:basedOn w:val="DefaultParagraphFont"/>
    <w:link w:val="Heading6"/>
    <w:uiPriority w:val="1"/>
    <w:semiHidden/>
    <w:rsid w:val="005F7870"/>
    <w:rPr>
      <w:rFonts w:ascii="Verdana" w:eastAsiaTheme="majorEastAsia" w:hAnsi="Verdana" w:cstheme="majorBidi"/>
      <w:b/>
      <w:iCs/>
      <w:color w:val="auto"/>
      <w:sz w:val="18"/>
      <w:szCs w:val="18"/>
    </w:rPr>
  </w:style>
  <w:style w:type="paragraph" w:styleId="ListBullet">
    <w:name w:val="List Bullet"/>
    <w:basedOn w:val="Normal"/>
    <w:uiPriority w:val="3"/>
    <w:qFormat/>
    <w:rsid w:val="000A4370"/>
    <w:pPr>
      <w:numPr>
        <w:numId w:val="12"/>
      </w:numPr>
      <w:spacing w:after="0" w:line="240" w:lineRule="atLeast"/>
      <w:contextualSpacing/>
    </w:pPr>
    <w:rPr>
      <w:rFonts w:ascii="Verdana" w:hAnsi="Verdana"/>
      <w:color w:val="auto"/>
      <w:sz w:val="18"/>
      <w:szCs w:val="17"/>
    </w:rPr>
  </w:style>
  <w:style w:type="paragraph" w:customStyle="1" w:styleId="CaptionTable">
    <w:name w:val="Caption_Table"/>
    <w:basedOn w:val="Normal"/>
    <w:next w:val="Normal"/>
    <w:uiPriority w:val="4"/>
    <w:rsid w:val="005F7870"/>
    <w:pPr>
      <w:keepNext/>
      <w:keepLines/>
      <w:spacing w:before="240" w:after="240" w:line="240" w:lineRule="atLeast"/>
    </w:pPr>
    <w:rPr>
      <w:rFonts w:ascii="Verdana" w:eastAsia="Times New Roman" w:hAnsi="Verdana" w:cs="Times New Roman"/>
      <w:color w:val="A91117" w:themeColor="accent6"/>
      <w:sz w:val="17"/>
    </w:rPr>
  </w:style>
  <w:style w:type="paragraph" w:customStyle="1" w:styleId="CaptionFigure">
    <w:name w:val="Caption_Figure"/>
    <w:basedOn w:val="Normal"/>
    <w:next w:val="Normal"/>
    <w:uiPriority w:val="4"/>
    <w:rsid w:val="005F7870"/>
    <w:pPr>
      <w:keepNext/>
      <w:keepLines/>
      <w:spacing w:after="170" w:line="240" w:lineRule="atLeast"/>
    </w:pPr>
    <w:rPr>
      <w:rFonts w:ascii="Verdana" w:hAnsi="Verdana"/>
      <w:bCs/>
      <w:color w:val="A91117" w:themeColor="accent6"/>
      <w:sz w:val="17"/>
      <w:szCs w:val="22"/>
    </w:rPr>
  </w:style>
  <w:style w:type="paragraph" w:customStyle="1" w:styleId="CaptionChart">
    <w:name w:val="Caption_Chart"/>
    <w:basedOn w:val="Normal"/>
    <w:next w:val="Normal"/>
    <w:uiPriority w:val="4"/>
    <w:rsid w:val="005F7870"/>
    <w:pPr>
      <w:keepNext/>
      <w:keepLines/>
      <w:spacing w:after="170" w:line="240" w:lineRule="atLeast"/>
    </w:pPr>
    <w:rPr>
      <w:rFonts w:ascii="Verdana" w:hAnsi="Verdana"/>
      <w:color w:val="A91117" w:themeColor="accent6"/>
      <w:sz w:val="17"/>
      <w:szCs w:val="18"/>
    </w:rPr>
  </w:style>
  <w:style w:type="character" w:customStyle="1" w:styleId="ListParagraphChar">
    <w:name w:val="List Paragraph Char"/>
    <w:aliases w:val="Bullet Char,SWA List Paragraph Char,Indent Char,Recommendation Char,List Paragraph1 Char,standard lewis Char,List Paragraph11 Char,List Paragraph2 Char,Bulit List -  Paragraph Char,Main numbered paragraph Char,Heading2 Char,L Char"/>
    <w:basedOn w:val="DefaultParagraphFont"/>
    <w:link w:val="ListParagraph"/>
    <w:uiPriority w:val="34"/>
    <w:qFormat/>
    <w:rsid w:val="008E2F56"/>
  </w:style>
  <w:style w:type="paragraph" w:styleId="ListBullet2">
    <w:name w:val="List Bullet 2"/>
    <w:basedOn w:val="Normal"/>
    <w:uiPriority w:val="99"/>
    <w:unhideWhenUsed/>
    <w:rsid w:val="00831D8A"/>
    <w:pPr>
      <w:numPr>
        <w:numId w:val="14"/>
      </w:numPr>
      <w:contextualSpacing/>
    </w:pPr>
  </w:style>
  <w:style w:type="paragraph" w:styleId="NormalWeb">
    <w:name w:val="Normal (Web)"/>
    <w:basedOn w:val="Normal"/>
    <w:uiPriority w:val="99"/>
    <w:semiHidden/>
    <w:unhideWhenUsed/>
    <w:rsid w:val="00831D8A"/>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842AF4"/>
  </w:style>
  <w:style w:type="character" w:customStyle="1" w:styleId="eop">
    <w:name w:val="eop"/>
    <w:basedOn w:val="DefaultParagraphFont"/>
    <w:rsid w:val="00842AF4"/>
  </w:style>
  <w:style w:type="character" w:customStyle="1" w:styleId="SWADisclaimerheadingChar">
    <w:name w:val="SWA Disclaimer heading Char"/>
    <w:basedOn w:val="DefaultParagraphFont"/>
    <w:link w:val="SWADisclaimerheading"/>
    <w:locked/>
    <w:rsid w:val="00E94F67"/>
    <w:rPr>
      <w:rFonts w:ascii="Arial" w:eastAsiaTheme="majorEastAsia" w:hAnsi="Arial" w:cstheme="majorBidi"/>
      <w:b/>
      <w:color w:val="AF1E2D"/>
      <w:spacing w:val="-3"/>
      <w:sz w:val="14"/>
      <w:szCs w:val="14"/>
    </w:rPr>
  </w:style>
  <w:style w:type="paragraph" w:customStyle="1" w:styleId="SWADisclaimerheading">
    <w:name w:val="SWA Disclaimer heading"/>
    <w:basedOn w:val="Normal"/>
    <w:link w:val="SWADisclaimerheadingChar"/>
    <w:qFormat/>
    <w:rsid w:val="00E94F67"/>
    <w:pPr>
      <w:spacing w:line="276" w:lineRule="auto"/>
    </w:pPr>
    <w:rPr>
      <w:rFonts w:ascii="Arial" w:eastAsiaTheme="majorEastAsia" w:hAnsi="Arial" w:cstheme="majorBidi"/>
      <w:b/>
      <w:color w:val="AF1E2D"/>
      <w:spacing w:val="-3"/>
      <w:sz w:val="14"/>
      <w:szCs w:val="14"/>
    </w:rPr>
  </w:style>
  <w:style w:type="character" w:customStyle="1" w:styleId="SWADisclaimerbodytextChar">
    <w:name w:val="SWA Disclaimer body text Char"/>
    <w:basedOn w:val="DefaultParagraphFont"/>
    <w:link w:val="SWADisclaimerbodytext"/>
    <w:locked/>
    <w:rsid w:val="00E94F67"/>
    <w:rPr>
      <w:rFonts w:ascii="Arial" w:eastAsia="Times New Roman" w:hAnsi="Arial" w:cs="Times New Roman"/>
      <w:sz w:val="14"/>
      <w:szCs w:val="14"/>
      <w:lang w:eastAsia="en-AU"/>
    </w:rPr>
  </w:style>
  <w:style w:type="paragraph" w:customStyle="1" w:styleId="SWADisclaimerbodytext">
    <w:name w:val="SWA Disclaimer body text"/>
    <w:basedOn w:val="Normal"/>
    <w:link w:val="SWADisclaimerbodytextChar"/>
    <w:qFormat/>
    <w:rsid w:val="00E94F67"/>
    <w:pPr>
      <w:spacing w:line="276" w:lineRule="auto"/>
    </w:pPr>
    <w:rPr>
      <w:rFonts w:ascii="Arial" w:eastAsia="Times New Roman" w:hAnsi="Arial" w:cs="Times New Roman"/>
      <w:sz w:val="14"/>
      <w:szCs w:val="14"/>
      <w:lang w:eastAsia="en-AU"/>
    </w:rPr>
  </w:style>
  <w:style w:type="character" w:customStyle="1" w:styleId="Mention1">
    <w:name w:val="Mention1"/>
    <w:basedOn w:val="DefaultParagraphFont"/>
    <w:uiPriority w:val="99"/>
    <w:unhideWhenUsed/>
    <w:rPr>
      <w:color w:val="2B579A"/>
      <w:shd w:val="clear" w:color="auto" w:fill="E6E6E6"/>
    </w:rPr>
  </w:style>
  <w:style w:type="paragraph" w:customStyle="1" w:styleId="Default">
    <w:name w:val="Default"/>
    <w:uiPriority w:val="99"/>
    <w:rsid w:val="000F5C1E"/>
    <w:pPr>
      <w:autoSpaceDE w:val="0"/>
      <w:autoSpaceDN w:val="0"/>
      <w:adjustRightInd w:val="0"/>
      <w:spacing w:after="0" w:line="240" w:lineRule="auto"/>
    </w:pPr>
    <w:rPr>
      <w:rFonts w:ascii="Calibri" w:hAnsi="Calibri" w:cs="Calibri"/>
      <w:color w:val="000000"/>
      <w:sz w:val="24"/>
      <w:szCs w:val="24"/>
    </w:rPr>
  </w:style>
  <w:style w:type="character" w:customStyle="1" w:styleId="author">
    <w:name w:val="author"/>
    <w:basedOn w:val="DefaultParagraphFont"/>
    <w:rsid w:val="00011AA3"/>
  </w:style>
  <w:style w:type="character" w:customStyle="1" w:styleId="pubyear">
    <w:name w:val="pubyear"/>
    <w:basedOn w:val="DefaultParagraphFont"/>
    <w:rsid w:val="00011AA3"/>
  </w:style>
  <w:style w:type="character" w:customStyle="1" w:styleId="articletitle">
    <w:name w:val="articletitle"/>
    <w:basedOn w:val="DefaultParagraphFont"/>
    <w:rsid w:val="00011AA3"/>
  </w:style>
  <w:style w:type="character" w:customStyle="1" w:styleId="vol">
    <w:name w:val="vol"/>
    <w:basedOn w:val="DefaultParagraphFont"/>
    <w:rsid w:val="00011AA3"/>
  </w:style>
  <w:style w:type="character" w:customStyle="1" w:styleId="citedissue">
    <w:name w:val="citedissue"/>
    <w:basedOn w:val="DefaultParagraphFont"/>
    <w:rsid w:val="00011AA3"/>
  </w:style>
  <w:style w:type="character" w:customStyle="1" w:styleId="highwire-cite-metadata-journal">
    <w:name w:val="highwire-cite-metadata-journal"/>
    <w:basedOn w:val="DefaultParagraphFont"/>
    <w:rsid w:val="00AA35FF"/>
  </w:style>
  <w:style w:type="character" w:customStyle="1" w:styleId="highwire-cite-metadata-date">
    <w:name w:val="highwire-cite-metadata-date"/>
    <w:basedOn w:val="DefaultParagraphFont"/>
    <w:rsid w:val="00AA35FF"/>
  </w:style>
  <w:style w:type="character" w:customStyle="1" w:styleId="highwire-cite-metadata-volume">
    <w:name w:val="highwire-cite-metadata-volume"/>
    <w:basedOn w:val="DefaultParagraphFont"/>
    <w:rsid w:val="00AA35FF"/>
  </w:style>
  <w:style w:type="character" w:customStyle="1" w:styleId="UnresolvedMention">
    <w:name w:val="Unresolved Mention"/>
    <w:basedOn w:val="DefaultParagraphFont"/>
    <w:uiPriority w:val="99"/>
    <w:semiHidden/>
    <w:unhideWhenUsed/>
    <w:rsid w:val="008C65B4"/>
    <w:rPr>
      <w:color w:val="605E5C"/>
      <w:shd w:val="clear" w:color="auto" w:fill="E1DFDD"/>
    </w:rPr>
  </w:style>
  <w:style w:type="paragraph" w:customStyle="1" w:styleId="EYBodytextwithparaspace">
    <w:name w:val="EY Body text (with para space)"/>
    <w:basedOn w:val="Normal"/>
    <w:uiPriority w:val="99"/>
    <w:qFormat/>
    <w:rsid w:val="00C43655"/>
    <w:pPr>
      <w:autoSpaceDE w:val="0"/>
      <w:autoSpaceDN w:val="0"/>
      <w:adjustRightInd w:val="0"/>
      <w:spacing w:after="240" w:line="240" w:lineRule="auto"/>
    </w:pPr>
    <w:rPr>
      <w:rFonts w:ascii="EYInterstate Light" w:eastAsia="Times New Roman" w:hAnsi="EYInterstate Light" w:cs="Times New Roman"/>
      <w:color w:val="auto"/>
    </w:rPr>
  </w:style>
  <w:style w:type="paragraph" w:customStyle="1" w:styleId="EYBulletnoparaspace">
    <w:name w:val="EY Bullet (no para space)"/>
    <w:basedOn w:val="Normal"/>
    <w:uiPriority w:val="99"/>
    <w:qFormat/>
    <w:rsid w:val="00C43655"/>
    <w:pPr>
      <w:numPr>
        <w:numId w:val="27"/>
      </w:numPr>
      <w:spacing w:after="240" w:line="240" w:lineRule="auto"/>
      <w:contextualSpacing/>
    </w:pPr>
    <w:rPr>
      <w:rFonts w:ascii="EYInterstate Light" w:eastAsia="Times New Roman" w:hAnsi="EYInterstate Light" w:cs="Times New Roman"/>
      <w:color w:val="auto"/>
      <w:szCs w:val="24"/>
    </w:rPr>
  </w:style>
  <w:style w:type="numbering" w:customStyle="1" w:styleId="EYPlainBulletList">
    <w:name w:val="EYPlainBulletList"/>
    <w:uiPriority w:val="99"/>
    <w:rsid w:val="00C43655"/>
    <w:pPr>
      <w:numPr>
        <w:numId w:val="27"/>
      </w:numPr>
    </w:pPr>
  </w:style>
  <w:style w:type="character" w:customStyle="1" w:styleId="Mention">
    <w:name w:val="Mention"/>
    <w:basedOn w:val="DefaultParagraphFont"/>
    <w:uiPriority w:val="99"/>
    <w:unhideWhenUsed/>
    <w:rsid w:val="006F1AF7"/>
    <w:rPr>
      <w:color w:val="2B579A"/>
      <w:shd w:val="clear" w:color="auto" w:fill="E6E6E6"/>
    </w:rPr>
  </w:style>
  <w:style w:type="character" w:styleId="Strong">
    <w:name w:val="Strong"/>
    <w:basedOn w:val="DefaultParagraphFont"/>
    <w:uiPriority w:val="22"/>
    <w:qFormat/>
    <w:rsid w:val="006F1AF7"/>
    <w:rPr>
      <w:b/>
      <w:bCs/>
    </w:rPr>
  </w:style>
  <w:style w:type="character" w:styleId="SubtleEmphasis">
    <w:name w:val="Subtle Emphasis"/>
    <w:basedOn w:val="DefaultParagraphFont"/>
    <w:uiPriority w:val="19"/>
    <w:qFormat/>
    <w:rsid w:val="006F1AF7"/>
    <w:rPr>
      <w:i/>
      <w:iCs/>
      <w:color w:val="404040" w:themeColor="text1" w:themeTint="BF"/>
    </w:rPr>
  </w:style>
  <w:style w:type="paragraph" w:customStyle="1" w:styleId="VHBAbody">
    <w:name w:val="VHBA body"/>
    <w:link w:val="VHBAbodyChar"/>
    <w:qFormat/>
    <w:rsid w:val="006F1AF7"/>
    <w:pPr>
      <w:spacing w:line="270" w:lineRule="atLeast"/>
    </w:pPr>
    <w:rPr>
      <w:rFonts w:ascii="Arial" w:eastAsia="Times" w:hAnsi="Arial" w:cs="Times New Roman"/>
      <w:color w:val="auto"/>
    </w:rPr>
  </w:style>
  <w:style w:type="paragraph" w:customStyle="1" w:styleId="VHBAtablecaption">
    <w:name w:val="VHBA table caption"/>
    <w:next w:val="VHBAbody"/>
    <w:uiPriority w:val="3"/>
    <w:qFormat/>
    <w:rsid w:val="006F1AF7"/>
    <w:pPr>
      <w:keepNext/>
      <w:keepLines/>
      <w:spacing w:before="240" w:line="240" w:lineRule="atLeast"/>
    </w:pPr>
    <w:rPr>
      <w:rFonts w:ascii="Arial" w:eastAsia="Times New Roman" w:hAnsi="Arial" w:cs="Times New Roman"/>
      <w:b/>
      <w:color w:val="auto"/>
    </w:rPr>
  </w:style>
  <w:style w:type="paragraph" w:customStyle="1" w:styleId="VHBAquotebullet1">
    <w:name w:val="VHBA quote bullet 1"/>
    <w:basedOn w:val="Normal"/>
    <w:uiPriority w:val="4"/>
    <w:rsid w:val="006F1AF7"/>
    <w:pPr>
      <w:numPr>
        <w:numId w:val="28"/>
      </w:numPr>
      <w:spacing w:line="270" w:lineRule="atLeast"/>
      <w:ind w:left="397"/>
    </w:pPr>
    <w:rPr>
      <w:rFonts w:ascii="Arial" w:eastAsia="Times" w:hAnsi="Arial" w:cs="Times New Roman"/>
      <w:color w:val="auto"/>
      <w:szCs w:val="18"/>
    </w:rPr>
  </w:style>
  <w:style w:type="paragraph" w:customStyle="1" w:styleId="VHBAquotebullet2">
    <w:name w:val="VHBA quote bullet 2"/>
    <w:basedOn w:val="Normal"/>
    <w:uiPriority w:val="4"/>
    <w:qFormat/>
    <w:rsid w:val="006F1AF7"/>
    <w:pPr>
      <w:numPr>
        <w:ilvl w:val="1"/>
        <w:numId w:val="28"/>
      </w:numPr>
      <w:spacing w:line="270" w:lineRule="atLeast"/>
      <w:ind w:left="397"/>
    </w:pPr>
    <w:rPr>
      <w:rFonts w:ascii="Arial" w:eastAsia="Times" w:hAnsi="Arial" w:cs="Times New Roman"/>
      <w:color w:val="auto"/>
      <w:szCs w:val="18"/>
    </w:rPr>
  </w:style>
  <w:style w:type="character" w:customStyle="1" w:styleId="VHBAbodyChar">
    <w:name w:val="VHBA body Char"/>
    <w:basedOn w:val="DefaultParagraphFont"/>
    <w:link w:val="VHBAbody"/>
    <w:rsid w:val="006F1AF7"/>
    <w:rPr>
      <w:rFonts w:ascii="Arial" w:eastAsia="Times" w:hAnsi="Arial" w:cs="Times New Roman"/>
      <w:color w:val="auto"/>
    </w:rPr>
  </w:style>
  <w:style w:type="numbering" w:customStyle="1" w:styleId="ListHeadings">
    <w:name w:val="List Headings"/>
    <w:uiPriority w:val="99"/>
    <w:rsid w:val="006F1AF7"/>
    <w:pPr>
      <w:numPr>
        <w:numId w:val="29"/>
      </w:numPr>
    </w:pPr>
  </w:style>
  <w:style w:type="paragraph" w:customStyle="1" w:styleId="NumberedHeading1">
    <w:name w:val="Numbered Heading 1"/>
    <w:basedOn w:val="Heading1"/>
    <w:next w:val="VHBAbody"/>
    <w:uiPriority w:val="9"/>
    <w:qFormat/>
    <w:rsid w:val="006F1AF7"/>
    <w:pPr>
      <w:numPr>
        <w:numId w:val="30"/>
      </w:numPr>
      <w:tabs>
        <w:tab w:val="left" w:pos="851"/>
      </w:tabs>
      <w:spacing w:before="360" w:after="240" w:line="240" w:lineRule="auto"/>
    </w:pPr>
    <w:rPr>
      <w:rFonts w:eastAsiaTheme="majorEastAsia" w:cstheme="majorBidi"/>
      <w:b w:val="0"/>
      <w:bCs/>
      <w:sz w:val="36"/>
      <w:szCs w:val="32"/>
    </w:rPr>
  </w:style>
  <w:style w:type="paragraph" w:customStyle="1" w:styleId="NumberedHeading2">
    <w:name w:val="Numbered Heading 2"/>
    <w:basedOn w:val="Heading2"/>
    <w:next w:val="VHBAbody"/>
    <w:uiPriority w:val="9"/>
    <w:qFormat/>
    <w:rsid w:val="006F1AF7"/>
    <w:pPr>
      <w:numPr>
        <w:numId w:val="30"/>
      </w:numPr>
      <w:tabs>
        <w:tab w:val="left" w:pos="851"/>
      </w:tabs>
      <w:spacing w:before="240" w:after="90" w:line="240" w:lineRule="auto"/>
    </w:pPr>
    <w:rPr>
      <w:color w:val="5C7281"/>
      <w:sz w:val="28"/>
      <w:szCs w:val="26"/>
    </w:rPr>
  </w:style>
  <w:style w:type="paragraph" w:customStyle="1" w:styleId="NumberedHeading3">
    <w:name w:val="Numbered Heading 3"/>
    <w:basedOn w:val="Heading3"/>
    <w:next w:val="VHBAbody"/>
    <w:uiPriority w:val="9"/>
    <w:qFormat/>
    <w:rsid w:val="006F1AF7"/>
    <w:pPr>
      <w:numPr>
        <w:numId w:val="30"/>
      </w:numPr>
      <w:tabs>
        <w:tab w:val="left" w:pos="851"/>
      </w:tabs>
      <w:spacing w:before="280" w:after="120" w:line="280" w:lineRule="atLeast"/>
      <w:ind w:left="851" w:hanging="851"/>
    </w:pPr>
    <w:rPr>
      <w:rFonts w:eastAsia="MS Gothic" w:cs="Times New Roman"/>
      <w:b/>
      <w:bCs/>
      <w:color w:val="auto"/>
      <w:szCs w:val="26"/>
    </w:rPr>
  </w:style>
  <w:style w:type="paragraph" w:customStyle="1" w:styleId="NumberedHeading4">
    <w:name w:val="Numbered Heading 4"/>
    <w:basedOn w:val="Heading4"/>
    <w:next w:val="VHBAbody"/>
    <w:link w:val="NumberedHeading4Char"/>
    <w:uiPriority w:val="9"/>
    <w:qFormat/>
    <w:rsid w:val="006F1AF7"/>
    <w:pPr>
      <w:keepNext/>
      <w:keepLines/>
      <w:numPr>
        <w:numId w:val="30"/>
      </w:numPr>
      <w:spacing w:line="240" w:lineRule="atLeast"/>
      <w:ind w:left="851" w:hanging="851"/>
    </w:pPr>
    <w:rPr>
      <w:rFonts w:eastAsia="MS Mincho" w:cs="Times New Roman"/>
      <w:b/>
      <w:bCs/>
    </w:rPr>
  </w:style>
  <w:style w:type="character" w:customStyle="1" w:styleId="NumberedHeading4Char">
    <w:name w:val="Numbered Heading 4 Char"/>
    <w:basedOn w:val="Heading4Char"/>
    <w:link w:val="NumberedHeading4"/>
    <w:uiPriority w:val="9"/>
    <w:rsid w:val="006F1AF7"/>
    <w:rPr>
      <w:rFonts w:asciiTheme="majorHAnsi" w:eastAsia="MS Mincho" w:hAnsiTheme="majorHAnsi" w:cs="Times New Roman"/>
      <w:b/>
      <w:bCs/>
      <w:color w:val="015E8A" w:themeColor="text2" w:themeTint="E6"/>
      <w:szCs w:val="24"/>
    </w:rPr>
  </w:style>
  <w:style w:type="table" w:customStyle="1" w:styleId="VHBATable1">
    <w:name w:val="VHBA Table 1"/>
    <w:basedOn w:val="TableNormal"/>
    <w:uiPriority w:val="99"/>
    <w:rsid w:val="006F1AF7"/>
    <w:pPr>
      <w:spacing w:after="0" w:line="240" w:lineRule="auto"/>
    </w:pPr>
    <w:rPr>
      <w:rFonts w:ascii="Arial" w:eastAsia="Times New Roman" w:hAnsi="Arial" w:cs="Times New Roman"/>
      <w:color w:val="auto"/>
      <w:sz w:val="16"/>
      <w:lang w:eastAsia="en-AU"/>
    </w:rPr>
    <w:tblPr/>
    <w:tblStylePr w:type="firstRow">
      <w:rPr>
        <w:rFonts w:ascii="Arial" w:hAnsi="Arial"/>
        <w:b/>
        <w:i w:val="0"/>
        <w:color w:val="FFFFFF" w:themeColor="background1"/>
        <w:sz w:val="20"/>
      </w:rPr>
      <w:tblPr/>
      <w:tcPr>
        <w:shd w:val="clear" w:color="auto" w:fill="A00024"/>
      </w:tcPr>
    </w:tblStylePr>
    <w:tblStylePr w:type="lastRow">
      <w:rPr>
        <w:rFonts w:ascii="Arial" w:hAnsi="Arial"/>
        <w:sz w:val="20"/>
      </w:rPr>
    </w:tblStylePr>
    <w:tblStylePr w:type="firstCol">
      <w:rPr>
        <w:rFonts w:ascii="Arial" w:hAnsi="Arial"/>
        <w:sz w:val="20"/>
      </w:rPr>
      <w:tblPr/>
      <w:tcPr>
        <w:shd w:val="clear" w:color="auto" w:fill="F3BA97" w:themeFill="accent4" w:themeFillTint="66"/>
      </w:tcPr>
    </w:tblStylePr>
    <w:tblStylePr w:type="lastCol">
      <w:rPr>
        <w:rFonts w:ascii="Arial" w:hAnsi="Arial"/>
        <w:sz w:val="20"/>
      </w:rPr>
    </w:tblStylePr>
  </w:style>
  <w:style w:type="paragraph" w:customStyle="1" w:styleId="VHHSBAtablecolhead">
    <w:name w:val="VHHSBA table col head"/>
    <w:uiPriority w:val="99"/>
    <w:qFormat/>
    <w:rsid w:val="006F1AF7"/>
    <w:pPr>
      <w:keepNext/>
      <w:keepLines/>
      <w:spacing w:before="80" w:after="60" w:line="240" w:lineRule="auto"/>
    </w:pPr>
    <w:rPr>
      <w:rFonts w:ascii="Arial" w:eastAsia="Arial" w:hAnsi="Arial" w:cs="Times New Roman"/>
      <w:b/>
      <w:iCs/>
      <w:color w:val="FFFFFF"/>
      <w:szCs w:val="24"/>
    </w:rPr>
  </w:style>
  <w:style w:type="paragraph" w:customStyle="1" w:styleId="VHHSBAbodyaftertablefigure">
    <w:name w:val="VHHSBA body after table/figure"/>
    <w:basedOn w:val="Normal"/>
    <w:next w:val="Normal"/>
    <w:uiPriority w:val="99"/>
    <w:qFormat/>
    <w:rsid w:val="006F1AF7"/>
    <w:pPr>
      <w:spacing w:before="240" w:line="270" w:lineRule="atLeast"/>
    </w:pPr>
    <w:rPr>
      <w:rFonts w:ascii="Arial" w:eastAsia="Times" w:hAnsi="Arial" w:cs="Times New Roman"/>
      <w:color w:val="auto"/>
    </w:rPr>
  </w:style>
  <w:style w:type="paragraph" w:customStyle="1" w:styleId="VHHSBAbody">
    <w:name w:val="VHHSBA body"/>
    <w:uiPriority w:val="99"/>
    <w:qFormat/>
    <w:rsid w:val="006F1AF7"/>
    <w:pPr>
      <w:spacing w:line="270" w:lineRule="atLeast"/>
    </w:pPr>
    <w:rPr>
      <w:rFonts w:ascii="Arial" w:eastAsia="Times" w:hAnsi="Arial" w:cs="Times New Roman"/>
      <w:color w:val="auto"/>
    </w:rPr>
  </w:style>
  <w:style w:type="paragraph" w:customStyle="1" w:styleId="UpdatedBody">
    <w:name w:val="Updated_Body"/>
    <w:basedOn w:val="Normal"/>
    <w:uiPriority w:val="99"/>
    <w:qFormat/>
    <w:rsid w:val="006F1AF7"/>
    <w:pPr>
      <w:spacing w:before="120" w:after="160" w:line="259" w:lineRule="auto"/>
    </w:pPr>
    <w:rPr>
      <w:rFonts w:ascii="Source Sans Pro" w:hAnsi="Source Sans Pro"/>
      <w:color w:val="000000" w:themeColor="text1"/>
      <w:sz w:val="22"/>
      <w:szCs w:val="22"/>
      <w:lang w:val="en-GB"/>
    </w:rPr>
  </w:style>
  <w:style w:type="table" w:customStyle="1" w:styleId="TableGridDHHSblue1">
    <w:name w:val="Table Grid DHHS blue1"/>
    <w:basedOn w:val="TableNormal"/>
    <w:uiPriority w:val="59"/>
    <w:rsid w:val="006F1AF7"/>
    <w:pPr>
      <w:spacing w:after="0" w:line="240" w:lineRule="auto"/>
    </w:pPr>
    <w:rPr>
      <w:rFonts w:ascii="Arial" w:eastAsia="Times New Roman" w:hAnsi="Arial" w:cs="Times New Roman"/>
      <w:color w:val="auto"/>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74BC"/>
      </w:tcPr>
    </w:tblStylePr>
  </w:style>
  <w:style w:type="paragraph" w:customStyle="1" w:styleId="Documentsubtitle">
    <w:name w:val="Document subtitle"/>
    <w:basedOn w:val="Normal"/>
    <w:uiPriority w:val="7"/>
    <w:rsid w:val="006F1AF7"/>
    <w:pPr>
      <w:spacing w:line="440" w:lineRule="atLeast"/>
    </w:pPr>
    <w:rPr>
      <w:rFonts w:ascii="Verdana" w:hAnsi="Verdana"/>
      <w:color w:val="000000"/>
      <w:sz w:val="28"/>
      <w:szCs w:val="18"/>
    </w:rPr>
  </w:style>
  <w:style w:type="character" w:customStyle="1" w:styleId="Heading1Char1">
    <w:name w:val="Heading 1 Char1"/>
    <w:aliases w:val="1.Heading 1 Char1"/>
    <w:basedOn w:val="DefaultParagraphFont"/>
    <w:uiPriority w:val="1"/>
    <w:rsid w:val="006F1AF7"/>
    <w:rPr>
      <w:rFonts w:asciiTheme="majorHAnsi" w:eastAsiaTheme="majorEastAsia" w:hAnsiTheme="majorHAnsi" w:cstheme="majorBidi"/>
      <w:color w:val="1B232C" w:themeColor="accent1" w:themeShade="BF"/>
      <w:sz w:val="32"/>
      <w:szCs w:val="32"/>
    </w:rPr>
  </w:style>
  <w:style w:type="paragraph" w:customStyle="1" w:styleId="msonormal0">
    <w:name w:val="msonormal"/>
    <w:basedOn w:val="Normal"/>
    <w:uiPriority w:val="99"/>
    <w:semiHidden/>
    <w:rsid w:val="006F1AF7"/>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FootnoteTextChar1">
    <w:name w:val="Footnote Text Char1"/>
    <w:aliases w:val="Footnote Text Char1 Char Char1,Footnote Text Char Char1 Char Char1,Footnote Text Char Char Char Char Char1 Char1,Char Char Char1,Footnote Text Char Char Char Char2,Footnote Text Char Char Char Char Char2,fn Char1,FT Char1,ft Char1"/>
    <w:basedOn w:val="DefaultParagraphFont"/>
    <w:uiPriority w:val="99"/>
    <w:semiHidden/>
    <w:rsid w:val="006F1AF7"/>
    <w:rPr>
      <w:color w:val="262626" w:themeColor="text1" w:themeTint="D9"/>
      <w:sz w:val="20"/>
      <w:szCs w:val="20"/>
    </w:rPr>
  </w:style>
  <w:style w:type="table" w:customStyle="1" w:styleId="TableGrid2">
    <w:name w:val="Table Grid2"/>
    <w:basedOn w:val="TableNormal"/>
    <w:next w:val="TableGrid"/>
    <w:uiPriority w:val="39"/>
    <w:rsid w:val="00D61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mall">
    <w:name w:val="Normal small"/>
    <w:qFormat/>
    <w:rsid w:val="007412A4"/>
    <w:pPr>
      <w:spacing w:line="276" w:lineRule="auto"/>
    </w:pPr>
    <w:rPr>
      <w:rFonts w:ascii="Cambria" w:hAnsi="Cambria"/>
      <w:color w:val="auto"/>
      <w:sz w:val="18"/>
      <w:szCs w:val="18"/>
    </w:rPr>
  </w:style>
  <w:style w:type="character" w:customStyle="1" w:styleId="Heading7Char">
    <w:name w:val="Heading 7 Char"/>
    <w:basedOn w:val="DefaultParagraphFont"/>
    <w:link w:val="Heading7"/>
    <w:uiPriority w:val="9"/>
    <w:semiHidden/>
    <w:rsid w:val="0030750F"/>
    <w:rPr>
      <w:rFonts w:asciiTheme="majorHAnsi" w:eastAsiaTheme="majorEastAsia" w:hAnsiTheme="majorHAnsi" w:cstheme="majorBidi"/>
      <w:i/>
      <w:iCs/>
      <w:color w:val="12171D" w:themeColor="accent1" w:themeShade="7F"/>
    </w:rPr>
  </w:style>
  <w:style w:type="character" w:customStyle="1" w:styleId="Heading8Char">
    <w:name w:val="Heading 8 Char"/>
    <w:basedOn w:val="DefaultParagraphFont"/>
    <w:link w:val="Heading8"/>
    <w:uiPriority w:val="9"/>
    <w:semiHidden/>
    <w:rsid w:val="0030750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750F"/>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024689"/>
    <w:pPr>
      <w:spacing w:before="100" w:beforeAutospacing="1" w:after="100" w:afterAutospacing="1" w:line="240" w:lineRule="auto"/>
    </w:pPr>
    <w:rPr>
      <w:rFonts w:ascii="Times New Roman" w:hAnsi="Times New Roman" w:cs="Times New Roman"/>
      <w:color w:val="auto"/>
      <w:sz w:val="24"/>
      <w:szCs w:val="24"/>
      <w:lang w:eastAsia="en-AU"/>
    </w:rPr>
  </w:style>
  <w:style w:type="paragraph" w:customStyle="1" w:styleId="SWABullets">
    <w:name w:val="SWA Bullets"/>
    <w:basedOn w:val="Normal"/>
    <w:qFormat/>
    <w:locked/>
    <w:rsid w:val="00FC2B11"/>
    <w:pPr>
      <w:numPr>
        <w:numId w:val="40"/>
      </w:numPr>
      <w:overflowPunct w:val="0"/>
      <w:autoSpaceDE w:val="0"/>
      <w:autoSpaceDN w:val="0"/>
      <w:adjustRightInd w:val="0"/>
      <w:spacing w:after="0" w:line="240" w:lineRule="auto"/>
      <w:textAlignment w:val="baseline"/>
    </w:pPr>
    <w:rPr>
      <w:rFonts w:ascii="Arial" w:eastAsia="Times New Roman" w:hAnsi="Arial" w:cs="Times New Roman"/>
      <w:color w:val="auto"/>
      <w:lang w:eastAsia="en-AU"/>
    </w:rPr>
  </w:style>
  <w:style w:type="paragraph" w:customStyle="1" w:styleId="Normalbeforebullets">
    <w:name w:val="Normal before bullets"/>
    <w:basedOn w:val="Normal"/>
    <w:uiPriority w:val="99"/>
    <w:qFormat/>
    <w:rsid w:val="00BE2E18"/>
    <w:pPr>
      <w:spacing w:before="120" w:line="240" w:lineRule="auto"/>
    </w:pPr>
    <w:rPr>
      <w:rFonts w:ascii="Arial" w:eastAsia="Times New Roman" w:hAnsi="Arial" w:cs="Times New Roman"/>
      <w:color w:val="auto"/>
      <w:sz w:val="22"/>
      <w:szCs w:val="24"/>
      <w:lang w:eastAsia="en-AU"/>
    </w:rPr>
  </w:style>
  <w:style w:type="paragraph" w:styleId="Bibliography">
    <w:name w:val="Bibliography"/>
    <w:basedOn w:val="Normal"/>
    <w:next w:val="Normal"/>
    <w:uiPriority w:val="37"/>
    <w:unhideWhenUsed/>
    <w:rsid w:val="006B4A7D"/>
    <w:pPr>
      <w:spacing w:after="240" w:line="240" w:lineRule="auto"/>
    </w:pPr>
  </w:style>
  <w:style w:type="table" w:styleId="PlainTable4">
    <w:name w:val="Plain Table 4"/>
    <w:basedOn w:val="TableNormal"/>
    <w:uiPriority w:val="44"/>
    <w:rsid w:val="00865859"/>
    <w:pPr>
      <w:spacing w:after="0" w:line="240" w:lineRule="auto"/>
    </w:pPr>
    <w:rPr>
      <w:color w:val="auto"/>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0776">
      <w:bodyDiv w:val="1"/>
      <w:marLeft w:val="0"/>
      <w:marRight w:val="0"/>
      <w:marTop w:val="0"/>
      <w:marBottom w:val="0"/>
      <w:divBdr>
        <w:top w:val="none" w:sz="0" w:space="0" w:color="auto"/>
        <w:left w:val="none" w:sz="0" w:space="0" w:color="auto"/>
        <w:bottom w:val="none" w:sz="0" w:space="0" w:color="auto"/>
        <w:right w:val="none" w:sz="0" w:space="0" w:color="auto"/>
      </w:divBdr>
    </w:div>
    <w:div w:id="250283444">
      <w:bodyDiv w:val="1"/>
      <w:marLeft w:val="0"/>
      <w:marRight w:val="0"/>
      <w:marTop w:val="0"/>
      <w:marBottom w:val="0"/>
      <w:divBdr>
        <w:top w:val="none" w:sz="0" w:space="0" w:color="auto"/>
        <w:left w:val="none" w:sz="0" w:space="0" w:color="auto"/>
        <w:bottom w:val="none" w:sz="0" w:space="0" w:color="auto"/>
        <w:right w:val="none" w:sz="0" w:space="0" w:color="auto"/>
      </w:divBdr>
    </w:div>
    <w:div w:id="431510539">
      <w:bodyDiv w:val="1"/>
      <w:marLeft w:val="0"/>
      <w:marRight w:val="0"/>
      <w:marTop w:val="0"/>
      <w:marBottom w:val="0"/>
      <w:divBdr>
        <w:top w:val="none" w:sz="0" w:space="0" w:color="auto"/>
        <w:left w:val="none" w:sz="0" w:space="0" w:color="auto"/>
        <w:bottom w:val="none" w:sz="0" w:space="0" w:color="auto"/>
        <w:right w:val="none" w:sz="0" w:space="0" w:color="auto"/>
      </w:divBdr>
    </w:div>
    <w:div w:id="464587120">
      <w:bodyDiv w:val="1"/>
      <w:marLeft w:val="0"/>
      <w:marRight w:val="0"/>
      <w:marTop w:val="0"/>
      <w:marBottom w:val="0"/>
      <w:divBdr>
        <w:top w:val="none" w:sz="0" w:space="0" w:color="auto"/>
        <w:left w:val="none" w:sz="0" w:space="0" w:color="auto"/>
        <w:bottom w:val="none" w:sz="0" w:space="0" w:color="auto"/>
        <w:right w:val="none" w:sz="0" w:space="0" w:color="auto"/>
      </w:divBdr>
    </w:div>
    <w:div w:id="488636491">
      <w:bodyDiv w:val="1"/>
      <w:marLeft w:val="0"/>
      <w:marRight w:val="0"/>
      <w:marTop w:val="0"/>
      <w:marBottom w:val="0"/>
      <w:divBdr>
        <w:top w:val="none" w:sz="0" w:space="0" w:color="auto"/>
        <w:left w:val="none" w:sz="0" w:space="0" w:color="auto"/>
        <w:bottom w:val="none" w:sz="0" w:space="0" w:color="auto"/>
        <w:right w:val="none" w:sz="0" w:space="0" w:color="auto"/>
      </w:divBdr>
    </w:div>
    <w:div w:id="509829722">
      <w:bodyDiv w:val="1"/>
      <w:marLeft w:val="0"/>
      <w:marRight w:val="0"/>
      <w:marTop w:val="0"/>
      <w:marBottom w:val="0"/>
      <w:divBdr>
        <w:top w:val="none" w:sz="0" w:space="0" w:color="auto"/>
        <w:left w:val="none" w:sz="0" w:space="0" w:color="auto"/>
        <w:bottom w:val="none" w:sz="0" w:space="0" w:color="auto"/>
        <w:right w:val="none" w:sz="0" w:space="0" w:color="auto"/>
      </w:divBdr>
    </w:div>
    <w:div w:id="540023492">
      <w:bodyDiv w:val="1"/>
      <w:marLeft w:val="0"/>
      <w:marRight w:val="0"/>
      <w:marTop w:val="0"/>
      <w:marBottom w:val="0"/>
      <w:divBdr>
        <w:top w:val="none" w:sz="0" w:space="0" w:color="auto"/>
        <w:left w:val="none" w:sz="0" w:space="0" w:color="auto"/>
        <w:bottom w:val="none" w:sz="0" w:space="0" w:color="auto"/>
        <w:right w:val="none" w:sz="0" w:space="0" w:color="auto"/>
      </w:divBdr>
    </w:div>
    <w:div w:id="579949271">
      <w:bodyDiv w:val="1"/>
      <w:marLeft w:val="0"/>
      <w:marRight w:val="0"/>
      <w:marTop w:val="0"/>
      <w:marBottom w:val="0"/>
      <w:divBdr>
        <w:top w:val="none" w:sz="0" w:space="0" w:color="auto"/>
        <w:left w:val="none" w:sz="0" w:space="0" w:color="auto"/>
        <w:bottom w:val="none" w:sz="0" w:space="0" w:color="auto"/>
        <w:right w:val="none" w:sz="0" w:space="0" w:color="auto"/>
      </w:divBdr>
    </w:div>
    <w:div w:id="583031648">
      <w:bodyDiv w:val="1"/>
      <w:marLeft w:val="0"/>
      <w:marRight w:val="0"/>
      <w:marTop w:val="0"/>
      <w:marBottom w:val="0"/>
      <w:divBdr>
        <w:top w:val="none" w:sz="0" w:space="0" w:color="auto"/>
        <w:left w:val="none" w:sz="0" w:space="0" w:color="auto"/>
        <w:bottom w:val="none" w:sz="0" w:space="0" w:color="auto"/>
        <w:right w:val="none" w:sz="0" w:space="0" w:color="auto"/>
      </w:divBdr>
    </w:div>
    <w:div w:id="606694075">
      <w:bodyDiv w:val="1"/>
      <w:marLeft w:val="0"/>
      <w:marRight w:val="0"/>
      <w:marTop w:val="0"/>
      <w:marBottom w:val="0"/>
      <w:divBdr>
        <w:top w:val="none" w:sz="0" w:space="0" w:color="auto"/>
        <w:left w:val="none" w:sz="0" w:space="0" w:color="auto"/>
        <w:bottom w:val="none" w:sz="0" w:space="0" w:color="auto"/>
        <w:right w:val="none" w:sz="0" w:space="0" w:color="auto"/>
      </w:divBdr>
    </w:div>
    <w:div w:id="824787407">
      <w:bodyDiv w:val="1"/>
      <w:marLeft w:val="0"/>
      <w:marRight w:val="0"/>
      <w:marTop w:val="0"/>
      <w:marBottom w:val="0"/>
      <w:divBdr>
        <w:top w:val="none" w:sz="0" w:space="0" w:color="auto"/>
        <w:left w:val="none" w:sz="0" w:space="0" w:color="auto"/>
        <w:bottom w:val="none" w:sz="0" w:space="0" w:color="auto"/>
        <w:right w:val="none" w:sz="0" w:space="0" w:color="auto"/>
      </w:divBdr>
    </w:div>
    <w:div w:id="965962685">
      <w:bodyDiv w:val="1"/>
      <w:marLeft w:val="0"/>
      <w:marRight w:val="0"/>
      <w:marTop w:val="0"/>
      <w:marBottom w:val="0"/>
      <w:divBdr>
        <w:top w:val="none" w:sz="0" w:space="0" w:color="auto"/>
        <w:left w:val="none" w:sz="0" w:space="0" w:color="auto"/>
        <w:bottom w:val="none" w:sz="0" w:space="0" w:color="auto"/>
        <w:right w:val="none" w:sz="0" w:space="0" w:color="auto"/>
      </w:divBdr>
    </w:div>
    <w:div w:id="1089349434">
      <w:bodyDiv w:val="1"/>
      <w:marLeft w:val="0"/>
      <w:marRight w:val="0"/>
      <w:marTop w:val="0"/>
      <w:marBottom w:val="0"/>
      <w:divBdr>
        <w:top w:val="none" w:sz="0" w:space="0" w:color="auto"/>
        <w:left w:val="none" w:sz="0" w:space="0" w:color="auto"/>
        <w:bottom w:val="none" w:sz="0" w:space="0" w:color="auto"/>
        <w:right w:val="none" w:sz="0" w:space="0" w:color="auto"/>
      </w:divBdr>
      <w:divsChild>
        <w:div w:id="1662662541">
          <w:marLeft w:val="0"/>
          <w:marRight w:val="0"/>
          <w:marTop w:val="0"/>
          <w:marBottom w:val="0"/>
          <w:divBdr>
            <w:top w:val="none" w:sz="0" w:space="0" w:color="auto"/>
            <w:left w:val="none" w:sz="0" w:space="0" w:color="auto"/>
            <w:bottom w:val="none" w:sz="0" w:space="0" w:color="auto"/>
            <w:right w:val="none" w:sz="0" w:space="0" w:color="auto"/>
          </w:divBdr>
          <w:divsChild>
            <w:div w:id="2800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8954">
      <w:bodyDiv w:val="1"/>
      <w:marLeft w:val="0"/>
      <w:marRight w:val="0"/>
      <w:marTop w:val="0"/>
      <w:marBottom w:val="0"/>
      <w:divBdr>
        <w:top w:val="none" w:sz="0" w:space="0" w:color="auto"/>
        <w:left w:val="none" w:sz="0" w:space="0" w:color="auto"/>
        <w:bottom w:val="none" w:sz="0" w:space="0" w:color="auto"/>
        <w:right w:val="none" w:sz="0" w:space="0" w:color="auto"/>
      </w:divBdr>
    </w:div>
    <w:div w:id="1187133203">
      <w:bodyDiv w:val="1"/>
      <w:marLeft w:val="0"/>
      <w:marRight w:val="0"/>
      <w:marTop w:val="0"/>
      <w:marBottom w:val="0"/>
      <w:divBdr>
        <w:top w:val="none" w:sz="0" w:space="0" w:color="auto"/>
        <w:left w:val="none" w:sz="0" w:space="0" w:color="auto"/>
        <w:bottom w:val="none" w:sz="0" w:space="0" w:color="auto"/>
        <w:right w:val="none" w:sz="0" w:space="0" w:color="auto"/>
      </w:divBdr>
    </w:div>
    <w:div w:id="1217202359">
      <w:bodyDiv w:val="1"/>
      <w:marLeft w:val="0"/>
      <w:marRight w:val="0"/>
      <w:marTop w:val="0"/>
      <w:marBottom w:val="0"/>
      <w:divBdr>
        <w:top w:val="none" w:sz="0" w:space="0" w:color="auto"/>
        <w:left w:val="none" w:sz="0" w:space="0" w:color="auto"/>
        <w:bottom w:val="none" w:sz="0" w:space="0" w:color="auto"/>
        <w:right w:val="none" w:sz="0" w:space="0" w:color="auto"/>
      </w:divBdr>
    </w:div>
    <w:div w:id="1218054966">
      <w:bodyDiv w:val="1"/>
      <w:marLeft w:val="0"/>
      <w:marRight w:val="0"/>
      <w:marTop w:val="0"/>
      <w:marBottom w:val="0"/>
      <w:divBdr>
        <w:top w:val="none" w:sz="0" w:space="0" w:color="auto"/>
        <w:left w:val="none" w:sz="0" w:space="0" w:color="auto"/>
        <w:bottom w:val="none" w:sz="0" w:space="0" w:color="auto"/>
        <w:right w:val="none" w:sz="0" w:space="0" w:color="auto"/>
      </w:divBdr>
    </w:div>
    <w:div w:id="1269578195">
      <w:bodyDiv w:val="1"/>
      <w:marLeft w:val="0"/>
      <w:marRight w:val="0"/>
      <w:marTop w:val="0"/>
      <w:marBottom w:val="0"/>
      <w:divBdr>
        <w:top w:val="none" w:sz="0" w:space="0" w:color="auto"/>
        <w:left w:val="none" w:sz="0" w:space="0" w:color="auto"/>
        <w:bottom w:val="none" w:sz="0" w:space="0" w:color="auto"/>
        <w:right w:val="none" w:sz="0" w:space="0" w:color="auto"/>
      </w:divBdr>
      <w:divsChild>
        <w:div w:id="1199204347">
          <w:marLeft w:val="0"/>
          <w:marRight w:val="0"/>
          <w:marTop w:val="0"/>
          <w:marBottom w:val="0"/>
          <w:divBdr>
            <w:top w:val="none" w:sz="0" w:space="0" w:color="auto"/>
            <w:left w:val="none" w:sz="0" w:space="0" w:color="auto"/>
            <w:bottom w:val="none" w:sz="0" w:space="0" w:color="auto"/>
            <w:right w:val="none" w:sz="0" w:space="0" w:color="auto"/>
          </w:divBdr>
          <w:divsChild>
            <w:div w:id="10339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6624">
      <w:bodyDiv w:val="1"/>
      <w:marLeft w:val="0"/>
      <w:marRight w:val="0"/>
      <w:marTop w:val="0"/>
      <w:marBottom w:val="0"/>
      <w:divBdr>
        <w:top w:val="none" w:sz="0" w:space="0" w:color="auto"/>
        <w:left w:val="none" w:sz="0" w:space="0" w:color="auto"/>
        <w:bottom w:val="none" w:sz="0" w:space="0" w:color="auto"/>
        <w:right w:val="none" w:sz="0" w:space="0" w:color="auto"/>
      </w:divBdr>
      <w:divsChild>
        <w:div w:id="1626887507">
          <w:marLeft w:val="0"/>
          <w:marRight w:val="0"/>
          <w:marTop w:val="0"/>
          <w:marBottom w:val="0"/>
          <w:divBdr>
            <w:top w:val="single" w:sz="6" w:space="0" w:color="5B616B"/>
            <w:left w:val="single" w:sz="6" w:space="0" w:color="5B616B"/>
            <w:bottom w:val="single" w:sz="6" w:space="0" w:color="5B616B"/>
            <w:right w:val="single" w:sz="6" w:space="0" w:color="5B616B"/>
          </w:divBdr>
        </w:div>
        <w:div w:id="1747461865">
          <w:marLeft w:val="0"/>
          <w:marRight w:val="0"/>
          <w:marTop w:val="0"/>
          <w:marBottom w:val="0"/>
          <w:divBdr>
            <w:top w:val="none" w:sz="0" w:space="0" w:color="auto"/>
            <w:left w:val="none" w:sz="0" w:space="0" w:color="auto"/>
            <w:bottom w:val="none" w:sz="0" w:space="0" w:color="auto"/>
            <w:right w:val="none" w:sz="0" w:space="0" w:color="auto"/>
          </w:divBdr>
          <w:divsChild>
            <w:div w:id="19052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2248">
      <w:bodyDiv w:val="1"/>
      <w:marLeft w:val="0"/>
      <w:marRight w:val="0"/>
      <w:marTop w:val="0"/>
      <w:marBottom w:val="0"/>
      <w:divBdr>
        <w:top w:val="none" w:sz="0" w:space="0" w:color="auto"/>
        <w:left w:val="none" w:sz="0" w:space="0" w:color="auto"/>
        <w:bottom w:val="none" w:sz="0" w:space="0" w:color="auto"/>
        <w:right w:val="none" w:sz="0" w:space="0" w:color="auto"/>
      </w:divBdr>
    </w:div>
    <w:div w:id="1549950270">
      <w:bodyDiv w:val="1"/>
      <w:marLeft w:val="0"/>
      <w:marRight w:val="0"/>
      <w:marTop w:val="0"/>
      <w:marBottom w:val="0"/>
      <w:divBdr>
        <w:top w:val="none" w:sz="0" w:space="0" w:color="auto"/>
        <w:left w:val="none" w:sz="0" w:space="0" w:color="auto"/>
        <w:bottom w:val="none" w:sz="0" w:space="0" w:color="auto"/>
        <w:right w:val="none" w:sz="0" w:space="0" w:color="auto"/>
      </w:divBdr>
    </w:div>
    <w:div w:id="1569270875">
      <w:bodyDiv w:val="1"/>
      <w:marLeft w:val="0"/>
      <w:marRight w:val="0"/>
      <w:marTop w:val="0"/>
      <w:marBottom w:val="0"/>
      <w:divBdr>
        <w:top w:val="none" w:sz="0" w:space="0" w:color="auto"/>
        <w:left w:val="none" w:sz="0" w:space="0" w:color="auto"/>
        <w:bottom w:val="none" w:sz="0" w:space="0" w:color="auto"/>
        <w:right w:val="none" w:sz="0" w:space="0" w:color="auto"/>
      </w:divBdr>
    </w:div>
    <w:div w:id="1607495939">
      <w:bodyDiv w:val="1"/>
      <w:marLeft w:val="0"/>
      <w:marRight w:val="0"/>
      <w:marTop w:val="0"/>
      <w:marBottom w:val="0"/>
      <w:divBdr>
        <w:top w:val="none" w:sz="0" w:space="0" w:color="auto"/>
        <w:left w:val="none" w:sz="0" w:space="0" w:color="auto"/>
        <w:bottom w:val="none" w:sz="0" w:space="0" w:color="auto"/>
        <w:right w:val="none" w:sz="0" w:space="0" w:color="auto"/>
      </w:divBdr>
    </w:div>
    <w:div w:id="1632832389">
      <w:bodyDiv w:val="1"/>
      <w:marLeft w:val="0"/>
      <w:marRight w:val="0"/>
      <w:marTop w:val="0"/>
      <w:marBottom w:val="0"/>
      <w:divBdr>
        <w:top w:val="none" w:sz="0" w:space="0" w:color="auto"/>
        <w:left w:val="none" w:sz="0" w:space="0" w:color="auto"/>
        <w:bottom w:val="none" w:sz="0" w:space="0" w:color="auto"/>
        <w:right w:val="none" w:sz="0" w:space="0" w:color="auto"/>
      </w:divBdr>
    </w:div>
    <w:div w:id="1902669843">
      <w:bodyDiv w:val="1"/>
      <w:marLeft w:val="0"/>
      <w:marRight w:val="0"/>
      <w:marTop w:val="0"/>
      <w:marBottom w:val="0"/>
      <w:divBdr>
        <w:top w:val="none" w:sz="0" w:space="0" w:color="auto"/>
        <w:left w:val="none" w:sz="0" w:space="0" w:color="auto"/>
        <w:bottom w:val="none" w:sz="0" w:space="0" w:color="auto"/>
        <w:right w:val="none" w:sz="0" w:space="0" w:color="auto"/>
      </w:divBdr>
    </w:div>
    <w:div w:id="21135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26" Type="http://schemas.openxmlformats.org/officeDocument/2006/relationships/hyperlink" Target="https://engage.swa.gov.au/cris-managing-the-risks-of-respirable-crystalline-silica" TargetMode="External"/><Relationship Id="rId39" Type="http://schemas.openxmlformats.org/officeDocument/2006/relationships/footer" Target="footer7.xml"/><Relationship Id="rId3" Type="http://schemas.openxmlformats.org/officeDocument/2006/relationships/settings" Target="settings.xml"/><Relationship Id="rId34" Type="http://schemas.openxmlformats.org/officeDocument/2006/relationships/footer" Target="footer5.xml"/><Relationship Id="rId42"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6.svg"/><Relationship Id="rId33" Type="http://schemas.openxmlformats.org/officeDocument/2006/relationships/footer" Target="footer4.xml"/><Relationship Id="rId38"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file:///K:/National%20Strat%20Comms/Publications/2017%20Design%20Files/2017%20SWA%20Branding%20update%20170111/1.%20Working%20Files/1st%20Round%20Files/copyrightrequests@swa.gov.au" TargetMode="External"/><Relationship Id="rId29" Type="http://schemas.openxmlformats.org/officeDocument/2006/relationships/hyperlink" Target="mailto:occhygiene@swa.gov.au" TargetMode="Externa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creativecommons.org/licenses/by/4.0" TargetMode="External"/><Relationship Id="rId23" Type="http://schemas.openxmlformats.org/officeDocument/2006/relationships/image" Target="media/image4.svg"/><Relationship Id="rId28" Type="http://schemas.openxmlformats.org/officeDocument/2006/relationships/hyperlink" Target="https://engage.swa.gov.au/privacy" TargetMode="External"/><Relationship Id="rId36" Type="http://schemas.openxmlformats.org/officeDocument/2006/relationships/footer" Target="footer6.xml"/><Relationship Id="rId10" Type="http://schemas.openxmlformats.org/officeDocument/2006/relationships/footer" Target="footer1.xm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7" Type="http://schemas.openxmlformats.org/officeDocument/2006/relationships/hyperlink" Target="https://www.safeworkaustralia.gov.au/privacy" TargetMode="External"/><Relationship Id="rId30" Type="http://schemas.openxmlformats.org/officeDocument/2006/relationships/chart" Target="charts/chart1.xml"/><Relationship Id="rId35" Type="http://schemas.openxmlformats.org/officeDocument/2006/relationships/header" Target="header6.xml"/><Relationship Id="rId43"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H3657\OneDrive%20-%20Corporate%20Network\Desktop\Silicosis%20accepted%20claims%20by%20financial%20year%20excl%20Victoria%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Sheet2!$A$2</c:f>
              <c:strCache>
                <c:ptCount val="1"/>
                <c:pt idx="0">
                  <c:v>ACT Private</c:v>
                </c:pt>
              </c:strCache>
            </c:strRef>
          </c:tx>
          <c:spPr>
            <a:solidFill>
              <a:schemeClr val="accent1"/>
            </a:solidFill>
            <a:ln>
              <a:noFill/>
            </a:ln>
            <a:effectLst/>
          </c:spPr>
          <c:invertIfNegative val="0"/>
          <c:cat>
            <c:strRef>
              <c:f>Sheet2!$B$1:$K$1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Sheet2!$B$2:$K$2</c:f>
              <c:numCache>
                <c:formatCode>General</c:formatCode>
                <c:ptCount val="10"/>
                <c:pt idx="0">
                  <c:v>1</c:v>
                </c:pt>
                <c:pt idx="9">
                  <c:v>1</c:v>
                </c:pt>
              </c:numCache>
            </c:numRef>
          </c:val>
          <c:extLst>
            <c:ext xmlns:c16="http://schemas.microsoft.com/office/drawing/2014/chart" uri="{C3380CC4-5D6E-409C-BE32-E72D297353CC}">
              <c16:uniqueId val="{00000000-3820-477E-BCBC-1732427F9F2A}"/>
            </c:ext>
          </c:extLst>
        </c:ser>
        <c:ser>
          <c:idx val="1"/>
          <c:order val="1"/>
          <c:tx>
            <c:strRef>
              <c:f>Sheet2!$A$3</c:f>
              <c:strCache>
                <c:ptCount val="1"/>
                <c:pt idx="0">
                  <c:v>QLD</c:v>
                </c:pt>
              </c:strCache>
            </c:strRef>
          </c:tx>
          <c:spPr>
            <a:solidFill>
              <a:schemeClr val="accent2"/>
            </a:solidFill>
            <a:ln>
              <a:noFill/>
            </a:ln>
            <a:effectLst/>
          </c:spPr>
          <c:invertIfNegative val="0"/>
          <c:cat>
            <c:strRef>
              <c:f>Sheet2!$B$1:$K$1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Sheet2!$B$3:$K$3</c:f>
              <c:numCache>
                <c:formatCode>General</c:formatCode>
                <c:ptCount val="10"/>
                <c:pt idx="1">
                  <c:v>1</c:v>
                </c:pt>
                <c:pt idx="4">
                  <c:v>1</c:v>
                </c:pt>
                <c:pt idx="5">
                  <c:v>3</c:v>
                </c:pt>
                <c:pt idx="6">
                  <c:v>2</c:v>
                </c:pt>
                <c:pt idx="7">
                  <c:v>6</c:v>
                </c:pt>
                <c:pt idx="8">
                  <c:v>127</c:v>
                </c:pt>
                <c:pt idx="9">
                  <c:v>32</c:v>
                </c:pt>
              </c:numCache>
            </c:numRef>
          </c:val>
          <c:extLst>
            <c:ext xmlns:c16="http://schemas.microsoft.com/office/drawing/2014/chart" uri="{C3380CC4-5D6E-409C-BE32-E72D297353CC}">
              <c16:uniqueId val="{00000001-3820-477E-BCBC-1732427F9F2A}"/>
            </c:ext>
          </c:extLst>
        </c:ser>
        <c:ser>
          <c:idx val="2"/>
          <c:order val="2"/>
          <c:tx>
            <c:strRef>
              <c:f>Sheet2!$A$4</c:f>
              <c:strCache>
                <c:ptCount val="1"/>
                <c:pt idx="0">
                  <c:v>SA</c:v>
                </c:pt>
              </c:strCache>
            </c:strRef>
          </c:tx>
          <c:spPr>
            <a:solidFill>
              <a:schemeClr val="accent3"/>
            </a:solidFill>
            <a:ln>
              <a:noFill/>
            </a:ln>
            <a:effectLst/>
          </c:spPr>
          <c:invertIfNegative val="0"/>
          <c:cat>
            <c:strRef>
              <c:f>Sheet2!$B$1:$K$1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Sheet2!$B$4:$K$4</c:f>
              <c:numCache>
                <c:formatCode>General</c:formatCode>
                <c:ptCount val="10"/>
                <c:pt idx="7">
                  <c:v>1</c:v>
                </c:pt>
                <c:pt idx="8">
                  <c:v>4</c:v>
                </c:pt>
              </c:numCache>
            </c:numRef>
          </c:val>
          <c:extLst>
            <c:ext xmlns:c16="http://schemas.microsoft.com/office/drawing/2014/chart" uri="{C3380CC4-5D6E-409C-BE32-E72D297353CC}">
              <c16:uniqueId val="{00000002-3820-477E-BCBC-1732427F9F2A}"/>
            </c:ext>
          </c:extLst>
        </c:ser>
        <c:ser>
          <c:idx val="3"/>
          <c:order val="3"/>
          <c:tx>
            <c:strRef>
              <c:f>Sheet2!$A$5</c:f>
              <c:strCache>
                <c:ptCount val="1"/>
                <c:pt idx="0">
                  <c:v>TAS</c:v>
                </c:pt>
              </c:strCache>
            </c:strRef>
          </c:tx>
          <c:spPr>
            <a:solidFill>
              <a:schemeClr val="accent4"/>
            </a:solidFill>
            <a:ln>
              <a:noFill/>
            </a:ln>
            <a:effectLst/>
          </c:spPr>
          <c:invertIfNegative val="0"/>
          <c:cat>
            <c:strRef>
              <c:f>Sheet2!$B$1:$K$1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Sheet2!$B$5:$K$5</c:f>
              <c:numCache>
                <c:formatCode>General</c:formatCode>
                <c:ptCount val="10"/>
                <c:pt idx="8">
                  <c:v>3</c:v>
                </c:pt>
                <c:pt idx="9">
                  <c:v>2</c:v>
                </c:pt>
              </c:numCache>
            </c:numRef>
          </c:val>
          <c:extLst>
            <c:ext xmlns:c16="http://schemas.microsoft.com/office/drawing/2014/chart" uri="{C3380CC4-5D6E-409C-BE32-E72D297353CC}">
              <c16:uniqueId val="{00000003-3820-477E-BCBC-1732427F9F2A}"/>
            </c:ext>
          </c:extLst>
        </c:ser>
        <c:ser>
          <c:idx val="4"/>
          <c:order val="4"/>
          <c:tx>
            <c:strRef>
              <c:f>Sheet2!$A$6</c:f>
              <c:strCache>
                <c:ptCount val="1"/>
                <c:pt idx="0">
                  <c:v>WA</c:v>
                </c:pt>
              </c:strCache>
            </c:strRef>
          </c:tx>
          <c:spPr>
            <a:solidFill>
              <a:schemeClr val="accent5"/>
            </a:solidFill>
            <a:ln>
              <a:noFill/>
            </a:ln>
            <a:effectLst/>
          </c:spPr>
          <c:invertIfNegative val="0"/>
          <c:cat>
            <c:strRef>
              <c:f>Sheet2!$B$1:$K$1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Sheet2!$B$6:$K$6</c:f>
              <c:numCache>
                <c:formatCode>General</c:formatCode>
                <c:ptCount val="10"/>
                <c:pt idx="4">
                  <c:v>1</c:v>
                </c:pt>
                <c:pt idx="8">
                  <c:v>3</c:v>
                </c:pt>
                <c:pt idx="9">
                  <c:v>1</c:v>
                </c:pt>
              </c:numCache>
            </c:numRef>
          </c:val>
          <c:extLst>
            <c:ext xmlns:c16="http://schemas.microsoft.com/office/drawing/2014/chart" uri="{C3380CC4-5D6E-409C-BE32-E72D297353CC}">
              <c16:uniqueId val="{00000004-3820-477E-BCBC-1732427F9F2A}"/>
            </c:ext>
          </c:extLst>
        </c:ser>
        <c:ser>
          <c:idx val="5"/>
          <c:order val="5"/>
          <c:tx>
            <c:strRef>
              <c:f>Sheet2!$A$7</c:f>
              <c:strCache>
                <c:ptCount val="1"/>
                <c:pt idx="0">
                  <c:v>NSW</c:v>
                </c:pt>
              </c:strCache>
            </c:strRef>
          </c:tx>
          <c:spPr>
            <a:solidFill>
              <a:schemeClr val="accent6"/>
            </a:solidFill>
            <a:ln>
              <a:noFill/>
            </a:ln>
            <a:effectLst/>
          </c:spPr>
          <c:invertIfNegative val="0"/>
          <c:cat>
            <c:strRef>
              <c:f>Sheet2!$B$1:$K$1</c:f>
              <c:strCache>
                <c:ptCount val="10"/>
                <c:pt idx="0">
                  <c:v>2010-11</c:v>
                </c:pt>
                <c:pt idx="1">
                  <c:v>2011-12</c:v>
                </c:pt>
                <c:pt idx="2">
                  <c:v>2012-13</c:v>
                </c:pt>
                <c:pt idx="3">
                  <c:v>2013-14</c:v>
                </c:pt>
                <c:pt idx="4">
                  <c:v>2014-15</c:v>
                </c:pt>
                <c:pt idx="5">
                  <c:v>2015-16</c:v>
                </c:pt>
                <c:pt idx="6">
                  <c:v>2016-17</c:v>
                </c:pt>
                <c:pt idx="7">
                  <c:v>2017-18</c:v>
                </c:pt>
                <c:pt idx="8">
                  <c:v>2018-19</c:v>
                </c:pt>
                <c:pt idx="9">
                  <c:v>2019-20</c:v>
                </c:pt>
              </c:strCache>
            </c:strRef>
          </c:cat>
          <c:val>
            <c:numRef>
              <c:f>Sheet2!$B$7:$K$7</c:f>
              <c:numCache>
                <c:formatCode>General</c:formatCode>
                <c:ptCount val="10"/>
                <c:pt idx="0">
                  <c:v>10</c:v>
                </c:pt>
                <c:pt idx="1">
                  <c:v>18</c:v>
                </c:pt>
                <c:pt idx="2">
                  <c:v>13</c:v>
                </c:pt>
                <c:pt idx="3">
                  <c:v>16</c:v>
                </c:pt>
                <c:pt idx="4">
                  <c:v>13</c:v>
                </c:pt>
                <c:pt idx="5">
                  <c:v>13</c:v>
                </c:pt>
                <c:pt idx="6">
                  <c:v>7</c:v>
                </c:pt>
                <c:pt idx="7">
                  <c:v>8</c:v>
                </c:pt>
                <c:pt idx="8">
                  <c:v>38</c:v>
                </c:pt>
                <c:pt idx="9">
                  <c:v>87</c:v>
                </c:pt>
              </c:numCache>
            </c:numRef>
          </c:val>
          <c:extLst>
            <c:ext xmlns:c16="http://schemas.microsoft.com/office/drawing/2014/chart" uri="{C3380CC4-5D6E-409C-BE32-E72D297353CC}">
              <c16:uniqueId val="{00000005-3820-477E-BCBC-1732427F9F2A}"/>
            </c:ext>
          </c:extLst>
        </c:ser>
        <c:dLbls>
          <c:showLegendKey val="0"/>
          <c:showVal val="0"/>
          <c:showCatName val="0"/>
          <c:showSerName val="0"/>
          <c:showPercent val="0"/>
          <c:showBubbleSize val="0"/>
        </c:dLbls>
        <c:gapWidth val="55"/>
        <c:overlap val="100"/>
        <c:axId val="1286442623"/>
        <c:axId val="1286448031"/>
      </c:barChart>
      <c:catAx>
        <c:axId val="1286442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448031"/>
        <c:crosses val="autoZero"/>
        <c:auto val="1"/>
        <c:lblAlgn val="ctr"/>
        <c:lblOffset val="100"/>
        <c:noMultiLvlLbl val="0"/>
      </c:catAx>
      <c:valAx>
        <c:axId val="128644803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claims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644262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9620ADD92642389C5D4B3C4F0DC506"/>
        <w:category>
          <w:name w:val="General"/>
          <w:gallery w:val="placeholder"/>
        </w:category>
        <w:types>
          <w:type w:val="bbPlcHdr"/>
        </w:types>
        <w:behaviors>
          <w:behavior w:val="content"/>
        </w:behaviors>
        <w:guid w:val="{0E69F682-416D-4040-98E0-4FB4AA2416D9}"/>
      </w:docPartPr>
      <w:docPartBody>
        <w:p w:rsidR="00E920D8" w:rsidRDefault="00811F5B">
          <w:pPr>
            <w:pStyle w:val="219620ADD92642389C5D4B3C4F0DC506"/>
          </w:pPr>
          <w:r w:rsidRPr="007F2558">
            <w:rPr>
              <w:bCs/>
              <w:color w:val="5B9BD5" w:themeColor="accent1"/>
              <w:sz w:val="16"/>
              <w:szCs w:val="16"/>
            </w:rPr>
            <w:t>[Document Heading]</w:t>
          </w:r>
        </w:p>
      </w:docPartBody>
    </w:docPart>
    <w:docPart>
      <w:docPartPr>
        <w:name w:val="4A1B4207812C47D4A115D0D13B555E30"/>
        <w:category>
          <w:name w:val="General"/>
          <w:gallery w:val="placeholder"/>
        </w:category>
        <w:types>
          <w:type w:val="bbPlcHdr"/>
        </w:types>
        <w:behaviors>
          <w:behavior w:val="content"/>
        </w:behaviors>
        <w:guid w:val="{2488B15D-E625-4A74-9AB9-0E813D3AB356}"/>
      </w:docPartPr>
      <w:docPartBody>
        <w:p w:rsidR="00E920D8" w:rsidRDefault="00811F5B">
          <w:pPr>
            <w:pStyle w:val="4A1B4207812C47D4A115D0D13B555E30"/>
          </w:pPr>
          <w:r w:rsidRPr="005A0DE7">
            <w:rPr>
              <w:color w:val="5B9BD5" w:themeColor="accent1"/>
              <w:sz w:val="16"/>
              <w:szCs w:val="16"/>
            </w:rPr>
            <w:t>[Section Name]</w:t>
          </w:r>
        </w:p>
      </w:docPartBody>
    </w:docPart>
    <w:docPart>
      <w:docPartPr>
        <w:name w:val="8FA75C6A6517453A8BB1CBCC6A673432"/>
        <w:category>
          <w:name w:val="General"/>
          <w:gallery w:val="placeholder"/>
        </w:category>
        <w:types>
          <w:type w:val="bbPlcHdr"/>
        </w:types>
        <w:behaviors>
          <w:behavior w:val="content"/>
        </w:behaviors>
        <w:guid w:val="{5DD9C059-2350-45F8-AC21-21FE86D2F6E9}"/>
      </w:docPartPr>
      <w:docPartBody>
        <w:p w:rsidR="00E920D8" w:rsidRDefault="00811F5B">
          <w:pPr>
            <w:pStyle w:val="8FA75C6A6517453A8BB1CBCC6A673432"/>
          </w:pPr>
          <w:r w:rsidRPr="005A0DE7">
            <w:rPr>
              <w:bCs/>
              <w:color w:val="5B9BD5" w:themeColor="accent1"/>
              <w:sz w:val="16"/>
              <w:szCs w:val="16"/>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EYInterstate Light">
    <w:altName w:val="Franklin Gothic Medium Cond"/>
    <w:charset w:val="00"/>
    <w:family w:val="auto"/>
    <w:pitch w:val="variable"/>
    <w:sig w:usb0="A00002AF" w:usb1="5000206A"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5B"/>
    <w:rsid w:val="00030507"/>
    <w:rsid w:val="000706F5"/>
    <w:rsid w:val="000A3586"/>
    <w:rsid w:val="000C20F3"/>
    <w:rsid w:val="00103E13"/>
    <w:rsid w:val="00127140"/>
    <w:rsid w:val="00133FCF"/>
    <w:rsid w:val="001444A7"/>
    <w:rsid w:val="001510C4"/>
    <w:rsid w:val="00162C77"/>
    <w:rsid w:val="00166EC0"/>
    <w:rsid w:val="001714A1"/>
    <w:rsid w:val="001B71AF"/>
    <w:rsid w:val="0022348C"/>
    <w:rsid w:val="0028120D"/>
    <w:rsid w:val="00286340"/>
    <w:rsid w:val="002A5FA2"/>
    <w:rsid w:val="00301356"/>
    <w:rsid w:val="00352923"/>
    <w:rsid w:val="00363D6A"/>
    <w:rsid w:val="0037303E"/>
    <w:rsid w:val="00387F92"/>
    <w:rsid w:val="003B073A"/>
    <w:rsid w:val="00414B7D"/>
    <w:rsid w:val="00443CBE"/>
    <w:rsid w:val="00452ABD"/>
    <w:rsid w:val="00465F9F"/>
    <w:rsid w:val="004E44F2"/>
    <w:rsid w:val="005A0C2F"/>
    <w:rsid w:val="005C235E"/>
    <w:rsid w:val="005D6863"/>
    <w:rsid w:val="0060017F"/>
    <w:rsid w:val="00611000"/>
    <w:rsid w:val="00665635"/>
    <w:rsid w:val="00693307"/>
    <w:rsid w:val="006A1BC7"/>
    <w:rsid w:val="006B5ADE"/>
    <w:rsid w:val="00714591"/>
    <w:rsid w:val="007259CD"/>
    <w:rsid w:val="00727A89"/>
    <w:rsid w:val="00751A86"/>
    <w:rsid w:val="0080361E"/>
    <w:rsid w:val="00811F5B"/>
    <w:rsid w:val="0082661A"/>
    <w:rsid w:val="00843897"/>
    <w:rsid w:val="008A3EAF"/>
    <w:rsid w:val="008C34CF"/>
    <w:rsid w:val="008E50B9"/>
    <w:rsid w:val="008F3FB9"/>
    <w:rsid w:val="00903452"/>
    <w:rsid w:val="00927BC8"/>
    <w:rsid w:val="0093063B"/>
    <w:rsid w:val="009442DC"/>
    <w:rsid w:val="00946D09"/>
    <w:rsid w:val="009765C5"/>
    <w:rsid w:val="009C1DD3"/>
    <w:rsid w:val="009E55C6"/>
    <w:rsid w:val="009F63B2"/>
    <w:rsid w:val="00A54BC3"/>
    <w:rsid w:val="00A72C0E"/>
    <w:rsid w:val="00B176BF"/>
    <w:rsid w:val="00B241E7"/>
    <w:rsid w:val="00B30513"/>
    <w:rsid w:val="00B33E99"/>
    <w:rsid w:val="00B521C3"/>
    <w:rsid w:val="00B6255D"/>
    <w:rsid w:val="00B64B57"/>
    <w:rsid w:val="00B86EBD"/>
    <w:rsid w:val="00BD6E12"/>
    <w:rsid w:val="00BF1EE0"/>
    <w:rsid w:val="00BF5FBF"/>
    <w:rsid w:val="00C11741"/>
    <w:rsid w:val="00C277A3"/>
    <w:rsid w:val="00CB2A13"/>
    <w:rsid w:val="00CF35F9"/>
    <w:rsid w:val="00CF6699"/>
    <w:rsid w:val="00D442ED"/>
    <w:rsid w:val="00D5486C"/>
    <w:rsid w:val="00D54E9D"/>
    <w:rsid w:val="00D600DC"/>
    <w:rsid w:val="00DB66F6"/>
    <w:rsid w:val="00DD0BCB"/>
    <w:rsid w:val="00DD417F"/>
    <w:rsid w:val="00DE12D9"/>
    <w:rsid w:val="00E1159B"/>
    <w:rsid w:val="00E514E8"/>
    <w:rsid w:val="00E920D8"/>
    <w:rsid w:val="00EA5B9C"/>
    <w:rsid w:val="00ED7CA4"/>
    <w:rsid w:val="00EF5857"/>
    <w:rsid w:val="00F072A9"/>
    <w:rsid w:val="00F5140B"/>
    <w:rsid w:val="00F7121B"/>
    <w:rsid w:val="00FA76E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9620ADD92642389C5D4B3C4F0DC506">
    <w:name w:val="219620ADD92642389C5D4B3C4F0DC506"/>
  </w:style>
  <w:style w:type="paragraph" w:customStyle="1" w:styleId="4A1B4207812C47D4A115D0D13B555E30">
    <w:name w:val="4A1B4207812C47D4A115D0D13B555E30"/>
  </w:style>
  <w:style w:type="paragraph" w:customStyle="1" w:styleId="8FA75C6A6517453A8BB1CBCC6A673432">
    <w:name w:val="8FA75C6A6517453A8BB1CBCC6A673432"/>
  </w:style>
  <w:style w:type="character" w:styleId="PlaceholderText">
    <w:name w:val="Placeholder Text"/>
    <w:basedOn w:val="DefaultParagraphFont"/>
    <w:uiPriority w:val="99"/>
    <w:semiHidden/>
    <w:rsid w:val="000305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PMC Corp Word">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015F8B"/>
      </a:hlink>
      <a:folHlink>
        <a:srgbClr val="015F8B"/>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49967</Words>
  <Characters>284818</Characters>
  <Application>Microsoft Office Word</Application>
  <DocSecurity>0</DocSecurity>
  <Lines>2373</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334117</CharactersWithSpaces>
  <SharedDoc>false</SharedDoc>
  <HLinks>
    <vt:vector size="264" baseType="variant">
      <vt:variant>
        <vt:i4>4653143</vt:i4>
      </vt:variant>
      <vt:variant>
        <vt:i4>258</vt:i4>
      </vt:variant>
      <vt:variant>
        <vt:i4>0</vt:i4>
      </vt:variant>
      <vt:variant>
        <vt:i4>5</vt:i4>
      </vt:variant>
      <vt:variant>
        <vt:lpwstr>https://www1.health.gov.au/internet/main/publishing.nsf/Content/ohp-dust-nat-guide-gp.htm</vt:lpwstr>
      </vt:variant>
      <vt:variant>
        <vt:lpwstr/>
      </vt:variant>
      <vt:variant>
        <vt:i4>3997805</vt:i4>
      </vt:variant>
      <vt:variant>
        <vt:i4>255</vt:i4>
      </vt:variant>
      <vt:variant>
        <vt:i4>0</vt:i4>
      </vt:variant>
      <vt:variant>
        <vt:i4>5</vt:i4>
      </vt:variant>
      <vt:variant>
        <vt:lpwstr>https://www.safeworkaustralia.gov.au/clearlungs</vt:lpwstr>
      </vt:variant>
      <vt:variant>
        <vt:lpwstr/>
      </vt:variant>
      <vt:variant>
        <vt:i4>8192001</vt:i4>
      </vt:variant>
      <vt:variant>
        <vt:i4>252</vt:i4>
      </vt:variant>
      <vt:variant>
        <vt:i4>0</vt:i4>
      </vt:variant>
      <vt:variant>
        <vt:i4>5</vt:i4>
      </vt:variant>
      <vt:variant>
        <vt:lpwstr>https://www.worksafe.qld.gov.au/__data/assets/pdf_file/0013/32413/managing-respirable-crystalline-silica-dust-exposure-in-the-stone-benchtop-industry-code-of-practice-2019.pdf</vt:lpwstr>
      </vt:variant>
      <vt:variant>
        <vt:lpwstr/>
      </vt:variant>
      <vt:variant>
        <vt:i4>4522051</vt:i4>
      </vt:variant>
      <vt:variant>
        <vt:i4>249</vt:i4>
      </vt:variant>
      <vt:variant>
        <vt:i4>0</vt:i4>
      </vt:variant>
      <vt:variant>
        <vt:i4>5</vt:i4>
      </vt:variant>
      <vt:variant>
        <vt:lpwstr>https://www.safeworkaustralia.gov.au/doc/model-code-practice-managing-risks-respirable-crystalline-silica-engineered-stone-workplace</vt:lpwstr>
      </vt:variant>
      <vt:variant>
        <vt:lpwstr/>
      </vt:variant>
      <vt:variant>
        <vt:i4>7471218</vt:i4>
      </vt:variant>
      <vt:variant>
        <vt:i4>198</vt:i4>
      </vt:variant>
      <vt:variant>
        <vt:i4>0</vt:i4>
      </vt:variant>
      <vt:variant>
        <vt:i4>5</vt:i4>
      </vt:variant>
      <vt:variant>
        <vt:lpwstr>Working with silica and silica containing products</vt:lpwstr>
      </vt:variant>
      <vt:variant>
        <vt:lpwstr/>
      </vt:variant>
      <vt:variant>
        <vt:i4>655425</vt:i4>
      </vt:variant>
      <vt:variant>
        <vt:i4>189</vt:i4>
      </vt:variant>
      <vt:variant>
        <vt:i4>0</vt:i4>
      </vt:variant>
      <vt:variant>
        <vt:i4>5</vt:i4>
      </vt:variant>
      <vt:variant>
        <vt:lpwstr>https://www.safeworkaustralia.gov.au/sites/default/files/2021-11/Model Code of Practice - Managing the risks of respirable crystalline silica from engineered stone in the workplace.pdf</vt:lpwstr>
      </vt:variant>
      <vt:variant>
        <vt:lpwstr/>
      </vt:variant>
      <vt:variant>
        <vt:i4>983056</vt:i4>
      </vt:variant>
      <vt:variant>
        <vt:i4>174</vt:i4>
      </vt:variant>
      <vt:variant>
        <vt:i4>0</vt:i4>
      </vt:variant>
      <vt:variant>
        <vt:i4>5</vt:i4>
      </vt:variant>
      <vt:variant>
        <vt:lpwstr>https://www.safeworkaustralia.gov.au/doc/model-code-practice-work-health-and-safety-consultation-cooperation-and-coordination</vt:lpwstr>
      </vt:variant>
      <vt:variant>
        <vt:lpwstr/>
      </vt:variant>
      <vt:variant>
        <vt:i4>4522051</vt:i4>
      </vt:variant>
      <vt:variant>
        <vt:i4>171</vt:i4>
      </vt:variant>
      <vt:variant>
        <vt:i4>0</vt:i4>
      </vt:variant>
      <vt:variant>
        <vt:i4>5</vt:i4>
      </vt:variant>
      <vt:variant>
        <vt:lpwstr>https://www.safeworkaustralia.gov.au/doc/model-code-practice-managing-risks-respirable-crystalline-silica-engineered-stone-workplace</vt:lpwstr>
      </vt:variant>
      <vt:variant>
        <vt:lpwstr/>
      </vt:variant>
      <vt:variant>
        <vt:i4>1441869</vt:i4>
      </vt:variant>
      <vt:variant>
        <vt:i4>168</vt:i4>
      </vt:variant>
      <vt:variant>
        <vt:i4>0</vt:i4>
      </vt:variant>
      <vt:variant>
        <vt:i4>5</vt:i4>
      </vt:variant>
      <vt:variant>
        <vt:lpwstr>https://www.safeworkaustralia.gov.au/doc/model-code-practice-managing-risks-hazardous-chemicals-workplace</vt:lpwstr>
      </vt:variant>
      <vt:variant>
        <vt:lpwstr/>
      </vt:variant>
      <vt:variant>
        <vt:i4>4653136</vt:i4>
      </vt:variant>
      <vt:variant>
        <vt:i4>165</vt:i4>
      </vt:variant>
      <vt:variant>
        <vt:i4>0</vt:i4>
      </vt:variant>
      <vt:variant>
        <vt:i4>5</vt:i4>
      </vt:variant>
      <vt:variant>
        <vt:lpwstr>https://www.safeworkaustralia.gov.au/doc/model-codes-practice/model-code-practice-how-manage-work-health-and-safety-risks</vt:lpwstr>
      </vt:variant>
      <vt:variant>
        <vt:lpwstr/>
      </vt:variant>
      <vt:variant>
        <vt:i4>196689</vt:i4>
      </vt:variant>
      <vt:variant>
        <vt:i4>162</vt:i4>
      </vt:variant>
      <vt:variant>
        <vt:i4>0</vt:i4>
      </vt:variant>
      <vt:variant>
        <vt:i4>5</vt:i4>
      </vt:variant>
      <vt:variant>
        <vt:lpwstr>https://www.safeworkaustralia.gov.au/doc/model-codes-practice/model-code-practice-demolition-work</vt:lpwstr>
      </vt:variant>
      <vt:variant>
        <vt:lpwstr/>
      </vt:variant>
      <vt:variant>
        <vt:i4>7143480</vt:i4>
      </vt:variant>
      <vt:variant>
        <vt:i4>159</vt:i4>
      </vt:variant>
      <vt:variant>
        <vt:i4>0</vt:i4>
      </vt:variant>
      <vt:variant>
        <vt:i4>5</vt:i4>
      </vt:variant>
      <vt:variant>
        <vt:lpwstr>https://www.safeworkaustralia.gov.au/doc/model-codes-practice/model-code-practice-construction-work</vt:lpwstr>
      </vt:variant>
      <vt:variant>
        <vt:lpwstr/>
      </vt:variant>
      <vt:variant>
        <vt:i4>2949173</vt:i4>
      </vt:variant>
      <vt:variant>
        <vt:i4>156</vt:i4>
      </vt:variant>
      <vt:variant>
        <vt:i4>0</vt:i4>
      </vt:variant>
      <vt:variant>
        <vt:i4>5</vt:i4>
      </vt:variant>
      <vt:variant>
        <vt:lpwstr>https://obpr.pmc.gov.au/resources/guidance-impact-analysis/regulatory-impact-analysis-guide-ministers-meetings-and-national</vt:lpwstr>
      </vt:variant>
      <vt:variant>
        <vt:lpwstr/>
      </vt:variant>
      <vt:variant>
        <vt:i4>1441848</vt:i4>
      </vt:variant>
      <vt:variant>
        <vt:i4>146</vt:i4>
      </vt:variant>
      <vt:variant>
        <vt:i4>0</vt:i4>
      </vt:variant>
      <vt:variant>
        <vt:i4>5</vt:i4>
      </vt:variant>
      <vt:variant>
        <vt:lpwstr/>
      </vt:variant>
      <vt:variant>
        <vt:lpwstr>_Toc99696716</vt:lpwstr>
      </vt:variant>
      <vt:variant>
        <vt:i4>1376312</vt:i4>
      </vt:variant>
      <vt:variant>
        <vt:i4>140</vt:i4>
      </vt:variant>
      <vt:variant>
        <vt:i4>0</vt:i4>
      </vt:variant>
      <vt:variant>
        <vt:i4>5</vt:i4>
      </vt:variant>
      <vt:variant>
        <vt:lpwstr/>
      </vt:variant>
      <vt:variant>
        <vt:lpwstr>_Toc99696715</vt:lpwstr>
      </vt:variant>
      <vt:variant>
        <vt:i4>1310776</vt:i4>
      </vt:variant>
      <vt:variant>
        <vt:i4>134</vt:i4>
      </vt:variant>
      <vt:variant>
        <vt:i4>0</vt:i4>
      </vt:variant>
      <vt:variant>
        <vt:i4>5</vt:i4>
      </vt:variant>
      <vt:variant>
        <vt:lpwstr/>
      </vt:variant>
      <vt:variant>
        <vt:lpwstr>_Toc99696714</vt:lpwstr>
      </vt:variant>
      <vt:variant>
        <vt:i4>1245240</vt:i4>
      </vt:variant>
      <vt:variant>
        <vt:i4>128</vt:i4>
      </vt:variant>
      <vt:variant>
        <vt:i4>0</vt:i4>
      </vt:variant>
      <vt:variant>
        <vt:i4>5</vt:i4>
      </vt:variant>
      <vt:variant>
        <vt:lpwstr/>
      </vt:variant>
      <vt:variant>
        <vt:lpwstr>_Toc99696713</vt:lpwstr>
      </vt:variant>
      <vt:variant>
        <vt:i4>1179704</vt:i4>
      </vt:variant>
      <vt:variant>
        <vt:i4>122</vt:i4>
      </vt:variant>
      <vt:variant>
        <vt:i4>0</vt:i4>
      </vt:variant>
      <vt:variant>
        <vt:i4>5</vt:i4>
      </vt:variant>
      <vt:variant>
        <vt:lpwstr/>
      </vt:variant>
      <vt:variant>
        <vt:lpwstr>_Toc99696712</vt:lpwstr>
      </vt:variant>
      <vt:variant>
        <vt:i4>1114168</vt:i4>
      </vt:variant>
      <vt:variant>
        <vt:i4>116</vt:i4>
      </vt:variant>
      <vt:variant>
        <vt:i4>0</vt:i4>
      </vt:variant>
      <vt:variant>
        <vt:i4>5</vt:i4>
      </vt:variant>
      <vt:variant>
        <vt:lpwstr/>
      </vt:variant>
      <vt:variant>
        <vt:lpwstr>_Toc99696711</vt:lpwstr>
      </vt:variant>
      <vt:variant>
        <vt:i4>1048632</vt:i4>
      </vt:variant>
      <vt:variant>
        <vt:i4>110</vt:i4>
      </vt:variant>
      <vt:variant>
        <vt:i4>0</vt:i4>
      </vt:variant>
      <vt:variant>
        <vt:i4>5</vt:i4>
      </vt:variant>
      <vt:variant>
        <vt:lpwstr/>
      </vt:variant>
      <vt:variant>
        <vt:lpwstr>_Toc99696710</vt:lpwstr>
      </vt:variant>
      <vt:variant>
        <vt:i4>1638457</vt:i4>
      </vt:variant>
      <vt:variant>
        <vt:i4>104</vt:i4>
      </vt:variant>
      <vt:variant>
        <vt:i4>0</vt:i4>
      </vt:variant>
      <vt:variant>
        <vt:i4>5</vt:i4>
      </vt:variant>
      <vt:variant>
        <vt:lpwstr/>
      </vt:variant>
      <vt:variant>
        <vt:lpwstr>_Toc99696709</vt:lpwstr>
      </vt:variant>
      <vt:variant>
        <vt:i4>1572921</vt:i4>
      </vt:variant>
      <vt:variant>
        <vt:i4>98</vt:i4>
      </vt:variant>
      <vt:variant>
        <vt:i4>0</vt:i4>
      </vt:variant>
      <vt:variant>
        <vt:i4>5</vt:i4>
      </vt:variant>
      <vt:variant>
        <vt:lpwstr/>
      </vt:variant>
      <vt:variant>
        <vt:lpwstr>_Toc99696708</vt:lpwstr>
      </vt:variant>
      <vt:variant>
        <vt:i4>1507385</vt:i4>
      </vt:variant>
      <vt:variant>
        <vt:i4>92</vt:i4>
      </vt:variant>
      <vt:variant>
        <vt:i4>0</vt:i4>
      </vt:variant>
      <vt:variant>
        <vt:i4>5</vt:i4>
      </vt:variant>
      <vt:variant>
        <vt:lpwstr/>
      </vt:variant>
      <vt:variant>
        <vt:lpwstr>_Toc99696707</vt:lpwstr>
      </vt:variant>
      <vt:variant>
        <vt:i4>1441849</vt:i4>
      </vt:variant>
      <vt:variant>
        <vt:i4>86</vt:i4>
      </vt:variant>
      <vt:variant>
        <vt:i4>0</vt:i4>
      </vt:variant>
      <vt:variant>
        <vt:i4>5</vt:i4>
      </vt:variant>
      <vt:variant>
        <vt:lpwstr/>
      </vt:variant>
      <vt:variant>
        <vt:lpwstr>_Toc99696706</vt:lpwstr>
      </vt:variant>
      <vt:variant>
        <vt:i4>1376313</vt:i4>
      </vt:variant>
      <vt:variant>
        <vt:i4>80</vt:i4>
      </vt:variant>
      <vt:variant>
        <vt:i4>0</vt:i4>
      </vt:variant>
      <vt:variant>
        <vt:i4>5</vt:i4>
      </vt:variant>
      <vt:variant>
        <vt:lpwstr/>
      </vt:variant>
      <vt:variant>
        <vt:lpwstr>_Toc99696705</vt:lpwstr>
      </vt:variant>
      <vt:variant>
        <vt:i4>1310777</vt:i4>
      </vt:variant>
      <vt:variant>
        <vt:i4>74</vt:i4>
      </vt:variant>
      <vt:variant>
        <vt:i4>0</vt:i4>
      </vt:variant>
      <vt:variant>
        <vt:i4>5</vt:i4>
      </vt:variant>
      <vt:variant>
        <vt:lpwstr/>
      </vt:variant>
      <vt:variant>
        <vt:lpwstr>_Toc99696704</vt:lpwstr>
      </vt:variant>
      <vt:variant>
        <vt:i4>1245241</vt:i4>
      </vt:variant>
      <vt:variant>
        <vt:i4>68</vt:i4>
      </vt:variant>
      <vt:variant>
        <vt:i4>0</vt:i4>
      </vt:variant>
      <vt:variant>
        <vt:i4>5</vt:i4>
      </vt:variant>
      <vt:variant>
        <vt:lpwstr/>
      </vt:variant>
      <vt:variant>
        <vt:lpwstr>_Toc99696703</vt:lpwstr>
      </vt:variant>
      <vt:variant>
        <vt:i4>1179705</vt:i4>
      </vt:variant>
      <vt:variant>
        <vt:i4>62</vt:i4>
      </vt:variant>
      <vt:variant>
        <vt:i4>0</vt:i4>
      </vt:variant>
      <vt:variant>
        <vt:i4>5</vt:i4>
      </vt:variant>
      <vt:variant>
        <vt:lpwstr/>
      </vt:variant>
      <vt:variant>
        <vt:lpwstr>_Toc99696702</vt:lpwstr>
      </vt:variant>
      <vt:variant>
        <vt:i4>1114169</vt:i4>
      </vt:variant>
      <vt:variant>
        <vt:i4>56</vt:i4>
      </vt:variant>
      <vt:variant>
        <vt:i4>0</vt:i4>
      </vt:variant>
      <vt:variant>
        <vt:i4>5</vt:i4>
      </vt:variant>
      <vt:variant>
        <vt:lpwstr/>
      </vt:variant>
      <vt:variant>
        <vt:lpwstr>_Toc99696701</vt:lpwstr>
      </vt:variant>
      <vt:variant>
        <vt:i4>1572912</vt:i4>
      </vt:variant>
      <vt:variant>
        <vt:i4>50</vt:i4>
      </vt:variant>
      <vt:variant>
        <vt:i4>0</vt:i4>
      </vt:variant>
      <vt:variant>
        <vt:i4>5</vt:i4>
      </vt:variant>
      <vt:variant>
        <vt:lpwstr/>
      </vt:variant>
      <vt:variant>
        <vt:lpwstr>_Toc99696699</vt:lpwstr>
      </vt:variant>
      <vt:variant>
        <vt:i4>1638448</vt:i4>
      </vt:variant>
      <vt:variant>
        <vt:i4>44</vt:i4>
      </vt:variant>
      <vt:variant>
        <vt:i4>0</vt:i4>
      </vt:variant>
      <vt:variant>
        <vt:i4>5</vt:i4>
      </vt:variant>
      <vt:variant>
        <vt:lpwstr/>
      </vt:variant>
      <vt:variant>
        <vt:lpwstr>_Toc99696698</vt:lpwstr>
      </vt:variant>
      <vt:variant>
        <vt:i4>1441840</vt:i4>
      </vt:variant>
      <vt:variant>
        <vt:i4>38</vt:i4>
      </vt:variant>
      <vt:variant>
        <vt:i4>0</vt:i4>
      </vt:variant>
      <vt:variant>
        <vt:i4>5</vt:i4>
      </vt:variant>
      <vt:variant>
        <vt:lpwstr/>
      </vt:variant>
      <vt:variant>
        <vt:lpwstr>_Toc99696697</vt:lpwstr>
      </vt:variant>
      <vt:variant>
        <vt:i4>1507376</vt:i4>
      </vt:variant>
      <vt:variant>
        <vt:i4>32</vt:i4>
      </vt:variant>
      <vt:variant>
        <vt:i4>0</vt:i4>
      </vt:variant>
      <vt:variant>
        <vt:i4>5</vt:i4>
      </vt:variant>
      <vt:variant>
        <vt:lpwstr/>
      </vt:variant>
      <vt:variant>
        <vt:lpwstr>_Toc99696696</vt:lpwstr>
      </vt:variant>
      <vt:variant>
        <vt:i4>1310768</vt:i4>
      </vt:variant>
      <vt:variant>
        <vt:i4>26</vt:i4>
      </vt:variant>
      <vt:variant>
        <vt:i4>0</vt:i4>
      </vt:variant>
      <vt:variant>
        <vt:i4>5</vt:i4>
      </vt:variant>
      <vt:variant>
        <vt:lpwstr/>
      </vt:variant>
      <vt:variant>
        <vt:lpwstr>_Toc99696695</vt:lpwstr>
      </vt:variant>
      <vt:variant>
        <vt:i4>1376304</vt:i4>
      </vt:variant>
      <vt:variant>
        <vt:i4>20</vt:i4>
      </vt:variant>
      <vt:variant>
        <vt:i4>0</vt:i4>
      </vt:variant>
      <vt:variant>
        <vt:i4>5</vt:i4>
      </vt:variant>
      <vt:variant>
        <vt:lpwstr/>
      </vt:variant>
      <vt:variant>
        <vt:lpwstr>_Toc99696694</vt:lpwstr>
      </vt:variant>
      <vt:variant>
        <vt:i4>1179696</vt:i4>
      </vt:variant>
      <vt:variant>
        <vt:i4>14</vt:i4>
      </vt:variant>
      <vt:variant>
        <vt:i4>0</vt:i4>
      </vt:variant>
      <vt:variant>
        <vt:i4>5</vt:i4>
      </vt:variant>
      <vt:variant>
        <vt:lpwstr/>
      </vt:variant>
      <vt:variant>
        <vt:lpwstr>_Toc99696693</vt:lpwstr>
      </vt:variant>
      <vt:variant>
        <vt:i4>1245232</vt:i4>
      </vt:variant>
      <vt:variant>
        <vt:i4>8</vt:i4>
      </vt:variant>
      <vt:variant>
        <vt:i4>0</vt:i4>
      </vt:variant>
      <vt:variant>
        <vt:i4>5</vt:i4>
      </vt:variant>
      <vt:variant>
        <vt:lpwstr/>
      </vt:variant>
      <vt:variant>
        <vt:lpwstr>_Toc99696692</vt:lpwstr>
      </vt:variant>
      <vt:variant>
        <vt:i4>5898324</vt:i4>
      </vt:variant>
      <vt:variant>
        <vt:i4>3</vt:i4>
      </vt:variant>
      <vt:variant>
        <vt:i4>0</vt:i4>
      </vt:variant>
      <vt:variant>
        <vt:i4>5</vt:i4>
      </vt:variant>
      <vt:variant>
        <vt:lpwstr>K:\National Strat Comms\Publications\2017 Design Files\2017 SWA Branding update 170111\1. Working Files\1st Round Files\copyrightrequests@swa.gov.au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ariant>
        <vt:i4>1572930</vt:i4>
      </vt:variant>
      <vt:variant>
        <vt:i4>6</vt:i4>
      </vt:variant>
      <vt:variant>
        <vt:i4>0</vt:i4>
      </vt:variant>
      <vt:variant>
        <vt:i4>5</vt:i4>
      </vt:variant>
      <vt:variant>
        <vt:lpwstr>https://www.nsw.gov.au/customer-service/publications-and-reports/silica-dashboard</vt:lpwstr>
      </vt:variant>
      <vt:variant>
        <vt:lpwstr/>
      </vt:variant>
      <vt:variant>
        <vt:i4>8323123</vt:i4>
      </vt:variant>
      <vt:variant>
        <vt:i4>3</vt:i4>
      </vt:variant>
      <vt:variant>
        <vt:i4>0</vt:i4>
      </vt:variant>
      <vt:variant>
        <vt:i4>5</vt:i4>
      </vt:variant>
      <vt:variant>
        <vt:lpwstr>https://www1.health.gov.au/internet/main/publishing.nsf/Content/562CF83B7AECFC8FCA2584420002B113/$File/NDDT-Final-Report-June-2021.pdf</vt:lpwstr>
      </vt:variant>
      <vt:variant>
        <vt:lpwstr/>
      </vt:variant>
      <vt:variant>
        <vt:i4>7995503</vt:i4>
      </vt:variant>
      <vt:variant>
        <vt:i4>0</vt:i4>
      </vt:variant>
      <vt:variant>
        <vt:i4>0</vt:i4>
      </vt:variant>
      <vt:variant>
        <vt:i4>5</vt:i4>
      </vt:variant>
      <vt:variant>
        <vt:lpwstr>https://www.safeworkaustralia.gov.au/doc/occupational-lung-diseases-australia-2006-2019</vt:lpwstr>
      </vt:variant>
      <vt:variant>
        <vt:lpwstr/>
      </vt:variant>
      <vt:variant>
        <vt:i4>5898360</vt:i4>
      </vt:variant>
      <vt:variant>
        <vt:i4>3</vt:i4>
      </vt:variant>
      <vt:variant>
        <vt:i4>0</vt:i4>
      </vt:variant>
      <vt:variant>
        <vt:i4>5</vt:i4>
      </vt:variant>
      <vt:variant>
        <vt:lpwstr>https://www.jstor.org/stable/27740309?read-now=1</vt:lpwstr>
      </vt:variant>
      <vt:variant>
        <vt:lpwstr>page_scan_tab_contents?read-now=1</vt:lpwstr>
      </vt:variant>
      <vt:variant>
        <vt:i4>1376270</vt:i4>
      </vt:variant>
      <vt:variant>
        <vt:i4>0</vt:i4>
      </vt:variant>
      <vt:variant>
        <vt:i4>0</vt:i4>
      </vt:variant>
      <vt:variant>
        <vt:i4>5</vt:i4>
      </vt:variant>
      <vt:variant>
        <vt:lpwstr>https://www.safeworkaustralia.gov.au/system/files/documents/1702/interpretive_guideline_-_reasonably_practicable.pdf</vt:lpwstr>
      </vt:variant>
      <vt:variant>
        <vt:lpwstr>:~:text=%E2%80%98Reasonably%20practicable%E2%80%99is%20used%20to%20qualify%20duties%20to%20ensure,safety%20duty%20are%20set%20out%20in%20section%2018.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2023-03-01T06:17:00Z</dcterms:created>
  <dcterms:modified xsi:type="dcterms:W3CDTF">2023-03-01T06:17:00Z</dcterms:modified>
</cp:coreProperties>
</file>