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theme="minorHAnsi"/>
        </w:rPr>
        <w:id w:val="1547097622"/>
        <w:docPartObj>
          <w:docPartGallery w:val="Cover Pages"/>
          <w:docPartUnique/>
        </w:docPartObj>
      </w:sdtPr>
      <w:sdtEndPr/>
      <w:sdtContent>
        <w:p w14:paraId="37EE508B" w14:textId="77777777" w:rsidR="004C52A4" w:rsidRPr="003F264A" w:rsidRDefault="004C52A4">
          <w:pPr>
            <w:rPr>
              <w:rFonts w:cstheme="minorHAnsi"/>
            </w:rPr>
          </w:pPr>
          <w:r w:rsidRPr="003F264A">
            <w:rPr>
              <w:rFonts w:cstheme="minorHAnsi"/>
              <w:noProof/>
              <w:lang w:eastAsia="en-AU"/>
            </w:rPr>
            <w:drawing>
              <wp:anchor distT="0" distB="0" distL="114300" distR="114300" simplePos="0" relativeHeight="251658242" behindDoc="1" locked="0" layoutInCell="1" allowOverlap="1" wp14:anchorId="2EB2639E" wp14:editId="0CA46D4F">
                <wp:simplePos x="0" y="0"/>
                <wp:positionH relativeFrom="column">
                  <wp:posOffset>-400050</wp:posOffset>
                </wp:positionH>
                <wp:positionV relativeFrom="page">
                  <wp:posOffset>781050</wp:posOffset>
                </wp:positionV>
                <wp:extent cx="3600000" cy="806400"/>
                <wp:effectExtent l="0" t="0" r="0" b="0"/>
                <wp:wrapNone/>
                <wp:docPr id="18" name="Picture 18"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264A">
            <w:rPr>
              <w:rFonts w:cstheme="minorHAnsi"/>
              <w:noProof/>
              <w:lang w:eastAsia="en-AU"/>
            </w:rPr>
            <mc:AlternateContent>
              <mc:Choice Requires="wps">
                <w:drawing>
                  <wp:anchor distT="0" distB="0" distL="114300" distR="114300" simplePos="0" relativeHeight="251658241" behindDoc="0" locked="0" layoutInCell="1" allowOverlap="1" wp14:anchorId="1B021910" wp14:editId="3A88387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035A2887" w14:textId="77777777" w:rsidR="00D073EC" w:rsidRDefault="00D073EC">
                                <w:pPr>
                                  <w:pStyle w:val="NoSpacing"/>
                                  <w:rPr>
                                    <w:noProof/>
                                    <w:color w:val="44546A"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1B021910" id="_x0000_t202" coordsize="21600,21600" o:spt="202" path="m,l,21600r21600,l21600,xe">
                    <v:stroke joinstyle="miter"/>
                    <v:path gradientshapeok="t" o:connecttype="rect"/>
                  </v:shapetype>
                  <v:shape id="Text Box 465" o:spid="_x0000_s1026" type="#_x0000_t202" style="position:absolute;margin-left:0;margin-top:0;width:220.3pt;height:21.15pt;z-index:251658241;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14:paraId="035A2887" w14:textId="77777777" w:rsidR="00D073EC" w:rsidRDefault="00D073EC">
                          <w:pPr>
                            <w:pStyle w:val="NoSpacing"/>
                            <w:rPr>
                              <w:noProof/>
                              <w:color w:val="44546A" w:themeColor="text2"/>
                            </w:rPr>
                          </w:pPr>
                        </w:p>
                      </w:txbxContent>
                    </v:textbox>
                    <w10:wrap type="square" anchorx="page" anchory="page"/>
                  </v:shape>
                </w:pict>
              </mc:Fallback>
            </mc:AlternateContent>
          </w:r>
        </w:p>
        <w:p w14:paraId="5045BEE2" w14:textId="5F14A274" w:rsidR="00BF512C" w:rsidRPr="003F264A" w:rsidRDefault="001D2AC8">
          <w:pPr>
            <w:rPr>
              <w:rFonts w:cstheme="minorHAnsi"/>
            </w:rPr>
          </w:pPr>
          <w:r>
            <w:rPr>
              <w:noProof/>
              <w:lang w:eastAsia="en-AU"/>
            </w:rPr>
            <w:drawing>
              <wp:anchor distT="0" distB="0" distL="114300" distR="114300" simplePos="0" relativeHeight="251658255" behindDoc="0" locked="0" layoutInCell="1" allowOverlap="1" wp14:anchorId="16EB8CF8" wp14:editId="658BC81B">
                <wp:simplePos x="0" y="0"/>
                <wp:positionH relativeFrom="column">
                  <wp:posOffset>278767</wp:posOffset>
                </wp:positionH>
                <wp:positionV relativeFrom="paragraph">
                  <wp:posOffset>3121227</wp:posOffset>
                </wp:positionV>
                <wp:extent cx="6350868" cy="6350868"/>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M&amp;C Template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52144" cy="6352144"/>
                        </a:xfrm>
                        <a:prstGeom prst="rect">
                          <a:avLst/>
                        </a:prstGeom>
                      </pic:spPr>
                    </pic:pic>
                  </a:graphicData>
                </a:graphic>
                <wp14:sizeRelH relativeFrom="margin">
                  <wp14:pctWidth>0</wp14:pctWidth>
                </wp14:sizeRelH>
                <wp14:sizeRelV relativeFrom="margin">
                  <wp14:pctHeight>0</wp14:pctHeight>
                </wp14:sizeRelV>
              </wp:anchor>
            </w:drawing>
          </w:r>
          <w:r w:rsidRPr="003F264A">
            <w:rPr>
              <w:rFonts w:cstheme="minorHAnsi"/>
              <w:noProof/>
              <w:lang w:eastAsia="en-AU"/>
            </w:rPr>
            <mc:AlternateContent>
              <mc:Choice Requires="wps">
                <w:drawing>
                  <wp:anchor distT="0" distB="0" distL="114300" distR="114300" simplePos="0" relativeHeight="251658240" behindDoc="0" locked="0" layoutInCell="1" allowOverlap="1" wp14:anchorId="3E888E9F" wp14:editId="17D4494C">
                    <wp:simplePos x="0" y="0"/>
                    <wp:positionH relativeFrom="margin">
                      <wp:posOffset>153670</wp:posOffset>
                    </wp:positionH>
                    <wp:positionV relativeFrom="margin">
                      <wp:posOffset>1847850</wp:posOffset>
                    </wp:positionV>
                    <wp:extent cx="4792980" cy="1558925"/>
                    <wp:effectExtent l="0" t="0" r="0" b="3175"/>
                    <wp:wrapSquare wrapText="bothSides"/>
                    <wp:docPr id="470" name="Text Box 470"/>
                    <wp:cNvGraphicFramePr/>
                    <a:graphic xmlns:a="http://schemas.openxmlformats.org/drawingml/2006/main">
                      <a:graphicData uri="http://schemas.microsoft.com/office/word/2010/wordprocessingShape">
                        <wps:wsp>
                          <wps:cNvSpPr txBox="1"/>
                          <wps:spPr>
                            <a:xfrm>
                              <a:off x="0" y="0"/>
                              <a:ext cx="4792980" cy="1558925"/>
                            </a:xfrm>
                            <a:prstGeom prst="rect">
                              <a:avLst/>
                            </a:prstGeom>
                            <a:noFill/>
                            <a:ln w="6350">
                              <a:noFill/>
                            </a:ln>
                            <a:effectLst/>
                          </wps:spPr>
                          <wps:txbx>
                            <w:txbxContent>
                              <w:p w14:paraId="64F8A440" w14:textId="76E2F7D1" w:rsidR="00D073EC" w:rsidRPr="004C52A4" w:rsidRDefault="00D073EC">
                                <w:pPr>
                                  <w:spacing w:line="240" w:lineRule="auto"/>
                                  <w:rPr>
                                    <w:rFonts w:ascii="Times New Roman" w:eastAsiaTheme="majorEastAsia" w:hAnsi="Times New Roman" w:cs="Times New Roman"/>
                                    <w:b/>
                                    <w:noProof/>
                                    <w:sz w:val="96"/>
                                    <w:szCs w:val="144"/>
                                  </w:rPr>
                                </w:pPr>
                                <w:r>
                                  <w:rPr>
                                    <w:rFonts w:ascii="Times New Roman" w:eastAsiaTheme="majorEastAsia" w:hAnsi="Times New Roman" w:cs="Times New Roman"/>
                                    <w:noProof/>
                                    <w:sz w:val="56"/>
                                    <w:szCs w:val="72"/>
                                  </w:rPr>
                                  <w:t>Impact Analysis</w:t>
                                </w:r>
                              </w:p>
                              <w:p w14:paraId="31C21C8B" w14:textId="77777777" w:rsidR="00D073EC" w:rsidRDefault="00D073EC">
                                <w:pPr>
                                  <w:rPr>
                                    <w:rFonts w:ascii="Times New Roman" w:eastAsiaTheme="majorEastAsia" w:hAnsi="Times New Roman" w:cs="Times New Roman"/>
                                    <w:noProof/>
                                    <w:color w:val="44546A" w:themeColor="text2"/>
                                    <w:sz w:val="32"/>
                                    <w:szCs w:val="40"/>
                                  </w:rPr>
                                </w:pPr>
                              </w:p>
                              <w:p w14:paraId="7ECDCC8B" w14:textId="77777777" w:rsidR="00D073EC" w:rsidRPr="004C52A4" w:rsidRDefault="00D073EC">
                                <w:pPr>
                                  <w:rPr>
                                    <w:rFonts w:ascii="Times New Roman" w:eastAsiaTheme="majorEastAsia" w:hAnsi="Times New Roman" w:cs="Times New Roman"/>
                                    <w:noProof/>
                                    <w:color w:val="44546A" w:themeColor="text2"/>
                                    <w:sz w:val="32"/>
                                    <w:szCs w:val="40"/>
                                  </w:rPr>
                                </w:pPr>
                                <w:r w:rsidRPr="004C52A4">
                                  <w:rPr>
                                    <w:rFonts w:ascii="Times New Roman" w:eastAsiaTheme="majorEastAsia" w:hAnsi="Times New Roman" w:cs="Times New Roman"/>
                                    <w:noProof/>
                                    <w:color w:val="44546A" w:themeColor="text2"/>
                                    <w:sz w:val="32"/>
                                    <w:szCs w:val="40"/>
                                  </w:rPr>
                                  <w:t xml:space="preserve">Changes to the </w:t>
                                </w:r>
                                <w:r w:rsidRPr="00BF68C3">
                                  <w:rPr>
                                    <w:rFonts w:ascii="Times New Roman" w:eastAsiaTheme="majorEastAsia" w:hAnsi="Times New Roman" w:cs="Times New Roman"/>
                                    <w:i/>
                                    <w:noProof/>
                                    <w:color w:val="44546A" w:themeColor="text2"/>
                                    <w:sz w:val="32"/>
                                    <w:szCs w:val="40"/>
                                  </w:rPr>
                                  <w:t>Workplace Gender Equality Act 2012</w:t>
                                </w:r>
                                <w:r w:rsidRPr="004C52A4">
                                  <w:rPr>
                                    <w:rFonts w:ascii="Times New Roman" w:eastAsiaTheme="majorEastAsia" w:hAnsi="Times New Roman" w:cs="Times New Roman"/>
                                    <w:noProof/>
                                    <w:color w:val="44546A" w:themeColor="text2"/>
                                    <w:sz w:val="32"/>
                                    <w:szCs w:val="40"/>
                                  </w:rPr>
                                  <w:t xml:space="preserve"> and Associated Instruments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888E9F" id="_x0000_t202" coordsize="21600,21600" o:spt="202" path="m,l,21600r21600,l21600,xe">
                    <v:stroke joinstyle="miter"/>
                    <v:path gradientshapeok="t" o:connecttype="rect"/>
                  </v:shapetype>
                  <v:shape id="Text Box 470" o:spid="_x0000_s1027" type="#_x0000_t202" style="position:absolute;margin-left:12.1pt;margin-top:145.5pt;width:377.4pt;height:12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" filled="f" stroked="f" strokeweight=".5pt">
                    <v:textbox>
                      <w:txbxContent>
                        <w:p w14:paraId="64F8A440" w14:textId="76E2F7D1" w:rsidR="00D073EC" w:rsidRPr="004C52A4" w:rsidRDefault="00D073EC">
                          <w:pPr>
                            <w:spacing w:line="240" w:lineRule="auto"/>
                            <w:rPr>
                              <w:rFonts w:ascii="Times New Roman" w:eastAsiaTheme="majorEastAsia" w:hAnsi="Times New Roman" w:cs="Times New Roman"/>
                              <w:b/>
                              <w:noProof/>
                              <w:sz w:val="96"/>
                              <w:szCs w:val="144"/>
                            </w:rPr>
                          </w:pPr>
                          <w:r>
                            <w:rPr>
                              <w:rFonts w:ascii="Times New Roman" w:eastAsiaTheme="majorEastAsia" w:hAnsi="Times New Roman" w:cs="Times New Roman"/>
                              <w:noProof/>
                              <w:sz w:val="56"/>
                              <w:szCs w:val="72"/>
                            </w:rPr>
                            <w:t>Impact Analysis</w:t>
                          </w:r>
                        </w:p>
                        <w:p w14:paraId="31C21C8B" w14:textId="77777777" w:rsidR="00D073EC" w:rsidRDefault="00D073EC">
                          <w:pPr>
                            <w:rPr>
                              <w:rFonts w:ascii="Times New Roman" w:eastAsiaTheme="majorEastAsia" w:hAnsi="Times New Roman" w:cs="Times New Roman"/>
                              <w:noProof/>
                              <w:color w:val="44546A" w:themeColor="text2"/>
                              <w:sz w:val="32"/>
                              <w:szCs w:val="40"/>
                            </w:rPr>
                          </w:pPr>
                        </w:p>
                        <w:p w14:paraId="7ECDCC8B" w14:textId="77777777" w:rsidR="00D073EC" w:rsidRPr="004C52A4" w:rsidRDefault="00D073EC">
                          <w:pPr>
                            <w:rPr>
                              <w:rFonts w:ascii="Times New Roman" w:eastAsiaTheme="majorEastAsia" w:hAnsi="Times New Roman" w:cs="Times New Roman"/>
                              <w:noProof/>
                              <w:color w:val="44546A" w:themeColor="text2"/>
                              <w:sz w:val="32"/>
                              <w:szCs w:val="40"/>
                            </w:rPr>
                          </w:pPr>
                          <w:r w:rsidRPr="004C52A4">
                            <w:rPr>
                              <w:rFonts w:ascii="Times New Roman" w:eastAsiaTheme="majorEastAsia" w:hAnsi="Times New Roman" w:cs="Times New Roman"/>
                              <w:noProof/>
                              <w:color w:val="44546A" w:themeColor="text2"/>
                              <w:sz w:val="32"/>
                              <w:szCs w:val="40"/>
                            </w:rPr>
                            <w:t xml:space="preserve">Changes to the </w:t>
                          </w:r>
                          <w:r w:rsidRPr="00BF68C3">
                            <w:rPr>
                              <w:rFonts w:ascii="Times New Roman" w:eastAsiaTheme="majorEastAsia" w:hAnsi="Times New Roman" w:cs="Times New Roman"/>
                              <w:i/>
                              <w:noProof/>
                              <w:color w:val="44546A" w:themeColor="text2"/>
                              <w:sz w:val="32"/>
                              <w:szCs w:val="40"/>
                            </w:rPr>
                            <w:t>Workplace Gender Equality Act 2012</w:t>
                          </w:r>
                          <w:r w:rsidRPr="004C52A4">
                            <w:rPr>
                              <w:rFonts w:ascii="Times New Roman" w:eastAsiaTheme="majorEastAsia" w:hAnsi="Times New Roman" w:cs="Times New Roman"/>
                              <w:noProof/>
                              <w:color w:val="44546A" w:themeColor="text2"/>
                              <w:sz w:val="32"/>
                              <w:szCs w:val="40"/>
                            </w:rPr>
                            <w:t xml:space="preserve"> and Associated Instruments</w:t>
                          </w:r>
                        </w:p>
                      </w:txbxContent>
                    </v:textbox>
                    <w10:wrap type="square" anchorx="margin" anchory="margin"/>
                  </v:shape>
                </w:pict>
              </mc:Fallback>
            </mc:AlternateContent>
          </w:r>
          <w:r w:rsidR="004C52A4" w:rsidRPr="003F264A">
            <w:rPr>
              <w:rFonts w:cstheme="minorHAnsi"/>
            </w:rPr>
            <w:br w:type="page"/>
          </w:r>
        </w:p>
      </w:sdtContent>
    </w:sdt>
    <w:sdt>
      <w:sdtPr>
        <w:rPr>
          <w:rFonts w:asciiTheme="minorHAnsi" w:eastAsiaTheme="minorHAnsi" w:hAnsiTheme="minorHAnsi" w:cstheme="minorHAnsi"/>
          <w:color w:val="auto"/>
          <w:sz w:val="22"/>
          <w:szCs w:val="22"/>
          <w:lang w:val="en-AU"/>
        </w:rPr>
        <w:id w:val="-1321723659"/>
        <w:docPartObj>
          <w:docPartGallery w:val="Table of Contents"/>
          <w:docPartUnique/>
        </w:docPartObj>
      </w:sdtPr>
      <w:sdtEndPr>
        <w:rPr>
          <w:b/>
          <w:bCs/>
          <w:noProof/>
        </w:rPr>
      </w:sdtEndPr>
      <w:sdtContent>
        <w:p w14:paraId="1EB8C6C9" w14:textId="77777777" w:rsidR="004A4A91" w:rsidRPr="003F264A" w:rsidRDefault="004A4A91">
          <w:pPr>
            <w:pStyle w:val="TOCHeading"/>
            <w:rPr>
              <w:rFonts w:asciiTheme="minorHAnsi" w:hAnsiTheme="minorHAnsi" w:cstheme="minorHAnsi"/>
            </w:rPr>
          </w:pPr>
          <w:r w:rsidRPr="003F264A">
            <w:rPr>
              <w:rFonts w:asciiTheme="minorHAnsi" w:hAnsiTheme="minorHAnsi" w:cstheme="minorHAnsi"/>
            </w:rPr>
            <w:t>Contents</w:t>
          </w:r>
        </w:p>
        <w:p w14:paraId="30E4E92C" w14:textId="29A11DE3" w:rsidR="00012633" w:rsidRPr="00012633" w:rsidRDefault="004A4A91">
          <w:pPr>
            <w:pStyle w:val="TOC1"/>
            <w:tabs>
              <w:tab w:val="left" w:pos="440"/>
              <w:tab w:val="right" w:leader="dot" w:pos="9016"/>
            </w:tabs>
            <w:rPr>
              <w:rFonts w:eastAsiaTheme="minorEastAsia" w:cstheme="minorHAnsi"/>
              <w:noProof/>
              <w:lang w:eastAsia="en-AU"/>
            </w:rPr>
          </w:pPr>
          <w:r w:rsidRPr="00012633">
            <w:rPr>
              <w:rFonts w:cstheme="minorHAnsi"/>
            </w:rPr>
            <w:fldChar w:fldCharType="begin"/>
          </w:r>
          <w:r w:rsidRPr="00012633">
            <w:rPr>
              <w:rFonts w:cstheme="minorHAnsi"/>
            </w:rPr>
            <w:instrText xml:space="preserve"> TOC \o "1-3" \h \z \u </w:instrText>
          </w:r>
          <w:r w:rsidRPr="00012633">
            <w:rPr>
              <w:rFonts w:cstheme="minorHAnsi"/>
            </w:rPr>
            <w:fldChar w:fldCharType="separate"/>
          </w:r>
          <w:hyperlink w:anchor="_Toc125714680" w:history="1">
            <w:r w:rsidR="00012633" w:rsidRPr="00012633">
              <w:rPr>
                <w:rStyle w:val="Hyperlink"/>
                <w:rFonts w:cstheme="minorHAnsi"/>
                <w:noProof/>
              </w:rPr>
              <w:t>1.</w:t>
            </w:r>
            <w:r w:rsidR="00012633" w:rsidRPr="00012633">
              <w:rPr>
                <w:rFonts w:eastAsiaTheme="minorEastAsia" w:cstheme="minorHAnsi"/>
                <w:noProof/>
                <w:lang w:eastAsia="en-AU"/>
              </w:rPr>
              <w:tab/>
            </w:r>
            <w:r w:rsidR="00012633" w:rsidRPr="00012633">
              <w:rPr>
                <w:rStyle w:val="Hyperlink"/>
                <w:rFonts w:cstheme="minorHAnsi"/>
                <w:noProof/>
              </w:rPr>
              <w:t>Executive Summary</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_Toc125714680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w:t>
            </w:r>
            <w:r w:rsidR="00012633" w:rsidRPr="00012633">
              <w:rPr>
                <w:rFonts w:cstheme="minorHAnsi"/>
                <w:noProof/>
                <w:webHidden/>
              </w:rPr>
              <w:fldChar w:fldCharType="end"/>
            </w:r>
          </w:hyperlink>
        </w:p>
        <w:p w14:paraId="58D210AE" w14:textId="61C8FBB2" w:rsidR="00012633" w:rsidRPr="00012633" w:rsidRDefault="00D96BFB">
          <w:pPr>
            <w:pStyle w:val="TOC1"/>
            <w:tabs>
              <w:tab w:val="left" w:pos="440"/>
              <w:tab w:val="right" w:leader="dot" w:pos="9016"/>
            </w:tabs>
            <w:rPr>
              <w:rFonts w:eastAsiaTheme="minorEastAsia" w:cstheme="minorHAnsi"/>
              <w:noProof/>
              <w:lang w:eastAsia="en-AU"/>
            </w:rPr>
          </w:pPr>
          <w:hyperlink w:anchor="_Toc125714681" w:history="1">
            <w:r w:rsidR="00012633" w:rsidRPr="00012633">
              <w:rPr>
                <w:rStyle w:val="Hyperlink"/>
                <w:rFonts w:cstheme="minorHAnsi"/>
                <w:noProof/>
              </w:rPr>
              <w:t>2.</w:t>
            </w:r>
            <w:r w:rsidR="00012633" w:rsidRPr="00012633">
              <w:rPr>
                <w:rFonts w:eastAsiaTheme="minorEastAsia" w:cstheme="minorHAnsi"/>
                <w:noProof/>
                <w:lang w:eastAsia="en-AU"/>
              </w:rPr>
              <w:tab/>
            </w:r>
            <w:r w:rsidR="00012633" w:rsidRPr="00012633">
              <w:rPr>
                <w:rStyle w:val="Hyperlink"/>
                <w:rFonts w:cstheme="minorHAnsi"/>
                <w:noProof/>
              </w:rPr>
              <w:t>Introduction</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_Toc125714681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7</w:t>
            </w:r>
            <w:r w:rsidR="00012633" w:rsidRPr="00012633">
              <w:rPr>
                <w:rFonts w:cstheme="minorHAnsi"/>
                <w:noProof/>
                <w:webHidden/>
              </w:rPr>
              <w:fldChar w:fldCharType="end"/>
            </w:r>
          </w:hyperlink>
        </w:p>
        <w:p w14:paraId="0DD6B8EF" w14:textId="1C46FE2C" w:rsidR="00012633" w:rsidRPr="00012633" w:rsidRDefault="00D96BFB">
          <w:pPr>
            <w:pStyle w:val="TOC1"/>
            <w:tabs>
              <w:tab w:val="right" w:leader="dot" w:pos="9016"/>
            </w:tabs>
            <w:rPr>
              <w:rFonts w:eastAsiaTheme="minorEastAsia" w:cstheme="minorHAnsi"/>
              <w:noProof/>
              <w:lang w:eastAsia="en-AU"/>
            </w:rPr>
          </w:pPr>
          <w:hyperlink w:anchor="_Toc125714682" w:history="1">
            <w:r w:rsidR="00012633" w:rsidRPr="00012633">
              <w:rPr>
                <w:rStyle w:val="Hyperlink"/>
                <w:rFonts w:cstheme="minorHAnsi"/>
                <w:noProof/>
              </w:rPr>
              <w:t>2.1 Key concepts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_Toc125714682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7</w:t>
            </w:r>
            <w:r w:rsidR="00012633" w:rsidRPr="00012633">
              <w:rPr>
                <w:rFonts w:cstheme="minorHAnsi"/>
                <w:noProof/>
                <w:webHidden/>
              </w:rPr>
              <w:fldChar w:fldCharType="end"/>
            </w:r>
          </w:hyperlink>
        </w:p>
        <w:p w14:paraId="01815483" w14:textId="70405CED" w:rsidR="00012633" w:rsidRPr="00012633" w:rsidRDefault="00D96BFB">
          <w:pPr>
            <w:pStyle w:val="TOC2"/>
            <w:tabs>
              <w:tab w:val="right" w:leader="dot" w:pos="9016"/>
            </w:tabs>
            <w:rPr>
              <w:rFonts w:eastAsiaTheme="minorEastAsia" w:cstheme="minorHAnsi"/>
              <w:noProof/>
              <w:lang w:eastAsia="en-AU"/>
            </w:rPr>
          </w:pPr>
          <w:hyperlink w:anchor="_Toc125714683" w:history="1">
            <w:r w:rsidR="00012633" w:rsidRPr="00012633">
              <w:rPr>
                <w:rStyle w:val="Hyperlink"/>
                <w:rFonts w:cstheme="minorHAnsi"/>
                <w:noProof/>
              </w:rPr>
              <w:t>2.2 What does the Australian workforce look like?</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_Toc125714683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8</w:t>
            </w:r>
            <w:r w:rsidR="00012633" w:rsidRPr="00012633">
              <w:rPr>
                <w:rFonts w:cstheme="minorHAnsi"/>
                <w:noProof/>
                <w:webHidden/>
              </w:rPr>
              <w:fldChar w:fldCharType="end"/>
            </w:r>
          </w:hyperlink>
        </w:p>
        <w:p w14:paraId="5993D518" w14:textId="0C48F6F7" w:rsidR="00012633" w:rsidRPr="00012633" w:rsidRDefault="00D96BFB">
          <w:pPr>
            <w:pStyle w:val="TOC1"/>
            <w:tabs>
              <w:tab w:val="left" w:pos="440"/>
              <w:tab w:val="right" w:leader="dot" w:pos="9016"/>
            </w:tabs>
            <w:rPr>
              <w:rFonts w:eastAsiaTheme="minorEastAsia" w:cstheme="minorHAnsi"/>
              <w:noProof/>
              <w:lang w:eastAsia="en-AU"/>
            </w:rPr>
          </w:pPr>
          <w:hyperlink w:anchor="_Toc125714684" w:history="1">
            <w:r w:rsidR="00012633" w:rsidRPr="00012633">
              <w:rPr>
                <w:rStyle w:val="Hyperlink"/>
                <w:rFonts w:cstheme="minorHAnsi"/>
                <w:noProof/>
              </w:rPr>
              <w:t>3.</w:t>
            </w:r>
            <w:r w:rsidR="00012633" w:rsidRPr="00012633">
              <w:rPr>
                <w:rFonts w:eastAsiaTheme="minorEastAsia" w:cstheme="minorHAnsi"/>
                <w:noProof/>
                <w:lang w:eastAsia="en-AU"/>
              </w:rPr>
              <w:tab/>
            </w:r>
            <w:r w:rsidR="00012633" w:rsidRPr="00012633">
              <w:rPr>
                <w:rStyle w:val="Hyperlink"/>
                <w:rFonts w:cstheme="minorHAnsi"/>
                <w:noProof/>
              </w:rPr>
              <w:t>What is the problem?</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_Toc125714684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11</w:t>
            </w:r>
            <w:r w:rsidR="00012633" w:rsidRPr="00012633">
              <w:rPr>
                <w:rFonts w:cstheme="minorHAnsi"/>
                <w:noProof/>
                <w:webHidden/>
              </w:rPr>
              <w:fldChar w:fldCharType="end"/>
            </w:r>
          </w:hyperlink>
        </w:p>
        <w:p w14:paraId="1762D9B5" w14:textId="5AAB389B" w:rsidR="00012633" w:rsidRPr="00012633" w:rsidRDefault="00D96BFB">
          <w:pPr>
            <w:pStyle w:val="TOC2"/>
            <w:tabs>
              <w:tab w:val="right" w:leader="dot" w:pos="9016"/>
            </w:tabs>
            <w:rPr>
              <w:rFonts w:eastAsiaTheme="minorEastAsia" w:cstheme="minorHAnsi"/>
              <w:noProof/>
              <w:lang w:eastAsia="en-AU"/>
            </w:rPr>
          </w:pPr>
          <w:hyperlink w:anchor="_Toc125714685" w:history="1">
            <w:r w:rsidR="00012633" w:rsidRPr="00012633">
              <w:rPr>
                <w:rStyle w:val="Hyperlink"/>
                <w:rFonts w:cstheme="minorHAnsi"/>
                <w:noProof/>
              </w:rPr>
              <w:t>3.1 Current Government approach to addressing workplace gender inequality</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_Toc125714685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13</w:t>
            </w:r>
            <w:r w:rsidR="00012633" w:rsidRPr="00012633">
              <w:rPr>
                <w:rFonts w:cstheme="minorHAnsi"/>
                <w:noProof/>
                <w:webHidden/>
              </w:rPr>
              <w:fldChar w:fldCharType="end"/>
            </w:r>
          </w:hyperlink>
        </w:p>
        <w:p w14:paraId="4646A77B" w14:textId="47736C5C" w:rsidR="00012633" w:rsidRPr="00012633" w:rsidRDefault="00D96BFB">
          <w:pPr>
            <w:pStyle w:val="TOC2"/>
            <w:tabs>
              <w:tab w:val="right" w:leader="dot" w:pos="9016"/>
            </w:tabs>
            <w:rPr>
              <w:rFonts w:eastAsiaTheme="minorEastAsia" w:cstheme="minorHAnsi"/>
              <w:noProof/>
              <w:lang w:eastAsia="en-AU"/>
            </w:rPr>
          </w:pPr>
          <w:hyperlink w:anchor="_Toc125714686" w:history="1">
            <w:r w:rsidR="00012633" w:rsidRPr="00012633">
              <w:rPr>
                <w:rStyle w:val="Hyperlink"/>
                <w:rFonts w:cstheme="minorHAnsi"/>
                <w:noProof/>
              </w:rPr>
              <w:t>3.2 Elements of the Problem</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_Toc125714686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14</w:t>
            </w:r>
            <w:r w:rsidR="00012633" w:rsidRPr="00012633">
              <w:rPr>
                <w:rFonts w:cstheme="minorHAnsi"/>
                <w:noProof/>
                <w:webHidden/>
              </w:rPr>
              <w:fldChar w:fldCharType="end"/>
            </w:r>
          </w:hyperlink>
        </w:p>
        <w:p w14:paraId="1F93F267" w14:textId="7B87F828" w:rsidR="00012633" w:rsidRPr="00012633" w:rsidRDefault="00D96BFB">
          <w:pPr>
            <w:pStyle w:val="TOC2"/>
            <w:tabs>
              <w:tab w:val="right" w:leader="dot" w:pos="9016"/>
            </w:tabs>
            <w:rPr>
              <w:rFonts w:eastAsiaTheme="minorEastAsia" w:cstheme="minorHAnsi"/>
              <w:noProof/>
              <w:lang w:eastAsia="en-AU"/>
            </w:rPr>
          </w:pPr>
          <w:hyperlink w:anchor="_Toc125714687" w:history="1">
            <w:r w:rsidR="00012633" w:rsidRPr="00012633">
              <w:rPr>
                <w:rStyle w:val="Hyperlink"/>
                <w:rFonts w:cstheme="minorHAnsi"/>
                <w:noProof/>
              </w:rPr>
              <w:t>3.3 Gaps exist in the current dataset</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_Toc125714687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15</w:t>
            </w:r>
            <w:r w:rsidR="00012633" w:rsidRPr="00012633">
              <w:rPr>
                <w:rFonts w:cstheme="minorHAnsi"/>
                <w:noProof/>
                <w:webHidden/>
              </w:rPr>
              <w:fldChar w:fldCharType="end"/>
            </w:r>
          </w:hyperlink>
        </w:p>
        <w:p w14:paraId="09C70F4C" w14:textId="0361B0AA" w:rsidR="00012633" w:rsidRPr="00012633" w:rsidRDefault="00D96BFB">
          <w:pPr>
            <w:pStyle w:val="TOC2"/>
            <w:tabs>
              <w:tab w:val="right" w:leader="dot" w:pos="9016"/>
            </w:tabs>
            <w:rPr>
              <w:rFonts w:eastAsiaTheme="minorEastAsia" w:cstheme="minorHAnsi"/>
              <w:noProof/>
              <w:lang w:eastAsia="en-AU"/>
            </w:rPr>
          </w:pPr>
          <w:hyperlink w:anchor="_Toc125714688" w:history="1">
            <w:r w:rsidR="00012633" w:rsidRPr="00012633">
              <w:rPr>
                <w:rStyle w:val="Hyperlink"/>
                <w:rFonts w:cstheme="minorHAnsi"/>
                <w:noProof/>
              </w:rPr>
              <w:t>3.4 Certain elements of reporting are burdensome on businesses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_Toc125714688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18</w:t>
            </w:r>
            <w:r w:rsidR="00012633" w:rsidRPr="00012633">
              <w:rPr>
                <w:rFonts w:cstheme="minorHAnsi"/>
                <w:noProof/>
                <w:webHidden/>
              </w:rPr>
              <w:fldChar w:fldCharType="end"/>
            </w:r>
          </w:hyperlink>
        </w:p>
        <w:p w14:paraId="34A27ABA" w14:textId="77B69781" w:rsidR="00012633" w:rsidRPr="00012633" w:rsidRDefault="00D96BFB">
          <w:pPr>
            <w:pStyle w:val="TOC2"/>
            <w:tabs>
              <w:tab w:val="right" w:leader="dot" w:pos="9016"/>
            </w:tabs>
            <w:rPr>
              <w:rFonts w:eastAsiaTheme="minorEastAsia" w:cstheme="minorHAnsi"/>
              <w:noProof/>
              <w:lang w:eastAsia="en-AU"/>
            </w:rPr>
          </w:pPr>
          <w:hyperlink w:anchor="_Toc125714689" w:history="1">
            <w:r w:rsidR="00012633" w:rsidRPr="00012633">
              <w:rPr>
                <w:rStyle w:val="Hyperlink"/>
                <w:rFonts w:cstheme="minorHAnsi"/>
                <w:noProof/>
              </w:rPr>
              <w:t>3.5 Current regulation is not ambitious enough to drive change in gender inequality</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_Toc125714689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19</w:t>
            </w:r>
            <w:r w:rsidR="00012633" w:rsidRPr="00012633">
              <w:rPr>
                <w:rFonts w:cstheme="minorHAnsi"/>
                <w:noProof/>
                <w:webHidden/>
              </w:rPr>
              <w:fldChar w:fldCharType="end"/>
            </w:r>
          </w:hyperlink>
        </w:p>
        <w:p w14:paraId="584AFA2D" w14:textId="64F9FE90" w:rsidR="00012633" w:rsidRPr="00012633" w:rsidRDefault="00D96BFB">
          <w:pPr>
            <w:pStyle w:val="TOC1"/>
            <w:tabs>
              <w:tab w:val="left" w:pos="440"/>
              <w:tab w:val="right" w:leader="dot" w:pos="9016"/>
            </w:tabs>
            <w:rPr>
              <w:rFonts w:eastAsiaTheme="minorEastAsia" w:cstheme="minorHAnsi"/>
              <w:noProof/>
              <w:lang w:eastAsia="en-AU"/>
            </w:rPr>
          </w:pPr>
          <w:hyperlink w:anchor="_Toc125714690" w:history="1">
            <w:r w:rsidR="00012633" w:rsidRPr="00012633">
              <w:rPr>
                <w:rStyle w:val="Hyperlink"/>
                <w:rFonts w:cstheme="minorHAnsi"/>
                <w:noProof/>
              </w:rPr>
              <w:t>4.</w:t>
            </w:r>
            <w:r w:rsidR="00012633" w:rsidRPr="00012633">
              <w:rPr>
                <w:rFonts w:eastAsiaTheme="minorEastAsia" w:cstheme="minorHAnsi"/>
                <w:noProof/>
                <w:lang w:eastAsia="en-AU"/>
              </w:rPr>
              <w:tab/>
            </w:r>
            <w:r w:rsidR="00012633" w:rsidRPr="00012633">
              <w:rPr>
                <w:rStyle w:val="Hyperlink"/>
                <w:rFonts w:cstheme="minorHAnsi"/>
                <w:noProof/>
              </w:rPr>
              <w:t>Why government action is needed</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_Toc125714690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21</w:t>
            </w:r>
            <w:r w:rsidR="00012633" w:rsidRPr="00012633">
              <w:rPr>
                <w:rFonts w:cstheme="minorHAnsi"/>
                <w:noProof/>
                <w:webHidden/>
              </w:rPr>
              <w:fldChar w:fldCharType="end"/>
            </w:r>
          </w:hyperlink>
        </w:p>
        <w:p w14:paraId="4F6C6A90" w14:textId="5EC78B8B" w:rsidR="00012633" w:rsidRPr="00012633" w:rsidRDefault="00D96BFB">
          <w:pPr>
            <w:pStyle w:val="TOC2"/>
            <w:tabs>
              <w:tab w:val="right" w:leader="dot" w:pos="9016"/>
            </w:tabs>
            <w:rPr>
              <w:rFonts w:eastAsiaTheme="minorEastAsia" w:cstheme="minorHAnsi"/>
              <w:noProof/>
              <w:lang w:eastAsia="en-AU"/>
            </w:rPr>
          </w:pPr>
          <w:hyperlink w:anchor="_Toc125714691" w:history="1">
            <w:r w:rsidR="00012633" w:rsidRPr="00012633">
              <w:rPr>
                <w:rStyle w:val="Hyperlink"/>
                <w:rFonts w:cstheme="minorHAnsi"/>
                <w:noProof/>
              </w:rPr>
              <w:t>4.1 Gender equality is an issue of national importance</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_Toc125714691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22</w:t>
            </w:r>
            <w:r w:rsidR="00012633" w:rsidRPr="00012633">
              <w:rPr>
                <w:rFonts w:cstheme="minorHAnsi"/>
                <w:noProof/>
                <w:webHidden/>
              </w:rPr>
              <w:fldChar w:fldCharType="end"/>
            </w:r>
          </w:hyperlink>
        </w:p>
        <w:p w14:paraId="0D40E477" w14:textId="33D89567" w:rsidR="00012633" w:rsidRPr="00012633" w:rsidRDefault="00D96BFB">
          <w:pPr>
            <w:pStyle w:val="TOC2"/>
            <w:tabs>
              <w:tab w:val="right" w:leader="dot" w:pos="9016"/>
            </w:tabs>
            <w:rPr>
              <w:rFonts w:eastAsiaTheme="minorEastAsia" w:cstheme="minorHAnsi"/>
              <w:noProof/>
              <w:lang w:eastAsia="en-AU"/>
            </w:rPr>
          </w:pPr>
          <w:hyperlink w:anchor="_Toc125714692" w:history="1">
            <w:r w:rsidR="00012633" w:rsidRPr="00012633">
              <w:rPr>
                <w:rStyle w:val="Hyperlink"/>
                <w:rFonts w:cstheme="minorHAnsi"/>
                <w:noProof/>
              </w:rPr>
              <w:t>4.2 WGEA is well-placed to intervene</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_Toc125714692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22</w:t>
            </w:r>
            <w:r w:rsidR="00012633" w:rsidRPr="00012633">
              <w:rPr>
                <w:rFonts w:cstheme="minorHAnsi"/>
                <w:noProof/>
                <w:webHidden/>
              </w:rPr>
              <w:fldChar w:fldCharType="end"/>
            </w:r>
          </w:hyperlink>
        </w:p>
        <w:p w14:paraId="0D896E05" w14:textId="589389A5" w:rsidR="00012633" w:rsidRPr="00012633" w:rsidRDefault="00D96BFB">
          <w:pPr>
            <w:pStyle w:val="TOC2"/>
            <w:tabs>
              <w:tab w:val="right" w:leader="dot" w:pos="9016"/>
            </w:tabs>
            <w:rPr>
              <w:rFonts w:eastAsiaTheme="minorEastAsia" w:cstheme="minorHAnsi"/>
              <w:noProof/>
              <w:lang w:eastAsia="en-AU"/>
            </w:rPr>
          </w:pPr>
          <w:hyperlink w:anchor="_Toc125714693" w:history="1">
            <w:r w:rsidR="00012633" w:rsidRPr="00012633">
              <w:rPr>
                <w:rStyle w:val="Hyperlink"/>
                <w:rFonts w:cstheme="minorHAnsi"/>
                <w:noProof/>
              </w:rPr>
              <w:t>4.3 WGEA performs functions that the private sector cannot perform</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_Toc125714693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23</w:t>
            </w:r>
            <w:r w:rsidR="00012633" w:rsidRPr="00012633">
              <w:rPr>
                <w:rFonts w:cstheme="minorHAnsi"/>
                <w:noProof/>
                <w:webHidden/>
              </w:rPr>
              <w:fldChar w:fldCharType="end"/>
            </w:r>
          </w:hyperlink>
        </w:p>
        <w:p w14:paraId="6C4E5F8D" w14:textId="752E9169" w:rsidR="00012633" w:rsidRPr="00012633" w:rsidRDefault="00D96BFB">
          <w:pPr>
            <w:pStyle w:val="TOC2"/>
            <w:tabs>
              <w:tab w:val="right" w:leader="dot" w:pos="9016"/>
            </w:tabs>
            <w:rPr>
              <w:rFonts w:eastAsiaTheme="minorEastAsia" w:cstheme="minorHAnsi"/>
              <w:noProof/>
              <w:lang w:eastAsia="en-AU"/>
            </w:rPr>
          </w:pPr>
          <w:hyperlink w:anchor="_Toc125714694" w:history="1">
            <w:r w:rsidR="00012633" w:rsidRPr="00012633">
              <w:rPr>
                <w:rStyle w:val="Hyperlink"/>
                <w:rFonts w:cstheme="minorHAnsi"/>
                <w:noProof/>
              </w:rPr>
              <w:t>4.4 There are no alternatives to Government action that can deliver change on the same scale</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_Toc125714694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24</w:t>
            </w:r>
            <w:r w:rsidR="00012633" w:rsidRPr="00012633">
              <w:rPr>
                <w:rFonts w:cstheme="minorHAnsi"/>
                <w:noProof/>
                <w:webHidden/>
              </w:rPr>
              <w:fldChar w:fldCharType="end"/>
            </w:r>
          </w:hyperlink>
        </w:p>
        <w:p w14:paraId="15B484BC" w14:textId="5DCF9134" w:rsidR="00012633" w:rsidRPr="00012633" w:rsidRDefault="00D96BFB">
          <w:pPr>
            <w:pStyle w:val="TOC2"/>
            <w:tabs>
              <w:tab w:val="right" w:leader="dot" w:pos="9016"/>
            </w:tabs>
            <w:rPr>
              <w:rFonts w:eastAsiaTheme="minorEastAsia" w:cstheme="minorHAnsi"/>
              <w:noProof/>
              <w:lang w:eastAsia="en-AU"/>
            </w:rPr>
          </w:pPr>
          <w:hyperlink w:anchor="_Toc125714695" w:history="1">
            <w:r w:rsidR="00012633" w:rsidRPr="00012633">
              <w:rPr>
                <w:rStyle w:val="Hyperlink"/>
                <w:rFonts w:cstheme="minorHAnsi"/>
                <w:noProof/>
              </w:rPr>
              <w:t>4.5 The market cannot solve the problem of workplace gender inequality without Government intervention</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_Toc125714695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24</w:t>
            </w:r>
            <w:r w:rsidR="00012633" w:rsidRPr="00012633">
              <w:rPr>
                <w:rFonts w:cstheme="minorHAnsi"/>
                <w:noProof/>
                <w:webHidden/>
              </w:rPr>
              <w:fldChar w:fldCharType="end"/>
            </w:r>
          </w:hyperlink>
        </w:p>
        <w:p w14:paraId="4954D1F9" w14:textId="1B906CEC" w:rsidR="00012633" w:rsidRPr="00012633" w:rsidRDefault="00D96BFB">
          <w:pPr>
            <w:pStyle w:val="TOC2"/>
            <w:tabs>
              <w:tab w:val="right" w:leader="dot" w:pos="9016"/>
            </w:tabs>
            <w:rPr>
              <w:rFonts w:eastAsiaTheme="minorEastAsia" w:cstheme="minorHAnsi"/>
              <w:noProof/>
              <w:lang w:eastAsia="en-AU"/>
            </w:rPr>
          </w:pPr>
          <w:hyperlink w:anchor="_Toc125714696" w:history="1">
            <w:r w:rsidR="00012633" w:rsidRPr="00012633">
              <w:rPr>
                <w:rStyle w:val="Hyperlink"/>
                <w:rFonts w:cstheme="minorHAnsi"/>
                <w:noProof/>
              </w:rPr>
              <w:t>4.6 Constraints and barriers to government intervention</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_Toc125714696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25</w:t>
            </w:r>
            <w:r w:rsidR="00012633" w:rsidRPr="00012633">
              <w:rPr>
                <w:rFonts w:cstheme="minorHAnsi"/>
                <w:noProof/>
                <w:webHidden/>
              </w:rPr>
              <w:fldChar w:fldCharType="end"/>
            </w:r>
          </w:hyperlink>
        </w:p>
        <w:p w14:paraId="560827B4" w14:textId="37652753" w:rsidR="00012633" w:rsidRPr="00012633" w:rsidRDefault="00D96BFB">
          <w:pPr>
            <w:pStyle w:val="TOC1"/>
            <w:tabs>
              <w:tab w:val="left" w:pos="440"/>
              <w:tab w:val="right" w:leader="dot" w:pos="9016"/>
            </w:tabs>
            <w:rPr>
              <w:rFonts w:eastAsiaTheme="minorEastAsia" w:cstheme="minorHAnsi"/>
              <w:noProof/>
              <w:lang w:eastAsia="en-AU"/>
            </w:rPr>
          </w:pPr>
          <w:hyperlink w:anchor="_Toc125714697" w:history="1">
            <w:r w:rsidR="00012633" w:rsidRPr="00012633">
              <w:rPr>
                <w:rStyle w:val="Hyperlink"/>
                <w:rFonts w:cstheme="minorHAnsi"/>
                <w:noProof/>
              </w:rPr>
              <w:t>5.</w:t>
            </w:r>
            <w:r w:rsidR="00012633" w:rsidRPr="00012633">
              <w:rPr>
                <w:rFonts w:eastAsiaTheme="minorEastAsia" w:cstheme="minorHAnsi"/>
                <w:noProof/>
                <w:lang w:eastAsia="en-AU"/>
              </w:rPr>
              <w:tab/>
            </w:r>
            <w:r w:rsidR="00012633" w:rsidRPr="00012633">
              <w:rPr>
                <w:rStyle w:val="Hyperlink"/>
                <w:rFonts w:cstheme="minorHAnsi"/>
                <w:noProof/>
              </w:rPr>
              <w:t>Policy Options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_Toc125714697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27</w:t>
            </w:r>
            <w:r w:rsidR="00012633" w:rsidRPr="00012633">
              <w:rPr>
                <w:rFonts w:cstheme="minorHAnsi"/>
                <w:noProof/>
                <w:webHidden/>
              </w:rPr>
              <w:fldChar w:fldCharType="end"/>
            </w:r>
          </w:hyperlink>
        </w:p>
        <w:p w14:paraId="11E813F6" w14:textId="38F89A7F" w:rsidR="00012633" w:rsidRPr="00012633" w:rsidRDefault="00D96BFB">
          <w:pPr>
            <w:pStyle w:val="TOC2"/>
            <w:tabs>
              <w:tab w:val="right" w:leader="dot" w:pos="9016"/>
            </w:tabs>
            <w:rPr>
              <w:rFonts w:eastAsiaTheme="minorEastAsia" w:cstheme="minorHAnsi"/>
              <w:noProof/>
              <w:lang w:eastAsia="en-AU"/>
            </w:rPr>
          </w:pPr>
          <w:hyperlink w:anchor="_Toc125714698" w:history="1">
            <w:r w:rsidR="00012633" w:rsidRPr="00012633">
              <w:rPr>
                <w:rStyle w:val="Hyperlink"/>
                <w:rFonts w:cstheme="minorHAnsi"/>
                <w:noProof/>
              </w:rPr>
              <w:t xml:space="preserve">5.1 </w:t>
            </w:r>
            <w:r w:rsidR="00012633" w:rsidRPr="00012633">
              <w:rPr>
                <w:rStyle w:val="Hyperlink"/>
                <w:rFonts w:eastAsia="Calibri Light" w:cstheme="minorHAnsi"/>
                <w:noProof/>
              </w:rPr>
              <w:t>Option 1: Retain the status quo</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_Toc125714698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28</w:t>
            </w:r>
            <w:r w:rsidR="00012633" w:rsidRPr="00012633">
              <w:rPr>
                <w:rFonts w:cstheme="minorHAnsi"/>
                <w:noProof/>
                <w:webHidden/>
              </w:rPr>
              <w:fldChar w:fldCharType="end"/>
            </w:r>
          </w:hyperlink>
        </w:p>
        <w:p w14:paraId="0F52899B" w14:textId="23BB6FF1" w:rsidR="00012633" w:rsidRPr="00012633" w:rsidRDefault="00D96BFB">
          <w:pPr>
            <w:pStyle w:val="TOC2"/>
            <w:tabs>
              <w:tab w:val="right" w:leader="dot" w:pos="9016"/>
            </w:tabs>
            <w:rPr>
              <w:rFonts w:eastAsiaTheme="minorEastAsia" w:cstheme="minorHAnsi"/>
              <w:noProof/>
              <w:lang w:eastAsia="en-AU"/>
            </w:rPr>
          </w:pPr>
          <w:hyperlink w:anchor="_Toc125714699" w:history="1">
            <w:r w:rsidR="00012633" w:rsidRPr="00012633">
              <w:rPr>
                <w:rStyle w:val="Hyperlink"/>
                <w:rFonts w:cstheme="minorHAnsi"/>
                <w:noProof/>
              </w:rPr>
              <w:t>5.1.1 What elements of the problem does Option 1 address?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_Toc125714699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28</w:t>
            </w:r>
            <w:r w:rsidR="00012633" w:rsidRPr="00012633">
              <w:rPr>
                <w:rFonts w:cstheme="minorHAnsi"/>
                <w:noProof/>
                <w:webHidden/>
              </w:rPr>
              <w:fldChar w:fldCharType="end"/>
            </w:r>
          </w:hyperlink>
        </w:p>
        <w:p w14:paraId="6C75AC7D" w14:textId="62D1DD3D" w:rsidR="00012633" w:rsidRPr="00012633" w:rsidRDefault="00D96BFB">
          <w:pPr>
            <w:pStyle w:val="TOC2"/>
            <w:tabs>
              <w:tab w:val="right" w:leader="dot" w:pos="9016"/>
            </w:tabs>
            <w:rPr>
              <w:rFonts w:eastAsiaTheme="minorEastAsia" w:cstheme="minorHAnsi"/>
              <w:noProof/>
              <w:lang w:eastAsia="en-AU"/>
            </w:rPr>
          </w:pPr>
          <w:hyperlink w:anchor="_Toc125714700" w:history="1">
            <w:r w:rsidR="00012633" w:rsidRPr="00012633">
              <w:rPr>
                <w:rStyle w:val="Hyperlink"/>
                <w:rFonts w:cstheme="minorHAnsi"/>
                <w:noProof/>
              </w:rPr>
              <w:t>5.1.2 What would Option 1 look like for impacted stakeholders?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_Toc125714700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28</w:t>
            </w:r>
            <w:r w:rsidR="00012633" w:rsidRPr="00012633">
              <w:rPr>
                <w:rFonts w:cstheme="minorHAnsi"/>
                <w:noProof/>
                <w:webHidden/>
              </w:rPr>
              <w:fldChar w:fldCharType="end"/>
            </w:r>
          </w:hyperlink>
        </w:p>
        <w:p w14:paraId="7967258D" w14:textId="46C6EA20" w:rsidR="00012633" w:rsidRPr="00012633" w:rsidRDefault="00D96BFB">
          <w:pPr>
            <w:pStyle w:val="TOC2"/>
            <w:tabs>
              <w:tab w:val="right" w:leader="dot" w:pos="9016"/>
            </w:tabs>
            <w:rPr>
              <w:rFonts w:eastAsiaTheme="minorEastAsia" w:cstheme="minorHAnsi"/>
              <w:noProof/>
              <w:lang w:eastAsia="en-AU"/>
            </w:rPr>
          </w:pPr>
          <w:hyperlink w:anchor="_Toc125714701" w:history="1">
            <w:r w:rsidR="00012633" w:rsidRPr="00012633">
              <w:rPr>
                <w:rStyle w:val="Hyperlink"/>
                <w:rFonts w:cstheme="minorHAnsi"/>
                <w:noProof/>
              </w:rPr>
              <w:t xml:space="preserve">5.2 </w:t>
            </w:r>
            <w:r w:rsidR="00012633" w:rsidRPr="00012633">
              <w:rPr>
                <w:rStyle w:val="Hyperlink"/>
                <w:rFonts w:eastAsia="Calibri Light" w:cstheme="minorHAnsi"/>
                <w:noProof/>
              </w:rPr>
              <w:t>Option 2: Improve WGEA reporting processes for businesses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_Toc125714701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29</w:t>
            </w:r>
            <w:r w:rsidR="00012633" w:rsidRPr="00012633">
              <w:rPr>
                <w:rFonts w:cstheme="minorHAnsi"/>
                <w:noProof/>
                <w:webHidden/>
              </w:rPr>
              <w:fldChar w:fldCharType="end"/>
            </w:r>
          </w:hyperlink>
        </w:p>
        <w:p w14:paraId="05189307" w14:textId="3CB2DE82" w:rsidR="00012633" w:rsidRPr="00012633" w:rsidRDefault="00D96BFB">
          <w:pPr>
            <w:pStyle w:val="TOC2"/>
            <w:tabs>
              <w:tab w:val="right" w:leader="dot" w:pos="9016"/>
            </w:tabs>
            <w:rPr>
              <w:rFonts w:eastAsiaTheme="minorEastAsia" w:cstheme="minorHAnsi"/>
              <w:noProof/>
              <w:lang w:eastAsia="en-AU"/>
            </w:rPr>
          </w:pPr>
          <w:hyperlink w:anchor="_Toc125714702" w:history="1">
            <w:r w:rsidR="00012633" w:rsidRPr="00012633">
              <w:rPr>
                <w:rStyle w:val="Hyperlink"/>
                <w:rFonts w:cstheme="minorHAnsi"/>
                <w:noProof/>
              </w:rPr>
              <w:t>5.2.1 What elements of the problem does Option 2 address?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_Toc125714702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29</w:t>
            </w:r>
            <w:r w:rsidR="00012633" w:rsidRPr="00012633">
              <w:rPr>
                <w:rFonts w:cstheme="minorHAnsi"/>
                <w:noProof/>
                <w:webHidden/>
              </w:rPr>
              <w:fldChar w:fldCharType="end"/>
            </w:r>
          </w:hyperlink>
        </w:p>
        <w:p w14:paraId="1ACD3050" w14:textId="73AEC830" w:rsidR="00012633" w:rsidRPr="00012633" w:rsidRDefault="00D96BFB">
          <w:pPr>
            <w:pStyle w:val="TOC2"/>
            <w:tabs>
              <w:tab w:val="right" w:leader="dot" w:pos="9016"/>
            </w:tabs>
            <w:rPr>
              <w:rFonts w:eastAsiaTheme="minorEastAsia" w:cstheme="minorHAnsi"/>
              <w:noProof/>
              <w:lang w:eastAsia="en-AU"/>
            </w:rPr>
          </w:pPr>
          <w:hyperlink w:anchor="_Toc125714703" w:history="1">
            <w:r w:rsidR="00012633" w:rsidRPr="00012633">
              <w:rPr>
                <w:rStyle w:val="Hyperlink"/>
                <w:rFonts w:cstheme="minorHAnsi"/>
                <w:noProof/>
              </w:rPr>
              <w:t>5.2.2 What does Option 2 look like for impacted stakeholders?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_Toc125714703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30</w:t>
            </w:r>
            <w:r w:rsidR="00012633" w:rsidRPr="00012633">
              <w:rPr>
                <w:rFonts w:cstheme="minorHAnsi"/>
                <w:noProof/>
                <w:webHidden/>
              </w:rPr>
              <w:fldChar w:fldCharType="end"/>
            </w:r>
          </w:hyperlink>
        </w:p>
        <w:p w14:paraId="4CC32C74" w14:textId="5BFDEB2B" w:rsidR="00012633" w:rsidRPr="00012633" w:rsidRDefault="00D96BFB">
          <w:pPr>
            <w:pStyle w:val="TOC2"/>
            <w:tabs>
              <w:tab w:val="right" w:leader="dot" w:pos="9016"/>
            </w:tabs>
            <w:rPr>
              <w:rFonts w:eastAsiaTheme="minorEastAsia" w:cstheme="minorHAnsi"/>
              <w:noProof/>
              <w:lang w:eastAsia="en-AU"/>
            </w:rPr>
          </w:pPr>
          <w:hyperlink w:anchor="_Toc125714704" w:history="1">
            <w:r w:rsidR="00012633" w:rsidRPr="00012633">
              <w:rPr>
                <w:rStyle w:val="Hyperlink"/>
                <w:rFonts w:eastAsia="Calibri Light" w:cstheme="minorHAnsi"/>
                <w:noProof/>
              </w:rPr>
              <w:t>5.3</w:t>
            </w:r>
            <w:r w:rsidR="00012633" w:rsidRPr="00012633">
              <w:rPr>
                <w:rStyle w:val="Hyperlink"/>
                <w:rFonts w:eastAsia="Calibri Light" w:cstheme="minorHAnsi"/>
                <w:b/>
                <w:noProof/>
              </w:rPr>
              <w:t xml:space="preserve"> </w:t>
            </w:r>
            <w:r w:rsidR="00012633" w:rsidRPr="00012633">
              <w:rPr>
                <w:rStyle w:val="Hyperlink"/>
                <w:rFonts w:eastAsia="Calibri Light" w:cstheme="minorHAnsi"/>
                <w:noProof/>
              </w:rPr>
              <w:t>Option 3: Improve WGEA reporting processes for businesses and taking further action to drive accelerated change in Australian workplaces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_Toc125714704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31</w:t>
            </w:r>
            <w:r w:rsidR="00012633" w:rsidRPr="00012633">
              <w:rPr>
                <w:rFonts w:cstheme="minorHAnsi"/>
                <w:noProof/>
                <w:webHidden/>
              </w:rPr>
              <w:fldChar w:fldCharType="end"/>
            </w:r>
          </w:hyperlink>
        </w:p>
        <w:p w14:paraId="768D2B3D" w14:textId="1EEF887F" w:rsidR="00012633" w:rsidRPr="00012633" w:rsidRDefault="00D96BFB">
          <w:pPr>
            <w:pStyle w:val="TOC2"/>
            <w:tabs>
              <w:tab w:val="right" w:leader="dot" w:pos="9016"/>
            </w:tabs>
            <w:rPr>
              <w:rFonts w:eastAsiaTheme="minorEastAsia" w:cstheme="minorHAnsi"/>
              <w:noProof/>
              <w:lang w:eastAsia="en-AU"/>
            </w:rPr>
          </w:pPr>
          <w:hyperlink w:anchor="_Toc125714705" w:history="1">
            <w:r w:rsidR="00012633" w:rsidRPr="00012633">
              <w:rPr>
                <w:rStyle w:val="Hyperlink"/>
                <w:rFonts w:eastAsia="Calibri Light" w:cstheme="minorHAnsi"/>
                <w:noProof/>
              </w:rPr>
              <w:t>5.3.1 What elements of the problem does Option 3 address?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_Toc125714705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31</w:t>
            </w:r>
            <w:r w:rsidR="00012633" w:rsidRPr="00012633">
              <w:rPr>
                <w:rFonts w:cstheme="minorHAnsi"/>
                <w:noProof/>
                <w:webHidden/>
              </w:rPr>
              <w:fldChar w:fldCharType="end"/>
            </w:r>
          </w:hyperlink>
        </w:p>
        <w:p w14:paraId="20C0BFD8" w14:textId="3DF371F2" w:rsidR="00012633" w:rsidRPr="00012633" w:rsidRDefault="00D96BFB">
          <w:pPr>
            <w:pStyle w:val="TOC2"/>
            <w:tabs>
              <w:tab w:val="right" w:leader="dot" w:pos="9016"/>
            </w:tabs>
            <w:rPr>
              <w:rFonts w:eastAsiaTheme="minorEastAsia" w:cstheme="minorHAnsi"/>
              <w:noProof/>
              <w:lang w:eastAsia="en-AU"/>
            </w:rPr>
          </w:pPr>
          <w:hyperlink w:anchor="_Toc125714706" w:history="1">
            <w:r w:rsidR="00012633" w:rsidRPr="00012633">
              <w:rPr>
                <w:rStyle w:val="Hyperlink"/>
                <w:rFonts w:eastAsia="Calibri Light" w:cstheme="minorHAnsi"/>
                <w:noProof/>
              </w:rPr>
              <w:t>5.3.2 How does Option 3 address element 1 ‘Gaps exist in the current dataset’ of the problem?</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_Toc125714706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32</w:t>
            </w:r>
            <w:r w:rsidR="00012633" w:rsidRPr="00012633">
              <w:rPr>
                <w:rFonts w:cstheme="minorHAnsi"/>
                <w:noProof/>
                <w:webHidden/>
              </w:rPr>
              <w:fldChar w:fldCharType="end"/>
            </w:r>
          </w:hyperlink>
        </w:p>
        <w:p w14:paraId="1D8C7E8A" w14:textId="2B13D356" w:rsidR="00012633" w:rsidRPr="00012633" w:rsidRDefault="00D96BFB">
          <w:pPr>
            <w:pStyle w:val="TOC2"/>
            <w:tabs>
              <w:tab w:val="right" w:leader="dot" w:pos="9016"/>
            </w:tabs>
            <w:rPr>
              <w:rFonts w:eastAsiaTheme="minorEastAsia" w:cstheme="minorHAnsi"/>
              <w:noProof/>
              <w:lang w:eastAsia="en-AU"/>
            </w:rPr>
          </w:pPr>
          <w:hyperlink w:anchor="_Toc125714707" w:history="1">
            <w:r w:rsidR="00012633" w:rsidRPr="00012633">
              <w:rPr>
                <w:rStyle w:val="Hyperlink"/>
                <w:rFonts w:eastAsia="Calibri Light" w:cstheme="minorHAnsi"/>
                <w:noProof/>
              </w:rPr>
              <w:t>5.3.3 How does Option 3 address element 2 ‘Certain elements of reporting are burdensome on businesses’, of the problem?</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_Toc125714707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33</w:t>
            </w:r>
            <w:r w:rsidR="00012633" w:rsidRPr="00012633">
              <w:rPr>
                <w:rFonts w:cstheme="minorHAnsi"/>
                <w:noProof/>
                <w:webHidden/>
              </w:rPr>
              <w:fldChar w:fldCharType="end"/>
            </w:r>
          </w:hyperlink>
        </w:p>
        <w:p w14:paraId="31DF2909" w14:textId="3D145EE4" w:rsidR="00012633" w:rsidRPr="00012633" w:rsidRDefault="00D96BFB">
          <w:pPr>
            <w:pStyle w:val="TOC2"/>
            <w:tabs>
              <w:tab w:val="right" w:leader="dot" w:pos="9016"/>
            </w:tabs>
            <w:rPr>
              <w:rFonts w:eastAsiaTheme="minorEastAsia" w:cstheme="minorHAnsi"/>
              <w:noProof/>
              <w:lang w:eastAsia="en-AU"/>
            </w:rPr>
          </w:pPr>
          <w:hyperlink w:anchor="_Toc125714708" w:history="1">
            <w:r w:rsidR="00012633" w:rsidRPr="00012633">
              <w:rPr>
                <w:rStyle w:val="Hyperlink"/>
                <w:rFonts w:eastAsia="Calibri Light" w:cstheme="minorHAnsi"/>
                <w:noProof/>
              </w:rPr>
              <w:t>5.3.4 How does Option 3 address element 3 ‘Current regulation is not ambitious enough to drive change in achieving gender equality’?</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_Toc125714708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33</w:t>
            </w:r>
            <w:r w:rsidR="00012633" w:rsidRPr="00012633">
              <w:rPr>
                <w:rFonts w:cstheme="minorHAnsi"/>
                <w:noProof/>
                <w:webHidden/>
              </w:rPr>
              <w:fldChar w:fldCharType="end"/>
            </w:r>
          </w:hyperlink>
        </w:p>
        <w:p w14:paraId="5935FAE3" w14:textId="1488A5BF" w:rsidR="00012633" w:rsidRPr="00012633" w:rsidRDefault="00D96BFB">
          <w:pPr>
            <w:pStyle w:val="TOC2"/>
            <w:tabs>
              <w:tab w:val="right" w:leader="dot" w:pos="9016"/>
            </w:tabs>
            <w:rPr>
              <w:rFonts w:eastAsiaTheme="minorEastAsia" w:cstheme="minorHAnsi"/>
              <w:noProof/>
              <w:lang w:eastAsia="en-AU"/>
            </w:rPr>
          </w:pPr>
          <w:hyperlink w:anchor="_Toc125714709" w:history="1">
            <w:r w:rsidR="00012633" w:rsidRPr="00012633">
              <w:rPr>
                <w:rStyle w:val="Hyperlink"/>
                <w:rFonts w:eastAsia="Calibri Light" w:cstheme="minorHAnsi"/>
                <w:noProof/>
              </w:rPr>
              <w:t>5.3.5 What does Option 3 look like for impacted stakeholders?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_Toc125714709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35</w:t>
            </w:r>
            <w:r w:rsidR="00012633" w:rsidRPr="00012633">
              <w:rPr>
                <w:rFonts w:cstheme="minorHAnsi"/>
                <w:noProof/>
                <w:webHidden/>
              </w:rPr>
              <w:fldChar w:fldCharType="end"/>
            </w:r>
          </w:hyperlink>
        </w:p>
        <w:p w14:paraId="06E6AE49" w14:textId="2AB96967" w:rsidR="00012633" w:rsidRPr="00012633" w:rsidRDefault="00D96BFB">
          <w:pPr>
            <w:pStyle w:val="TOC1"/>
            <w:tabs>
              <w:tab w:val="left" w:pos="440"/>
              <w:tab w:val="right" w:leader="dot" w:pos="9016"/>
            </w:tabs>
            <w:rPr>
              <w:rFonts w:eastAsiaTheme="minorEastAsia" w:cstheme="minorHAnsi"/>
              <w:noProof/>
              <w:lang w:eastAsia="en-AU"/>
            </w:rPr>
          </w:pPr>
          <w:hyperlink w:anchor="_Toc125714710" w:history="1">
            <w:r w:rsidR="00012633" w:rsidRPr="00012633">
              <w:rPr>
                <w:rStyle w:val="Hyperlink"/>
                <w:rFonts w:cstheme="minorHAnsi"/>
                <w:noProof/>
              </w:rPr>
              <w:t>6.</w:t>
            </w:r>
            <w:r w:rsidR="00012633" w:rsidRPr="00012633">
              <w:rPr>
                <w:rFonts w:eastAsiaTheme="minorEastAsia" w:cstheme="minorHAnsi"/>
                <w:noProof/>
                <w:lang w:eastAsia="en-AU"/>
              </w:rPr>
              <w:tab/>
            </w:r>
            <w:r w:rsidR="00012633" w:rsidRPr="00012633">
              <w:rPr>
                <w:rStyle w:val="Hyperlink"/>
                <w:rFonts w:cstheme="minorHAnsi"/>
                <w:noProof/>
              </w:rPr>
              <w:t>Approach taken to determine the likely net benefit of each option</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_Toc125714710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38</w:t>
            </w:r>
            <w:r w:rsidR="00012633" w:rsidRPr="00012633">
              <w:rPr>
                <w:rFonts w:cstheme="minorHAnsi"/>
                <w:noProof/>
                <w:webHidden/>
              </w:rPr>
              <w:fldChar w:fldCharType="end"/>
            </w:r>
          </w:hyperlink>
        </w:p>
        <w:p w14:paraId="5AB8D580" w14:textId="57C842A3" w:rsidR="00012633" w:rsidRPr="00012633" w:rsidRDefault="00D96BFB">
          <w:pPr>
            <w:pStyle w:val="TOC2"/>
            <w:tabs>
              <w:tab w:val="right" w:leader="dot" w:pos="9016"/>
            </w:tabs>
            <w:rPr>
              <w:rFonts w:eastAsiaTheme="minorEastAsia" w:cstheme="minorHAnsi"/>
              <w:noProof/>
              <w:lang w:eastAsia="en-AU"/>
            </w:rPr>
          </w:pPr>
          <w:hyperlink w:anchor="_Toc125714711" w:history="1">
            <w:r w:rsidR="00012633" w:rsidRPr="00012633">
              <w:rPr>
                <w:rStyle w:val="Hyperlink"/>
                <w:rFonts w:cstheme="minorHAnsi"/>
                <w:noProof/>
              </w:rPr>
              <w:t>6.1 Overall impacts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_Toc125714711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39</w:t>
            </w:r>
            <w:r w:rsidR="00012633" w:rsidRPr="00012633">
              <w:rPr>
                <w:rFonts w:cstheme="minorHAnsi"/>
                <w:noProof/>
                <w:webHidden/>
              </w:rPr>
              <w:fldChar w:fldCharType="end"/>
            </w:r>
          </w:hyperlink>
        </w:p>
        <w:p w14:paraId="7FE36511" w14:textId="38244399" w:rsidR="00012633" w:rsidRPr="00012633" w:rsidRDefault="00D96BFB">
          <w:pPr>
            <w:pStyle w:val="TOC2"/>
            <w:tabs>
              <w:tab w:val="right" w:leader="dot" w:pos="9016"/>
            </w:tabs>
            <w:rPr>
              <w:rFonts w:eastAsiaTheme="minorEastAsia" w:cstheme="minorHAnsi"/>
              <w:noProof/>
              <w:lang w:eastAsia="en-AU"/>
            </w:rPr>
          </w:pPr>
          <w:hyperlink w:anchor="_Toc125714712" w:history="1">
            <w:r w:rsidR="00012633" w:rsidRPr="00012633">
              <w:rPr>
                <w:rStyle w:val="Hyperlink"/>
                <w:rFonts w:cstheme="minorHAnsi"/>
                <w:noProof/>
              </w:rPr>
              <w:t>6.2 Approach taken to calculation of regulatory costs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_Toc125714712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39</w:t>
            </w:r>
            <w:r w:rsidR="00012633" w:rsidRPr="00012633">
              <w:rPr>
                <w:rFonts w:cstheme="minorHAnsi"/>
                <w:noProof/>
                <w:webHidden/>
              </w:rPr>
              <w:fldChar w:fldCharType="end"/>
            </w:r>
          </w:hyperlink>
        </w:p>
        <w:p w14:paraId="51A927A6" w14:textId="2CFE3636" w:rsidR="00012633" w:rsidRPr="00012633" w:rsidRDefault="00D96BFB">
          <w:pPr>
            <w:pStyle w:val="TOC2"/>
            <w:tabs>
              <w:tab w:val="right" w:leader="dot" w:pos="9016"/>
            </w:tabs>
            <w:rPr>
              <w:rFonts w:eastAsiaTheme="minorEastAsia" w:cstheme="minorHAnsi"/>
              <w:noProof/>
              <w:lang w:eastAsia="en-AU"/>
            </w:rPr>
          </w:pPr>
          <w:hyperlink w:anchor="_Toc125714713" w:history="1">
            <w:r w:rsidR="00012633" w:rsidRPr="00012633">
              <w:rPr>
                <w:rStyle w:val="Hyperlink"/>
                <w:rFonts w:cstheme="minorHAnsi"/>
                <w:noProof/>
              </w:rPr>
              <w:t>6.3 Analysis of overseas models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_Toc125714713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40</w:t>
            </w:r>
            <w:r w:rsidR="00012633" w:rsidRPr="00012633">
              <w:rPr>
                <w:rFonts w:cstheme="minorHAnsi"/>
                <w:noProof/>
                <w:webHidden/>
              </w:rPr>
              <w:fldChar w:fldCharType="end"/>
            </w:r>
          </w:hyperlink>
        </w:p>
        <w:p w14:paraId="6162E97D" w14:textId="2C0F3869" w:rsidR="00012633" w:rsidRPr="00012633" w:rsidRDefault="00D96BFB">
          <w:pPr>
            <w:pStyle w:val="TOC1"/>
            <w:tabs>
              <w:tab w:val="left" w:pos="440"/>
              <w:tab w:val="right" w:leader="dot" w:pos="9016"/>
            </w:tabs>
            <w:rPr>
              <w:rFonts w:eastAsiaTheme="minorEastAsia" w:cstheme="minorHAnsi"/>
              <w:noProof/>
              <w:lang w:eastAsia="en-AU"/>
            </w:rPr>
          </w:pPr>
          <w:hyperlink w:anchor="_Toc125714714" w:history="1">
            <w:r w:rsidR="00012633" w:rsidRPr="00012633">
              <w:rPr>
                <w:rStyle w:val="Hyperlink"/>
                <w:rFonts w:cstheme="minorHAnsi"/>
                <w:noProof/>
              </w:rPr>
              <w:t>7.</w:t>
            </w:r>
            <w:r w:rsidR="00012633" w:rsidRPr="00012633">
              <w:rPr>
                <w:rFonts w:eastAsiaTheme="minorEastAsia" w:cstheme="minorHAnsi"/>
                <w:noProof/>
                <w:lang w:eastAsia="en-AU"/>
              </w:rPr>
              <w:tab/>
            </w:r>
            <w:r w:rsidR="00012633" w:rsidRPr="00012633">
              <w:rPr>
                <w:rStyle w:val="Hyperlink"/>
                <w:rFonts w:cstheme="minorHAnsi"/>
                <w:noProof/>
              </w:rPr>
              <w:t>Likely net benefit of Option 1 (status quo)</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_Toc125714714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42</w:t>
            </w:r>
            <w:r w:rsidR="00012633" w:rsidRPr="00012633">
              <w:rPr>
                <w:rFonts w:cstheme="minorHAnsi"/>
                <w:noProof/>
                <w:webHidden/>
              </w:rPr>
              <w:fldChar w:fldCharType="end"/>
            </w:r>
          </w:hyperlink>
        </w:p>
        <w:p w14:paraId="2AA4469D" w14:textId="5420BD1D" w:rsidR="00012633" w:rsidRPr="00012633" w:rsidRDefault="00D96BFB">
          <w:pPr>
            <w:pStyle w:val="TOC2"/>
            <w:tabs>
              <w:tab w:val="right" w:leader="dot" w:pos="9016"/>
            </w:tabs>
            <w:rPr>
              <w:rFonts w:eastAsiaTheme="minorEastAsia" w:cstheme="minorHAnsi"/>
              <w:noProof/>
              <w:lang w:eastAsia="en-AU"/>
            </w:rPr>
          </w:pPr>
          <w:hyperlink w:anchor="_Toc125714715" w:history="1">
            <w:r w:rsidR="00012633" w:rsidRPr="00012633">
              <w:rPr>
                <w:rStyle w:val="Hyperlink"/>
                <w:rFonts w:cstheme="minorHAnsi"/>
                <w:noProof/>
              </w:rPr>
              <w:t xml:space="preserve">7.1 </w:t>
            </w:r>
            <w:r w:rsidR="00012633" w:rsidRPr="00012633">
              <w:rPr>
                <w:rStyle w:val="Hyperlink"/>
                <w:rFonts w:eastAsia="Calibri Light" w:cstheme="minorHAnsi"/>
                <w:noProof/>
              </w:rPr>
              <w:t>Overall Impacts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_Toc125714715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42</w:t>
            </w:r>
            <w:r w:rsidR="00012633" w:rsidRPr="00012633">
              <w:rPr>
                <w:rFonts w:cstheme="minorHAnsi"/>
                <w:noProof/>
                <w:webHidden/>
              </w:rPr>
              <w:fldChar w:fldCharType="end"/>
            </w:r>
          </w:hyperlink>
        </w:p>
        <w:p w14:paraId="58E9C915" w14:textId="7A975526" w:rsidR="00012633" w:rsidRPr="00012633" w:rsidRDefault="00D96BFB" w:rsidP="00012633">
          <w:pPr>
            <w:pStyle w:val="TOC2"/>
            <w:tabs>
              <w:tab w:val="right" w:leader="dot" w:pos="9016"/>
            </w:tabs>
            <w:rPr>
              <w:rFonts w:eastAsiaTheme="minorEastAsia" w:cstheme="minorHAnsi"/>
              <w:noProof/>
              <w:lang w:eastAsia="en-AU"/>
            </w:rPr>
          </w:pPr>
          <w:hyperlink w:anchor="_Toc125714716" w:history="1">
            <w:r w:rsidR="00012633" w:rsidRPr="00012633">
              <w:rPr>
                <w:rStyle w:val="Hyperlink"/>
                <w:rFonts w:eastAsia="Calibri Light" w:cstheme="minorHAnsi"/>
                <w:noProof/>
              </w:rPr>
              <w:t>7.1.1 Individuals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_Toc125714716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42</w:t>
            </w:r>
            <w:r w:rsidR="00012633" w:rsidRPr="00012633">
              <w:rPr>
                <w:rFonts w:cstheme="minorHAnsi"/>
                <w:noProof/>
                <w:webHidden/>
              </w:rPr>
              <w:fldChar w:fldCharType="end"/>
            </w:r>
          </w:hyperlink>
        </w:p>
        <w:p w14:paraId="1BD41076" w14:textId="66BC2FAC" w:rsidR="00012633" w:rsidRPr="00012633" w:rsidRDefault="00D96BFB">
          <w:pPr>
            <w:pStyle w:val="TOC2"/>
            <w:tabs>
              <w:tab w:val="right" w:leader="dot" w:pos="9016"/>
            </w:tabs>
            <w:rPr>
              <w:rFonts w:eastAsiaTheme="minorEastAsia" w:cstheme="minorHAnsi"/>
              <w:noProof/>
              <w:lang w:eastAsia="en-AU"/>
            </w:rPr>
          </w:pPr>
          <w:hyperlink w:anchor="_Toc125714718" w:history="1">
            <w:r w:rsidR="00012633" w:rsidRPr="00012633">
              <w:rPr>
                <w:rStyle w:val="Hyperlink"/>
                <w:rFonts w:eastAsia="Calibri Light" w:cstheme="minorHAnsi"/>
                <w:noProof/>
              </w:rPr>
              <w:t>7.1.2 – Medium and Large Businesses (and Community Organisations)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_Toc125714718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45</w:t>
            </w:r>
            <w:r w:rsidR="00012633" w:rsidRPr="00012633">
              <w:rPr>
                <w:rFonts w:cstheme="minorHAnsi"/>
                <w:noProof/>
                <w:webHidden/>
              </w:rPr>
              <w:fldChar w:fldCharType="end"/>
            </w:r>
          </w:hyperlink>
        </w:p>
        <w:p w14:paraId="31882C93" w14:textId="6699F174" w:rsidR="00012633" w:rsidRPr="00012633" w:rsidRDefault="00D96BFB">
          <w:pPr>
            <w:pStyle w:val="TOC2"/>
            <w:tabs>
              <w:tab w:val="right" w:leader="dot" w:pos="9016"/>
            </w:tabs>
            <w:rPr>
              <w:rFonts w:eastAsiaTheme="minorEastAsia" w:cstheme="minorHAnsi"/>
              <w:noProof/>
              <w:lang w:eastAsia="en-AU"/>
            </w:rPr>
          </w:pPr>
          <w:hyperlink w:anchor="_Toc125714719" w:history="1">
            <w:r w:rsidR="00012633" w:rsidRPr="00012633">
              <w:rPr>
                <w:rStyle w:val="Hyperlink"/>
                <w:rFonts w:cstheme="minorHAnsi"/>
                <w:noProof/>
              </w:rPr>
              <w:t>7.1.3 Government</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_Toc125714719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46</w:t>
            </w:r>
            <w:r w:rsidR="00012633" w:rsidRPr="00012633">
              <w:rPr>
                <w:rFonts w:cstheme="minorHAnsi"/>
                <w:noProof/>
                <w:webHidden/>
              </w:rPr>
              <w:fldChar w:fldCharType="end"/>
            </w:r>
          </w:hyperlink>
        </w:p>
        <w:p w14:paraId="5022D599" w14:textId="56BE5AF0" w:rsidR="00012633" w:rsidRPr="00012633" w:rsidRDefault="00D96BFB">
          <w:pPr>
            <w:pStyle w:val="TOC2"/>
            <w:tabs>
              <w:tab w:val="right" w:leader="dot" w:pos="9016"/>
            </w:tabs>
            <w:rPr>
              <w:rFonts w:eastAsiaTheme="minorEastAsia" w:cstheme="minorHAnsi"/>
              <w:noProof/>
              <w:lang w:eastAsia="en-AU"/>
            </w:rPr>
          </w:pPr>
          <w:hyperlink w:anchor="_Toc125714720" w:history="1">
            <w:r w:rsidR="00012633" w:rsidRPr="00012633">
              <w:rPr>
                <w:rStyle w:val="Hyperlink"/>
                <w:rFonts w:cstheme="minorHAnsi"/>
                <w:noProof/>
              </w:rPr>
              <w:t>7.2 Estimated Regulatory Costs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_Toc125714720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46</w:t>
            </w:r>
            <w:r w:rsidR="00012633" w:rsidRPr="00012633">
              <w:rPr>
                <w:rFonts w:cstheme="minorHAnsi"/>
                <w:noProof/>
                <w:webHidden/>
              </w:rPr>
              <w:fldChar w:fldCharType="end"/>
            </w:r>
          </w:hyperlink>
        </w:p>
        <w:p w14:paraId="63693262" w14:textId="3AF22D41" w:rsidR="00012633" w:rsidRPr="00012633" w:rsidRDefault="00D96BFB">
          <w:pPr>
            <w:pStyle w:val="TOC2"/>
            <w:tabs>
              <w:tab w:val="right" w:leader="dot" w:pos="9016"/>
            </w:tabs>
            <w:rPr>
              <w:rFonts w:eastAsiaTheme="minorEastAsia" w:cstheme="minorHAnsi"/>
              <w:noProof/>
              <w:lang w:eastAsia="en-AU"/>
            </w:rPr>
          </w:pPr>
          <w:hyperlink w:anchor="_Toc125714721" w:history="1">
            <w:r w:rsidR="00012633" w:rsidRPr="00012633">
              <w:rPr>
                <w:rStyle w:val="Hyperlink"/>
                <w:rFonts w:cstheme="minorHAnsi"/>
                <w:noProof/>
              </w:rPr>
              <w:t>7.3 Overall net benefit/ cost</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_Toc125714721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47</w:t>
            </w:r>
            <w:r w:rsidR="00012633" w:rsidRPr="00012633">
              <w:rPr>
                <w:rFonts w:cstheme="minorHAnsi"/>
                <w:noProof/>
                <w:webHidden/>
              </w:rPr>
              <w:fldChar w:fldCharType="end"/>
            </w:r>
          </w:hyperlink>
        </w:p>
        <w:p w14:paraId="55BED7B4" w14:textId="4398375C" w:rsidR="00012633" w:rsidRPr="00012633" w:rsidRDefault="00D96BFB">
          <w:pPr>
            <w:pStyle w:val="TOC1"/>
            <w:tabs>
              <w:tab w:val="left" w:pos="440"/>
              <w:tab w:val="right" w:leader="dot" w:pos="9016"/>
            </w:tabs>
            <w:rPr>
              <w:rFonts w:eastAsiaTheme="minorEastAsia" w:cstheme="minorHAnsi"/>
              <w:noProof/>
              <w:lang w:eastAsia="en-AU"/>
            </w:rPr>
          </w:pPr>
          <w:hyperlink w:anchor="_Toc125714722" w:history="1">
            <w:r w:rsidR="00012633" w:rsidRPr="00012633">
              <w:rPr>
                <w:rStyle w:val="Hyperlink"/>
                <w:rFonts w:cstheme="minorHAnsi"/>
                <w:noProof/>
                <w:highlight w:val="lightGray"/>
              </w:rPr>
              <w:t>8.</w:t>
            </w:r>
            <w:r w:rsidR="00012633" w:rsidRPr="00012633">
              <w:rPr>
                <w:rFonts w:eastAsiaTheme="minorEastAsia" w:cstheme="minorHAnsi"/>
                <w:noProof/>
                <w:lang w:eastAsia="en-AU"/>
              </w:rPr>
              <w:tab/>
            </w:r>
            <w:r w:rsidR="00012633" w:rsidRPr="00012633">
              <w:rPr>
                <w:rStyle w:val="Hyperlink"/>
                <w:rFonts w:cstheme="minorHAnsi"/>
                <w:noProof/>
              </w:rPr>
              <w:t>Likely net benefit of Option 2</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_Toc125714722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49</w:t>
            </w:r>
            <w:r w:rsidR="00012633" w:rsidRPr="00012633">
              <w:rPr>
                <w:rFonts w:cstheme="minorHAnsi"/>
                <w:noProof/>
                <w:webHidden/>
              </w:rPr>
              <w:fldChar w:fldCharType="end"/>
            </w:r>
          </w:hyperlink>
        </w:p>
        <w:p w14:paraId="15660922" w14:textId="067E6BC9" w:rsidR="00012633" w:rsidRPr="00012633" w:rsidRDefault="00D96BFB">
          <w:pPr>
            <w:pStyle w:val="TOC2"/>
            <w:tabs>
              <w:tab w:val="right" w:leader="dot" w:pos="9016"/>
            </w:tabs>
            <w:rPr>
              <w:rFonts w:eastAsiaTheme="minorEastAsia" w:cstheme="minorHAnsi"/>
              <w:noProof/>
              <w:lang w:eastAsia="en-AU"/>
            </w:rPr>
          </w:pPr>
          <w:hyperlink w:anchor="_Toc125714723" w:history="1">
            <w:r w:rsidR="00012633" w:rsidRPr="00012633">
              <w:rPr>
                <w:rStyle w:val="Hyperlink"/>
                <w:rFonts w:cstheme="minorHAnsi"/>
                <w:noProof/>
              </w:rPr>
              <w:t>8.1 Overall Impacts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_Toc125714723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49</w:t>
            </w:r>
            <w:r w:rsidR="00012633" w:rsidRPr="00012633">
              <w:rPr>
                <w:rFonts w:cstheme="minorHAnsi"/>
                <w:noProof/>
                <w:webHidden/>
              </w:rPr>
              <w:fldChar w:fldCharType="end"/>
            </w:r>
          </w:hyperlink>
        </w:p>
        <w:p w14:paraId="067910AE" w14:textId="0DF3A21C" w:rsidR="00012633" w:rsidRPr="00012633" w:rsidRDefault="00D96BFB">
          <w:pPr>
            <w:pStyle w:val="TOC2"/>
            <w:tabs>
              <w:tab w:val="right" w:leader="dot" w:pos="9016"/>
            </w:tabs>
            <w:rPr>
              <w:rFonts w:eastAsiaTheme="minorEastAsia" w:cstheme="minorHAnsi"/>
              <w:noProof/>
              <w:lang w:eastAsia="en-AU"/>
            </w:rPr>
          </w:pPr>
          <w:hyperlink w:anchor="_Toc125714724" w:history="1">
            <w:r w:rsidR="00012633" w:rsidRPr="00012633">
              <w:rPr>
                <w:rStyle w:val="Hyperlink"/>
                <w:rFonts w:eastAsia="Calibri Light" w:cstheme="minorHAnsi"/>
                <w:noProof/>
              </w:rPr>
              <w:t>8.1.1 Individuals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_Toc125714724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49</w:t>
            </w:r>
            <w:r w:rsidR="00012633" w:rsidRPr="00012633">
              <w:rPr>
                <w:rFonts w:cstheme="minorHAnsi"/>
                <w:noProof/>
                <w:webHidden/>
              </w:rPr>
              <w:fldChar w:fldCharType="end"/>
            </w:r>
          </w:hyperlink>
        </w:p>
        <w:p w14:paraId="6D81A6F2" w14:textId="509142BE" w:rsidR="00012633" w:rsidRPr="00012633" w:rsidRDefault="00D96BFB">
          <w:pPr>
            <w:pStyle w:val="TOC2"/>
            <w:tabs>
              <w:tab w:val="right" w:leader="dot" w:pos="9016"/>
            </w:tabs>
            <w:rPr>
              <w:rFonts w:eastAsiaTheme="minorEastAsia" w:cstheme="minorHAnsi"/>
              <w:noProof/>
              <w:lang w:eastAsia="en-AU"/>
            </w:rPr>
          </w:pPr>
          <w:hyperlink w:anchor="_Toc125714725" w:history="1">
            <w:r w:rsidR="00012633" w:rsidRPr="00012633">
              <w:rPr>
                <w:rStyle w:val="Hyperlink"/>
                <w:rFonts w:eastAsia="Calibri Light" w:cstheme="minorHAnsi"/>
                <w:noProof/>
              </w:rPr>
              <w:t>8.1.2 Medium and Large Businesses (and Community Organisations)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_Toc125714725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49</w:t>
            </w:r>
            <w:r w:rsidR="00012633" w:rsidRPr="00012633">
              <w:rPr>
                <w:rFonts w:cstheme="minorHAnsi"/>
                <w:noProof/>
                <w:webHidden/>
              </w:rPr>
              <w:fldChar w:fldCharType="end"/>
            </w:r>
          </w:hyperlink>
        </w:p>
        <w:p w14:paraId="21EE738C" w14:textId="2FDE5B15" w:rsidR="00012633" w:rsidRPr="00012633" w:rsidRDefault="00D96BFB">
          <w:pPr>
            <w:pStyle w:val="TOC2"/>
            <w:tabs>
              <w:tab w:val="right" w:leader="dot" w:pos="9016"/>
            </w:tabs>
            <w:rPr>
              <w:rFonts w:eastAsiaTheme="minorEastAsia" w:cstheme="minorHAnsi"/>
              <w:noProof/>
              <w:lang w:eastAsia="en-AU"/>
            </w:rPr>
          </w:pPr>
          <w:hyperlink w:anchor="_Toc125714726" w:history="1">
            <w:r w:rsidR="00012633" w:rsidRPr="00012633">
              <w:rPr>
                <w:rStyle w:val="Hyperlink"/>
                <w:rFonts w:cstheme="minorHAnsi"/>
                <w:noProof/>
              </w:rPr>
              <w:t>8.1.3 Government</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_Toc125714726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50</w:t>
            </w:r>
            <w:r w:rsidR="00012633" w:rsidRPr="00012633">
              <w:rPr>
                <w:rFonts w:cstheme="minorHAnsi"/>
                <w:noProof/>
                <w:webHidden/>
              </w:rPr>
              <w:fldChar w:fldCharType="end"/>
            </w:r>
          </w:hyperlink>
        </w:p>
        <w:p w14:paraId="53D38F69" w14:textId="59BC8DEB" w:rsidR="00012633" w:rsidRPr="00012633" w:rsidRDefault="00D96BFB">
          <w:pPr>
            <w:pStyle w:val="TOC2"/>
            <w:tabs>
              <w:tab w:val="right" w:leader="dot" w:pos="9016"/>
            </w:tabs>
            <w:rPr>
              <w:rFonts w:eastAsiaTheme="minorEastAsia" w:cstheme="minorHAnsi"/>
              <w:noProof/>
              <w:lang w:eastAsia="en-AU"/>
            </w:rPr>
          </w:pPr>
          <w:hyperlink w:anchor="_Toc125714727" w:history="1">
            <w:r w:rsidR="00012633" w:rsidRPr="00012633">
              <w:rPr>
                <w:rStyle w:val="Hyperlink"/>
                <w:rFonts w:cstheme="minorHAnsi"/>
                <w:noProof/>
              </w:rPr>
              <w:t>8.4 Estimated regulatory costs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_Toc125714727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50</w:t>
            </w:r>
            <w:r w:rsidR="00012633" w:rsidRPr="00012633">
              <w:rPr>
                <w:rFonts w:cstheme="minorHAnsi"/>
                <w:noProof/>
                <w:webHidden/>
              </w:rPr>
              <w:fldChar w:fldCharType="end"/>
            </w:r>
          </w:hyperlink>
        </w:p>
        <w:p w14:paraId="763188E8" w14:textId="1942055F" w:rsidR="00012633" w:rsidRPr="00012633" w:rsidRDefault="00D96BFB">
          <w:pPr>
            <w:pStyle w:val="TOC2"/>
            <w:tabs>
              <w:tab w:val="right" w:leader="dot" w:pos="9016"/>
            </w:tabs>
            <w:rPr>
              <w:rFonts w:eastAsiaTheme="minorEastAsia" w:cstheme="minorHAnsi"/>
              <w:noProof/>
              <w:lang w:eastAsia="en-AU"/>
            </w:rPr>
          </w:pPr>
          <w:hyperlink w:anchor="_Toc125714728" w:history="1">
            <w:r w:rsidR="00012633" w:rsidRPr="00012633">
              <w:rPr>
                <w:rStyle w:val="Hyperlink"/>
                <w:rFonts w:cstheme="minorHAnsi"/>
                <w:noProof/>
              </w:rPr>
              <w:t>8.5 Overall net benefit</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_Toc125714728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51</w:t>
            </w:r>
            <w:r w:rsidR="00012633" w:rsidRPr="00012633">
              <w:rPr>
                <w:rFonts w:cstheme="minorHAnsi"/>
                <w:noProof/>
                <w:webHidden/>
              </w:rPr>
              <w:fldChar w:fldCharType="end"/>
            </w:r>
          </w:hyperlink>
        </w:p>
        <w:p w14:paraId="655E1D59" w14:textId="2905D7D6" w:rsidR="00012633" w:rsidRPr="00012633" w:rsidRDefault="00D96BFB">
          <w:pPr>
            <w:pStyle w:val="TOC1"/>
            <w:tabs>
              <w:tab w:val="left" w:pos="440"/>
              <w:tab w:val="right" w:leader="dot" w:pos="9016"/>
            </w:tabs>
            <w:rPr>
              <w:rFonts w:eastAsiaTheme="minorEastAsia" w:cstheme="minorHAnsi"/>
              <w:noProof/>
              <w:lang w:eastAsia="en-AU"/>
            </w:rPr>
          </w:pPr>
          <w:hyperlink w:anchor="_Toc125714729" w:history="1">
            <w:r w:rsidR="00012633" w:rsidRPr="00012633">
              <w:rPr>
                <w:rStyle w:val="Hyperlink"/>
                <w:rFonts w:cstheme="minorHAnsi"/>
                <w:noProof/>
              </w:rPr>
              <w:t>9.</w:t>
            </w:r>
            <w:r w:rsidR="00012633" w:rsidRPr="00012633">
              <w:rPr>
                <w:rFonts w:eastAsiaTheme="minorEastAsia" w:cstheme="minorHAnsi"/>
                <w:noProof/>
                <w:lang w:eastAsia="en-AU"/>
              </w:rPr>
              <w:tab/>
            </w:r>
            <w:r w:rsidR="00012633" w:rsidRPr="00012633">
              <w:rPr>
                <w:rStyle w:val="Hyperlink"/>
                <w:rFonts w:cstheme="minorHAnsi"/>
                <w:noProof/>
              </w:rPr>
              <w:t>Likely net benefit of Option 3</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_Toc125714729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52</w:t>
            </w:r>
            <w:r w:rsidR="00012633" w:rsidRPr="00012633">
              <w:rPr>
                <w:rFonts w:cstheme="minorHAnsi"/>
                <w:noProof/>
                <w:webHidden/>
              </w:rPr>
              <w:fldChar w:fldCharType="end"/>
            </w:r>
          </w:hyperlink>
        </w:p>
        <w:p w14:paraId="6698BCEA" w14:textId="1B58BC61" w:rsidR="00012633" w:rsidRPr="00012633" w:rsidRDefault="00D96BFB">
          <w:pPr>
            <w:pStyle w:val="TOC2"/>
            <w:tabs>
              <w:tab w:val="right" w:leader="dot" w:pos="9016"/>
            </w:tabs>
            <w:rPr>
              <w:rFonts w:eastAsiaTheme="minorEastAsia" w:cstheme="minorHAnsi"/>
              <w:noProof/>
              <w:lang w:eastAsia="en-AU"/>
            </w:rPr>
          </w:pPr>
          <w:hyperlink w:anchor="_Toc125714730" w:history="1">
            <w:r w:rsidR="00012633" w:rsidRPr="00012633">
              <w:rPr>
                <w:rStyle w:val="Hyperlink"/>
                <w:rFonts w:cstheme="minorHAnsi"/>
                <w:noProof/>
              </w:rPr>
              <w:t>9.1 Overall Impacts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_Toc125714730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52</w:t>
            </w:r>
            <w:r w:rsidR="00012633" w:rsidRPr="00012633">
              <w:rPr>
                <w:rFonts w:cstheme="minorHAnsi"/>
                <w:noProof/>
                <w:webHidden/>
              </w:rPr>
              <w:fldChar w:fldCharType="end"/>
            </w:r>
          </w:hyperlink>
        </w:p>
        <w:p w14:paraId="0C945832" w14:textId="4FBABC16" w:rsidR="00012633" w:rsidRPr="00012633" w:rsidRDefault="00D96BFB">
          <w:pPr>
            <w:pStyle w:val="TOC2"/>
            <w:tabs>
              <w:tab w:val="right" w:leader="dot" w:pos="9016"/>
            </w:tabs>
            <w:rPr>
              <w:rFonts w:eastAsiaTheme="minorEastAsia" w:cstheme="minorHAnsi"/>
              <w:noProof/>
              <w:lang w:eastAsia="en-AU"/>
            </w:rPr>
          </w:pPr>
          <w:hyperlink w:anchor="_Toc125714731" w:history="1">
            <w:r w:rsidR="00012633" w:rsidRPr="00012633">
              <w:rPr>
                <w:rStyle w:val="Hyperlink"/>
                <w:rFonts w:eastAsia="Calibri Light" w:cstheme="minorHAnsi"/>
                <w:noProof/>
              </w:rPr>
              <w:t>9.1.1 Individuals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_Toc125714731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52</w:t>
            </w:r>
            <w:r w:rsidR="00012633" w:rsidRPr="00012633">
              <w:rPr>
                <w:rFonts w:cstheme="minorHAnsi"/>
                <w:noProof/>
                <w:webHidden/>
              </w:rPr>
              <w:fldChar w:fldCharType="end"/>
            </w:r>
          </w:hyperlink>
        </w:p>
        <w:p w14:paraId="32081AF4" w14:textId="12CD87B9" w:rsidR="00012633" w:rsidRPr="00012633" w:rsidRDefault="00D96BFB">
          <w:pPr>
            <w:pStyle w:val="TOC2"/>
            <w:tabs>
              <w:tab w:val="right" w:leader="dot" w:pos="9016"/>
            </w:tabs>
            <w:rPr>
              <w:rFonts w:eastAsiaTheme="minorEastAsia" w:cstheme="minorHAnsi"/>
              <w:noProof/>
              <w:lang w:eastAsia="en-AU"/>
            </w:rPr>
          </w:pPr>
          <w:hyperlink w:anchor="_Toc125714732" w:history="1">
            <w:r w:rsidR="00012633" w:rsidRPr="00012633">
              <w:rPr>
                <w:rStyle w:val="Hyperlink"/>
                <w:rFonts w:eastAsia="Calibri Light" w:cstheme="minorHAnsi"/>
                <w:noProof/>
              </w:rPr>
              <w:t>9.1.2 Medium and Large Businesses (and Community Organisations)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_Toc125714732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54</w:t>
            </w:r>
            <w:r w:rsidR="00012633" w:rsidRPr="00012633">
              <w:rPr>
                <w:rFonts w:cstheme="minorHAnsi"/>
                <w:noProof/>
                <w:webHidden/>
              </w:rPr>
              <w:fldChar w:fldCharType="end"/>
            </w:r>
          </w:hyperlink>
        </w:p>
        <w:p w14:paraId="7BFEE398" w14:textId="6BAB236E" w:rsidR="00012633" w:rsidRPr="00012633" w:rsidRDefault="00D96BFB">
          <w:pPr>
            <w:pStyle w:val="TOC2"/>
            <w:tabs>
              <w:tab w:val="right" w:leader="dot" w:pos="9016"/>
            </w:tabs>
            <w:rPr>
              <w:rFonts w:eastAsiaTheme="minorEastAsia" w:cstheme="minorHAnsi"/>
              <w:noProof/>
              <w:lang w:eastAsia="en-AU"/>
            </w:rPr>
          </w:pPr>
          <w:hyperlink w:anchor="_Toc125714733" w:history="1">
            <w:r w:rsidR="00012633" w:rsidRPr="00012633">
              <w:rPr>
                <w:rStyle w:val="Hyperlink"/>
                <w:rFonts w:eastAsia="Calibri Light" w:cstheme="minorHAnsi"/>
                <w:noProof/>
              </w:rPr>
              <w:t>9.1.3 Government</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_Toc125714733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57</w:t>
            </w:r>
            <w:r w:rsidR="00012633" w:rsidRPr="00012633">
              <w:rPr>
                <w:rFonts w:cstheme="minorHAnsi"/>
                <w:noProof/>
                <w:webHidden/>
              </w:rPr>
              <w:fldChar w:fldCharType="end"/>
            </w:r>
          </w:hyperlink>
        </w:p>
        <w:p w14:paraId="7C6E4011" w14:textId="499DD433" w:rsidR="00012633" w:rsidRPr="00012633" w:rsidRDefault="00D96BFB">
          <w:pPr>
            <w:pStyle w:val="TOC2"/>
            <w:tabs>
              <w:tab w:val="right" w:leader="dot" w:pos="9016"/>
            </w:tabs>
            <w:rPr>
              <w:rFonts w:eastAsiaTheme="minorEastAsia" w:cstheme="minorHAnsi"/>
              <w:noProof/>
              <w:lang w:eastAsia="en-AU"/>
            </w:rPr>
          </w:pPr>
          <w:hyperlink w:anchor="_Toc125714734" w:history="1">
            <w:r w:rsidR="00012633" w:rsidRPr="00012633">
              <w:rPr>
                <w:rStyle w:val="Hyperlink"/>
                <w:rFonts w:cstheme="minorHAnsi"/>
                <w:noProof/>
              </w:rPr>
              <w:t>9.2 Estimated Regulatory Costs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_Toc125714734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57</w:t>
            </w:r>
            <w:r w:rsidR="00012633" w:rsidRPr="00012633">
              <w:rPr>
                <w:rFonts w:cstheme="minorHAnsi"/>
                <w:noProof/>
                <w:webHidden/>
              </w:rPr>
              <w:fldChar w:fldCharType="end"/>
            </w:r>
          </w:hyperlink>
        </w:p>
        <w:p w14:paraId="2C9CC423" w14:textId="249C39B7" w:rsidR="00012633" w:rsidRPr="00012633" w:rsidRDefault="00D96BFB">
          <w:pPr>
            <w:pStyle w:val="TOC2"/>
            <w:tabs>
              <w:tab w:val="right" w:leader="dot" w:pos="9016"/>
            </w:tabs>
            <w:rPr>
              <w:rFonts w:eastAsiaTheme="minorEastAsia" w:cstheme="minorHAnsi"/>
              <w:noProof/>
              <w:lang w:eastAsia="en-AU"/>
            </w:rPr>
          </w:pPr>
          <w:hyperlink w:anchor="_Toc125714735" w:history="1">
            <w:r w:rsidR="00012633" w:rsidRPr="00012633">
              <w:rPr>
                <w:rStyle w:val="Hyperlink"/>
                <w:rFonts w:cstheme="minorHAnsi"/>
                <w:noProof/>
              </w:rPr>
              <w:t>9.3 Overall net benefit</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_Toc125714735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59</w:t>
            </w:r>
            <w:r w:rsidR="00012633" w:rsidRPr="00012633">
              <w:rPr>
                <w:rFonts w:cstheme="minorHAnsi"/>
                <w:noProof/>
                <w:webHidden/>
              </w:rPr>
              <w:fldChar w:fldCharType="end"/>
            </w:r>
          </w:hyperlink>
        </w:p>
        <w:p w14:paraId="151D4537" w14:textId="6DB7863F" w:rsidR="00012633" w:rsidRPr="00012633" w:rsidRDefault="00D96BFB">
          <w:pPr>
            <w:pStyle w:val="TOC1"/>
            <w:tabs>
              <w:tab w:val="left" w:pos="660"/>
              <w:tab w:val="right" w:leader="dot" w:pos="9016"/>
            </w:tabs>
            <w:rPr>
              <w:rFonts w:eastAsiaTheme="minorEastAsia" w:cstheme="minorHAnsi"/>
              <w:noProof/>
              <w:lang w:eastAsia="en-AU"/>
            </w:rPr>
          </w:pPr>
          <w:hyperlink w:anchor="_Toc125714736" w:history="1">
            <w:r w:rsidR="00012633" w:rsidRPr="00012633">
              <w:rPr>
                <w:rStyle w:val="Hyperlink"/>
                <w:rFonts w:eastAsiaTheme="majorEastAsia" w:cstheme="minorHAnsi"/>
                <w:noProof/>
                <w:lang w:val="en-GB"/>
              </w:rPr>
              <w:t>10.</w:t>
            </w:r>
            <w:r w:rsidR="00012633" w:rsidRPr="00012633">
              <w:rPr>
                <w:rFonts w:eastAsiaTheme="minorEastAsia" w:cstheme="minorHAnsi"/>
                <w:noProof/>
                <w:lang w:eastAsia="en-AU"/>
              </w:rPr>
              <w:tab/>
            </w:r>
            <w:r w:rsidR="00012633" w:rsidRPr="00012633">
              <w:rPr>
                <w:rStyle w:val="Hyperlink"/>
                <w:rFonts w:eastAsiaTheme="majorEastAsia" w:cstheme="minorHAnsi"/>
                <w:noProof/>
                <w:lang w:val="en-GB"/>
              </w:rPr>
              <w:t>Consultation and incorporation of feedback</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_Toc125714736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59</w:t>
            </w:r>
            <w:r w:rsidR="00012633" w:rsidRPr="00012633">
              <w:rPr>
                <w:rFonts w:cstheme="minorHAnsi"/>
                <w:noProof/>
                <w:webHidden/>
              </w:rPr>
              <w:fldChar w:fldCharType="end"/>
            </w:r>
          </w:hyperlink>
        </w:p>
        <w:p w14:paraId="1EF501EF" w14:textId="6B53EFDE" w:rsidR="00012633" w:rsidRPr="00012633" w:rsidRDefault="00D96BFB">
          <w:pPr>
            <w:pStyle w:val="TOC2"/>
            <w:tabs>
              <w:tab w:val="right" w:leader="dot" w:pos="9016"/>
            </w:tabs>
            <w:rPr>
              <w:rFonts w:eastAsiaTheme="minorEastAsia" w:cstheme="minorHAnsi"/>
              <w:noProof/>
              <w:lang w:eastAsia="en-AU"/>
            </w:rPr>
          </w:pPr>
          <w:hyperlink w:anchor="_Toc125714737" w:history="1">
            <w:r w:rsidR="00012633" w:rsidRPr="00012633">
              <w:rPr>
                <w:rStyle w:val="Hyperlink"/>
                <w:rFonts w:eastAsiaTheme="majorEastAsia" w:cstheme="minorHAnsi"/>
                <w:noProof/>
                <w:lang w:val="en-GB"/>
              </w:rPr>
              <w:t>10.1 Purpose and Objectives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_Toc125714737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59</w:t>
            </w:r>
            <w:r w:rsidR="00012633" w:rsidRPr="00012633">
              <w:rPr>
                <w:rFonts w:cstheme="minorHAnsi"/>
                <w:noProof/>
                <w:webHidden/>
              </w:rPr>
              <w:fldChar w:fldCharType="end"/>
            </w:r>
          </w:hyperlink>
        </w:p>
        <w:p w14:paraId="3857F515" w14:textId="5673169F" w:rsidR="00012633" w:rsidRPr="00012633" w:rsidRDefault="00D96BFB">
          <w:pPr>
            <w:pStyle w:val="TOC2"/>
            <w:tabs>
              <w:tab w:val="right" w:leader="dot" w:pos="9016"/>
            </w:tabs>
            <w:rPr>
              <w:rFonts w:eastAsiaTheme="minorEastAsia" w:cstheme="minorHAnsi"/>
              <w:noProof/>
              <w:lang w:eastAsia="en-AU"/>
            </w:rPr>
          </w:pPr>
          <w:hyperlink w:anchor="_Toc125714738" w:history="1">
            <w:r w:rsidR="00012633" w:rsidRPr="00012633">
              <w:rPr>
                <w:rStyle w:val="Hyperlink"/>
                <w:rFonts w:eastAsiaTheme="majorEastAsia" w:cstheme="minorHAnsi"/>
                <w:noProof/>
                <w:lang w:val="en-GB"/>
              </w:rPr>
              <w:t>10.2 Review Consultation</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_Toc125714738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60</w:t>
            </w:r>
            <w:r w:rsidR="00012633" w:rsidRPr="00012633">
              <w:rPr>
                <w:rFonts w:cstheme="minorHAnsi"/>
                <w:noProof/>
                <w:webHidden/>
              </w:rPr>
              <w:fldChar w:fldCharType="end"/>
            </w:r>
          </w:hyperlink>
        </w:p>
        <w:p w14:paraId="2161F681" w14:textId="363AA25A" w:rsidR="00012633" w:rsidRPr="00012633" w:rsidRDefault="00D96BFB">
          <w:pPr>
            <w:pStyle w:val="TOC2"/>
            <w:tabs>
              <w:tab w:val="right" w:leader="dot" w:pos="9016"/>
            </w:tabs>
            <w:rPr>
              <w:rFonts w:eastAsiaTheme="minorEastAsia" w:cstheme="minorHAnsi"/>
              <w:noProof/>
              <w:lang w:eastAsia="en-AU"/>
            </w:rPr>
          </w:pPr>
          <w:hyperlink w:anchor="_Toc125714739" w:history="1">
            <w:r w:rsidR="00012633" w:rsidRPr="00012633">
              <w:rPr>
                <w:rStyle w:val="Hyperlink"/>
                <w:rFonts w:eastAsiaTheme="majorEastAsia" w:cstheme="minorHAnsi"/>
                <w:noProof/>
                <w:lang w:val="en-GB"/>
              </w:rPr>
              <w:t>10.3 Consultation Methodology</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_Toc125714739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60</w:t>
            </w:r>
            <w:r w:rsidR="00012633" w:rsidRPr="00012633">
              <w:rPr>
                <w:rFonts w:cstheme="minorHAnsi"/>
                <w:noProof/>
                <w:webHidden/>
              </w:rPr>
              <w:fldChar w:fldCharType="end"/>
            </w:r>
          </w:hyperlink>
        </w:p>
        <w:p w14:paraId="463A7E77" w14:textId="092FF635" w:rsidR="00012633" w:rsidRPr="00012633" w:rsidRDefault="00D96BFB">
          <w:pPr>
            <w:pStyle w:val="TOC2"/>
            <w:tabs>
              <w:tab w:val="right" w:leader="dot" w:pos="9016"/>
            </w:tabs>
            <w:rPr>
              <w:rFonts w:eastAsiaTheme="minorEastAsia" w:cstheme="minorHAnsi"/>
              <w:noProof/>
              <w:lang w:eastAsia="en-AU"/>
            </w:rPr>
          </w:pPr>
          <w:hyperlink w:anchor="_Toc125714740" w:history="1">
            <w:r w:rsidR="00012633" w:rsidRPr="00012633">
              <w:rPr>
                <w:rStyle w:val="Hyperlink"/>
                <w:rFonts w:eastAsiaTheme="majorEastAsia" w:cstheme="minorHAnsi"/>
                <w:noProof/>
              </w:rPr>
              <w:t>10.4 Principal Views of Stakeholders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_Toc125714740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62</w:t>
            </w:r>
            <w:r w:rsidR="00012633" w:rsidRPr="00012633">
              <w:rPr>
                <w:rFonts w:cstheme="minorHAnsi"/>
                <w:noProof/>
                <w:webHidden/>
              </w:rPr>
              <w:fldChar w:fldCharType="end"/>
            </w:r>
          </w:hyperlink>
        </w:p>
        <w:p w14:paraId="4D127FA2" w14:textId="104633E7" w:rsidR="00012633" w:rsidRPr="00012633" w:rsidRDefault="00D96BFB">
          <w:pPr>
            <w:pStyle w:val="TOC2"/>
            <w:tabs>
              <w:tab w:val="right" w:leader="dot" w:pos="9016"/>
            </w:tabs>
            <w:rPr>
              <w:rFonts w:eastAsiaTheme="minorEastAsia" w:cstheme="minorHAnsi"/>
              <w:noProof/>
              <w:lang w:eastAsia="en-AU"/>
            </w:rPr>
          </w:pPr>
          <w:hyperlink w:anchor="_Toc125714741" w:history="1">
            <w:r w:rsidR="00012633" w:rsidRPr="00012633">
              <w:rPr>
                <w:rStyle w:val="Hyperlink"/>
                <w:rFonts w:eastAsiaTheme="majorEastAsia" w:cstheme="minorHAnsi"/>
                <w:noProof/>
                <w:lang w:val="en-GB"/>
              </w:rPr>
              <w:t>10.5 Implementation of Stakeholder Views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_Toc125714741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64</w:t>
            </w:r>
            <w:r w:rsidR="00012633" w:rsidRPr="00012633">
              <w:rPr>
                <w:rFonts w:cstheme="minorHAnsi"/>
                <w:noProof/>
                <w:webHidden/>
              </w:rPr>
              <w:fldChar w:fldCharType="end"/>
            </w:r>
          </w:hyperlink>
        </w:p>
        <w:p w14:paraId="59B752FA" w14:textId="19B5F028" w:rsidR="00012633" w:rsidRPr="00012633" w:rsidRDefault="00D96BFB">
          <w:pPr>
            <w:pStyle w:val="TOC2"/>
            <w:tabs>
              <w:tab w:val="right" w:leader="dot" w:pos="9016"/>
            </w:tabs>
            <w:rPr>
              <w:rFonts w:eastAsiaTheme="minorEastAsia" w:cstheme="minorHAnsi"/>
              <w:noProof/>
              <w:lang w:eastAsia="en-AU"/>
            </w:rPr>
          </w:pPr>
          <w:hyperlink w:anchor="_Toc125714742" w:history="1">
            <w:r w:rsidR="00012633" w:rsidRPr="00012633">
              <w:rPr>
                <w:rStyle w:val="Hyperlink"/>
                <w:rFonts w:eastAsiaTheme="majorEastAsia" w:cstheme="minorHAnsi"/>
                <w:noProof/>
                <w:lang w:val="en-GB"/>
              </w:rPr>
              <w:t>10.6 Ongoing Consultation</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_Toc125714742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64</w:t>
            </w:r>
            <w:r w:rsidR="00012633" w:rsidRPr="00012633">
              <w:rPr>
                <w:rFonts w:cstheme="minorHAnsi"/>
                <w:noProof/>
                <w:webHidden/>
              </w:rPr>
              <w:fldChar w:fldCharType="end"/>
            </w:r>
          </w:hyperlink>
        </w:p>
        <w:p w14:paraId="68F71497" w14:textId="47846454" w:rsidR="00012633" w:rsidRPr="00012633" w:rsidRDefault="00D96BFB">
          <w:pPr>
            <w:pStyle w:val="TOC1"/>
            <w:tabs>
              <w:tab w:val="left" w:pos="660"/>
              <w:tab w:val="right" w:leader="dot" w:pos="9016"/>
            </w:tabs>
            <w:rPr>
              <w:rFonts w:eastAsiaTheme="minorEastAsia" w:cstheme="minorHAnsi"/>
              <w:noProof/>
              <w:lang w:eastAsia="en-AU"/>
            </w:rPr>
          </w:pPr>
          <w:hyperlink w:anchor="_Toc125714743" w:history="1">
            <w:r w:rsidR="00012633" w:rsidRPr="00012633">
              <w:rPr>
                <w:rStyle w:val="Hyperlink"/>
                <w:rFonts w:eastAsiaTheme="majorEastAsia" w:cstheme="minorHAnsi"/>
                <w:noProof/>
                <w:lang w:val="en-GB"/>
              </w:rPr>
              <w:t>11.</w:t>
            </w:r>
            <w:r w:rsidR="00012633" w:rsidRPr="00012633">
              <w:rPr>
                <w:rFonts w:eastAsiaTheme="minorEastAsia" w:cstheme="minorHAnsi"/>
                <w:noProof/>
                <w:lang w:eastAsia="en-AU"/>
              </w:rPr>
              <w:tab/>
            </w:r>
            <w:r w:rsidR="00012633" w:rsidRPr="00012633">
              <w:rPr>
                <w:rStyle w:val="Hyperlink"/>
                <w:rFonts w:eastAsiaTheme="majorEastAsia" w:cstheme="minorHAnsi"/>
                <w:noProof/>
                <w:lang w:val="en-GB"/>
              </w:rPr>
              <w:t>Preferred Option</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_Toc125714743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66</w:t>
            </w:r>
            <w:r w:rsidR="00012633" w:rsidRPr="00012633">
              <w:rPr>
                <w:rFonts w:cstheme="minorHAnsi"/>
                <w:noProof/>
                <w:webHidden/>
              </w:rPr>
              <w:fldChar w:fldCharType="end"/>
            </w:r>
          </w:hyperlink>
        </w:p>
        <w:p w14:paraId="69DDC18A" w14:textId="4D097B17" w:rsidR="00012633" w:rsidRPr="00012633" w:rsidRDefault="00D96BFB">
          <w:pPr>
            <w:pStyle w:val="TOC1"/>
            <w:tabs>
              <w:tab w:val="left" w:pos="660"/>
              <w:tab w:val="right" w:leader="dot" w:pos="9016"/>
            </w:tabs>
            <w:rPr>
              <w:rFonts w:eastAsiaTheme="minorEastAsia" w:cstheme="minorHAnsi"/>
              <w:noProof/>
              <w:lang w:eastAsia="en-AU"/>
            </w:rPr>
          </w:pPr>
          <w:hyperlink w:anchor="_Toc125714744" w:history="1">
            <w:r w:rsidR="00012633" w:rsidRPr="00012633">
              <w:rPr>
                <w:rStyle w:val="Hyperlink"/>
                <w:rFonts w:eastAsiaTheme="majorEastAsia" w:cstheme="minorHAnsi"/>
                <w:noProof/>
                <w:lang w:val="en-GB"/>
              </w:rPr>
              <w:t>12.</w:t>
            </w:r>
            <w:r w:rsidR="00012633" w:rsidRPr="00012633">
              <w:rPr>
                <w:rFonts w:eastAsiaTheme="minorEastAsia" w:cstheme="minorHAnsi"/>
                <w:noProof/>
                <w:lang w:eastAsia="en-AU"/>
              </w:rPr>
              <w:tab/>
            </w:r>
            <w:r w:rsidR="00012633" w:rsidRPr="00012633">
              <w:rPr>
                <w:rStyle w:val="Hyperlink"/>
                <w:rFonts w:eastAsiaTheme="majorEastAsia" w:cstheme="minorHAnsi"/>
                <w:noProof/>
                <w:lang w:val="en-GB"/>
              </w:rPr>
              <w:t>Implementation Design &amp; Evaluation of Option 3</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_Toc125714744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68</w:t>
            </w:r>
            <w:r w:rsidR="00012633" w:rsidRPr="00012633">
              <w:rPr>
                <w:rFonts w:cstheme="minorHAnsi"/>
                <w:noProof/>
                <w:webHidden/>
              </w:rPr>
              <w:fldChar w:fldCharType="end"/>
            </w:r>
          </w:hyperlink>
        </w:p>
        <w:p w14:paraId="7B56BF6B" w14:textId="3B3876EB" w:rsidR="00012633" w:rsidRPr="00012633" w:rsidRDefault="00D96BFB">
          <w:pPr>
            <w:pStyle w:val="TOC2"/>
            <w:tabs>
              <w:tab w:val="left" w:pos="880"/>
              <w:tab w:val="right" w:leader="dot" w:pos="9016"/>
            </w:tabs>
            <w:rPr>
              <w:rFonts w:eastAsiaTheme="minorEastAsia" w:cstheme="minorHAnsi"/>
              <w:noProof/>
              <w:lang w:eastAsia="en-AU"/>
            </w:rPr>
          </w:pPr>
          <w:hyperlink w:anchor="_Toc125714745" w:history="1">
            <w:r w:rsidR="00012633" w:rsidRPr="00012633">
              <w:rPr>
                <w:rStyle w:val="Hyperlink"/>
                <w:rFonts w:eastAsiaTheme="majorEastAsia" w:cstheme="minorHAnsi"/>
                <w:noProof/>
              </w:rPr>
              <w:t>12.1</w:t>
            </w:r>
            <w:r w:rsidR="00012633" w:rsidRPr="00012633">
              <w:rPr>
                <w:rFonts w:eastAsiaTheme="minorEastAsia" w:cstheme="minorHAnsi"/>
                <w:noProof/>
                <w:lang w:eastAsia="en-AU"/>
              </w:rPr>
              <w:tab/>
            </w:r>
            <w:r w:rsidR="00012633" w:rsidRPr="00012633">
              <w:rPr>
                <w:rStyle w:val="Hyperlink"/>
                <w:rFonts w:eastAsiaTheme="majorEastAsia" w:cstheme="minorHAnsi"/>
                <w:noProof/>
              </w:rPr>
              <w:t>Implementation Approach</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_Toc125714745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68</w:t>
            </w:r>
            <w:r w:rsidR="00012633" w:rsidRPr="00012633">
              <w:rPr>
                <w:rFonts w:cstheme="minorHAnsi"/>
                <w:noProof/>
                <w:webHidden/>
              </w:rPr>
              <w:fldChar w:fldCharType="end"/>
            </w:r>
          </w:hyperlink>
        </w:p>
        <w:p w14:paraId="49FA687A" w14:textId="442E3422" w:rsidR="00012633" w:rsidRPr="00012633" w:rsidRDefault="00D96BFB">
          <w:pPr>
            <w:pStyle w:val="TOC2"/>
            <w:tabs>
              <w:tab w:val="left" w:pos="880"/>
              <w:tab w:val="right" w:leader="dot" w:pos="9016"/>
            </w:tabs>
            <w:rPr>
              <w:rFonts w:eastAsiaTheme="minorEastAsia" w:cstheme="minorHAnsi"/>
              <w:noProof/>
              <w:lang w:eastAsia="en-AU"/>
            </w:rPr>
          </w:pPr>
          <w:hyperlink w:anchor="_Toc125714746" w:history="1">
            <w:r w:rsidR="00012633" w:rsidRPr="00012633">
              <w:rPr>
                <w:rStyle w:val="Hyperlink"/>
                <w:rFonts w:eastAsiaTheme="majorEastAsia" w:cstheme="minorHAnsi"/>
                <w:noProof/>
              </w:rPr>
              <w:t>12.2</w:t>
            </w:r>
            <w:r w:rsidR="00012633" w:rsidRPr="00012633">
              <w:rPr>
                <w:rFonts w:eastAsiaTheme="minorEastAsia" w:cstheme="minorHAnsi"/>
                <w:noProof/>
                <w:lang w:eastAsia="en-AU"/>
              </w:rPr>
              <w:tab/>
            </w:r>
            <w:r w:rsidR="00012633" w:rsidRPr="00012633">
              <w:rPr>
                <w:rStyle w:val="Hyperlink"/>
                <w:rFonts w:eastAsiaTheme="majorEastAsia" w:cstheme="minorHAnsi"/>
                <w:noProof/>
              </w:rPr>
              <w:t>Implementation Challenges &amp; Risks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_Toc125714746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70</w:t>
            </w:r>
            <w:r w:rsidR="00012633" w:rsidRPr="00012633">
              <w:rPr>
                <w:rFonts w:cstheme="minorHAnsi"/>
                <w:noProof/>
                <w:webHidden/>
              </w:rPr>
              <w:fldChar w:fldCharType="end"/>
            </w:r>
          </w:hyperlink>
        </w:p>
        <w:p w14:paraId="2686ECDC" w14:textId="1A9C0B99" w:rsidR="00012633" w:rsidRPr="00012633" w:rsidRDefault="00D96BFB">
          <w:pPr>
            <w:pStyle w:val="TOC2"/>
            <w:tabs>
              <w:tab w:val="left" w:pos="880"/>
              <w:tab w:val="right" w:leader="dot" w:pos="9016"/>
            </w:tabs>
            <w:rPr>
              <w:rFonts w:eastAsiaTheme="minorEastAsia" w:cstheme="minorHAnsi"/>
              <w:noProof/>
              <w:lang w:eastAsia="en-AU"/>
            </w:rPr>
          </w:pPr>
          <w:hyperlink w:anchor="_Toc125714747" w:history="1">
            <w:r w:rsidR="00012633" w:rsidRPr="00012633">
              <w:rPr>
                <w:rStyle w:val="Hyperlink"/>
                <w:rFonts w:eastAsiaTheme="majorEastAsia" w:cstheme="minorHAnsi"/>
                <w:noProof/>
                <w:lang w:val="en-GB"/>
              </w:rPr>
              <w:t>12.3</w:t>
            </w:r>
            <w:r w:rsidR="00012633" w:rsidRPr="00012633">
              <w:rPr>
                <w:rFonts w:eastAsiaTheme="minorEastAsia" w:cstheme="minorHAnsi"/>
                <w:noProof/>
                <w:lang w:eastAsia="en-AU"/>
              </w:rPr>
              <w:tab/>
            </w:r>
            <w:r w:rsidR="00012633" w:rsidRPr="00012633">
              <w:rPr>
                <w:rStyle w:val="Hyperlink"/>
                <w:rFonts w:eastAsiaTheme="majorEastAsia" w:cstheme="minorHAnsi"/>
                <w:noProof/>
                <w:lang w:val="en-GB"/>
              </w:rPr>
              <w:t>Transitional Arrangements</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_Toc125714747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72</w:t>
            </w:r>
            <w:r w:rsidR="00012633" w:rsidRPr="00012633">
              <w:rPr>
                <w:rFonts w:cstheme="minorHAnsi"/>
                <w:noProof/>
                <w:webHidden/>
              </w:rPr>
              <w:fldChar w:fldCharType="end"/>
            </w:r>
          </w:hyperlink>
        </w:p>
        <w:p w14:paraId="213973EA" w14:textId="4CB9B0EF" w:rsidR="00012633" w:rsidRPr="00012633" w:rsidRDefault="00D96BFB">
          <w:pPr>
            <w:pStyle w:val="TOC2"/>
            <w:tabs>
              <w:tab w:val="left" w:pos="880"/>
              <w:tab w:val="right" w:leader="dot" w:pos="9016"/>
            </w:tabs>
            <w:rPr>
              <w:rFonts w:eastAsiaTheme="minorEastAsia" w:cstheme="minorHAnsi"/>
              <w:noProof/>
              <w:lang w:eastAsia="en-AU"/>
            </w:rPr>
          </w:pPr>
          <w:hyperlink w:anchor="_Toc125714748" w:history="1">
            <w:r w:rsidR="00012633" w:rsidRPr="00012633">
              <w:rPr>
                <w:rStyle w:val="Hyperlink"/>
                <w:rFonts w:eastAsiaTheme="majorEastAsia" w:cstheme="minorHAnsi"/>
                <w:noProof/>
                <w:lang w:val="en-GB"/>
              </w:rPr>
              <w:t>12.4</w:t>
            </w:r>
            <w:r w:rsidR="00012633" w:rsidRPr="00012633">
              <w:rPr>
                <w:rFonts w:eastAsiaTheme="minorEastAsia" w:cstheme="minorHAnsi"/>
                <w:noProof/>
                <w:lang w:eastAsia="en-AU"/>
              </w:rPr>
              <w:tab/>
            </w:r>
            <w:r w:rsidR="00012633" w:rsidRPr="00012633">
              <w:rPr>
                <w:rStyle w:val="Hyperlink"/>
                <w:rFonts w:eastAsiaTheme="majorEastAsia" w:cstheme="minorHAnsi"/>
                <w:noProof/>
                <w:lang w:val="en-GB"/>
              </w:rPr>
              <w:t>Monitoring &amp; Evaluation</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_Toc125714748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72</w:t>
            </w:r>
            <w:r w:rsidR="00012633" w:rsidRPr="00012633">
              <w:rPr>
                <w:rFonts w:cstheme="minorHAnsi"/>
                <w:noProof/>
                <w:webHidden/>
              </w:rPr>
              <w:fldChar w:fldCharType="end"/>
            </w:r>
          </w:hyperlink>
        </w:p>
        <w:p w14:paraId="34209021" w14:textId="22070B26" w:rsidR="00012633" w:rsidRPr="00012633" w:rsidRDefault="00D96BFB">
          <w:pPr>
            <w:pStyle w:val="TOC1"/>
            <w:tabs>
              <w:tab w:val="right" w:leader="dot" w:pos="9016"/>
            </w:tabs>
            <w:rPr>
              <w:rFonts w:eastAsiaTheme="minorEastAsia" w:cstheme="minorHAnsi"/>
              <w:noProof/>
              <w:lang w:eastAsia="en-AU"/>
            </w:rPr>
          </w:pPr>
          <w:hyperlink w:anchor="_Toc125714749" w:history="1">
            <w:r w:rsidR="00012633" w:rsidRPr="00012633">
              <w:rPr>
                <w:rStyle w:val="Hyperlink"/>
                <w:rFonts w:cstheme="minorHAnsi"/>
                <w:noProof/>
              </w:rPr>
              <w:t>Appendix A</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_Toc125714749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76</w:t>
            </w:r>
            <w:r w:rsidR="00012633" w:rsidRPr="00012633">
              <w:rPr>
                <w:rFonts w:cstheme="minorHAnsi"/>
                <w:noProof/>
                <w:webHidden/>
              </w:rPr>
              <w:fldChar w:fldCharType="end"/>
            </w:r>
          </w:hyperlink>
        </w:p>
        <w:p w14:paraId="60461DB3" w14:textId="59D1DC5C" w:rsidR="00012633" w:rsidRPr="00012633" w:rsidRDefault="00D96BFB">
          <w:pPr>
            <w:pStyle w:val="TOC1"/>
            <w:tabs>
              <w:tab w:val="right" w:leader="dot" w:pos="9016"/>
            </w:tabs>
            <w:rPr>
              <w:rFonts w:eastAsiaTheme="minorEastAsia" w:cstheme="minorHAnsi"/>
              <w:noProof/>
              <w:lang w:eastAsia="en-AU"/>
            </w:rPr>
          </w:pPr>
          <w:hyperlink w:anchor="_Toc125714750" w:history="1">
            <w:r w:rsidR="00012633" w:rsidRPr="00012633">
              <w:rPr>
                <w:rStyle w:val="Hyperlink"/>
                <w:rFonts w:cstheme="minorHAnsi"/>
                <w:noProof/>
              </w:rPr>
              <w:t>Appendix B</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_Toc125714750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78</w:t>
            </w:r>
            <w:r w:rsidR="00012633" w:rsidRPr="00012633">
              <w:rPr>
                <w:rFonts w:cstheme="minorHAnsi"/>
                <w:noProof/>
                <w:webHidden/>
              </w:rPr>
              <w:fldChar w:fldCharType="end"/>
            </w:r>
          </w:hyperlink>
        </w:p>
        <w:p w14:paraId="7CEE4273" w14:textId="1459558D" w:rsidR="00012633" w:rsidRPr="00012633" w:rsidRDefault="00D96BFB">
          <w:pPr>
            <w:pStyle w:val="TOC1"/>
            <w:tabs>
              <w:tab w:val="right" w:leader="dot" w:pos="9016"/>
            </w:tabs>
            <w:rPr>
              <w:rFonts w:eastAsiaTheme="minorEastAsia" w:cstheme="minorHAnsi"/>
              <w:noProof/>
              <w:lang w:eastAsia="en-AU"/>
            </w:rPr>
          </w:pPr>
          <w:hyperlink w:anchor="_Toc125714751" w:history="1">
            <w:r w:rsidR="00012633" w:rsidRPr="00012633">
              <w:rPr>
                <w:rStyle w:val="Hyperlink"/>
                <w:rFonts w:cstheme="minorHAnsi"/>
                <w:noProof/>
              </w:rPr>
              <w:t>Appendix C</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_Toc125714751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80</w:t>
            </w:r>
            <w:r w:rsidR="00012633" w:rsidRPr="00012633">
              <w:rPr>
                <w:rFonts w:cstheme="minorHAnsi"/>
                <w:noProof/>
                <w:webHidden/>
              </w:rPr>
              <w:fldChar w:fldCharType="end"/>
            </w:r>
          </w:hyperlink>
        </w:p>
        <w:p w14:paraId="5B784198" w14:textId="78A81EFB" w:rsidR="00012633" w:rsidRPr="00012633" w:rsidRDefault="00D96BFB">
          <w:pPr>
            <w:pStyle w:val="TOC1"/>
            <w:tabs>
              <w:tab w:val="right" w:leader="dot" w:pos="9016"/>
            </w:tabs>
            <w:rPr>
              <w:rFonts w:eastAsiaTheme="minorEastAsia" w:cstheme="minorHAnsi"/>
              <w:noProof/>
              <w:lang w:eastAsia="en-AU"/>
            </w:rPr>
          </w:pPr>
          <w:hyperlink w:anchor="_Toc125714752" w:history="1">
            <w:r w:rsidR="00012633" w:rsidRPr="00012633">
              <w:rPr>
                <w:rStyle w:val="Hyperlink"/>
                <w:rFonts w:cstheme="minorHAnsi"/>
                <w:noProof/>
              </w:rPr>
              <w:t>Appendix D</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_Toc125714752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81</w:t>
            </w:r>
            <w:r w:rsidR="00012633" w:rsidRPr="00012633">
              <w:rPr>
                <w:rFonts w:cstheme="minorHAnsi"/>
                <w:noProof/>
                <w:webHidden/>
              </w:rPr>
              <w:fldChar w:fldCharType="end"/>
            </w:r>
          </w:hyperlink>
        </w:p>
        <w:p w14:paraId="2F793BF6" w14:textId="4B54E2B0" w:rsidR="00012633" w:rsidRPr="00012633" w:rsidRDefault="00D96BFB">
          <w:pPr>
            <w:pStyle w:val="TOC1"/>
            <w:tabs>
              <w:tab w:val="right" w:leader="dot" w:pos="9016"/>
            </w:tabs>
            <w:rPr>
              <w:rFonts w:eastAsiaTheme="minorEastAsia" w:cstheme="minorHAnsi"/>
              <w:noProof/>
              <w:lang w:eastAsia="en-AU"/>
            </w:rPr>
          </w:pPr>
          <w:hyperlink w:anchor="_Toc125714753" w:history="1">
            <w:r w:rsidR="00012633" w:rsidRPr="00012633">
              <w:rPr>
                <w:rStyle w:val="Hyperlink"/>
                <w:rFonts w:cstheme="minorHAnsi"/>
                <w:noProof/>
              </w:rPr>
              <w:t>Appendix E</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_Toc125714753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84</w:t>
            </w:r>
            <w:r w:rsidR="00012633" w:rsidRPr="00012633">
              <w:rPr>
                <w:rFonts w:cstheme="minorHAnsi"/>
                <w:noProof/>
                <w:webHidden/>
              </w:rPr>
              <w:fldChar w:fldCharType="end"/>
            </w:r>
          </w:hyperlink>
        </w:p>
        <w:p w14:paraId="58FE1ABE" w14:textId="1D6BC876" w:rsidR="00012633" w:rsidRPr="00012633" w:rsidRDefault="00D96BFB">
          <w:pPr>
            <w:pStyle w:val="TOC1"/>
            <w:tabs>
              <w:tab w:val="right" w:leader="dot" w:pos="9016"/>
            </w:tabs>
            <w:rPr>
              <w:rFonts w:eastAsiaTheme="minorEastAsia" w:cstheme="minorHAnsi"/>
              <w:noProof/>
              <w:lang w:eastAsia="en-AU"/>
            </w:rPr>
          </w:pPr>
          <w:hyperlink w:anchor="_Toc125714754" w:history="1">
            <w:r w:rsidR="00012633" w:rsidRPr="00012633">
              <w:rPr>
                <w:rStyle w:val="Hyperlink"/>
                <w:rFonts w:cstheme="minorHAnsi"/>
                <w:noProof/>
              </w:rPr>
              <w:t>Appendix</w:t>
            </w:r>
            <w:r w:rsidR="00012633" w:rsidRPr="00012633">
              <w:rPr>
                <w:rStyle w:val="Hyperlink"/>
                <w:rFonts w:cstheme="minorHAnsi"/>
                <w:noProof/>
                <w:lang w:eastAsia="en-GB"/>
              </w:rPr>
              <w:t xml:space="preserve"> F</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_Toc125714754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88</w:t>
            </w:r>
            <w:r w:rsidR="00012633" w:rsidRPr="00012633">
              <w:rPr>
                <w:rFonts w:cstheme="minorHAnsi"/>
                <w:noProof/>
                <w:webHidden/>
              </w:rPr>
              <w:fldChar w:fldCharType="end"/>
            </w:r>
          </w:hyperlink>
        </w:p>
        <w:p w14:paraId="7A0B6436" w14:textId="578AC5A6" w:rsidR="00012633" w:rsidRPr="00012633" w:rsidRDefault="00D96BFB" w:rsidP="00012633">
          <w:pPr>
            <w:pStyle w:val="TOC1"/>
            <w:tabs>
              <w:tab w:val="right" w:leader="dot" w:pos="9016"/>
            </w:tabs>
            <w:rPr>
              <w:rFonts w:eastAsiaTheme="minorEastAsia" w:cstheme="minorHAnsi"/>
              <w:noProof/>
              <w:lang w:eastAsia="en-AU"/>
            </w:rPr>
          </w:pPr>
          <w:hyperlink w:anchor="_Toc125714755" w:history="1">
            <w:r w:rsidR="00012633" w:rsidRPr="00012633">
              <w:rPr>
                <w:rStyle w:val="Hyperlink"/>
                <w:rFonts w:eastAsiaTheme="majorEastAsia" w:cstheme="minorHAnsi"/>
                <w:noProof/>
                <w:lang w:val="en-GB"/>
              </w:rPr>
              <w:t>Appendix G</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_Toc125714755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96</w:t>
            </w:r>
            <w:r w:rsidR="00012633" w:rsidRPr="00012633">
              <w:rPr>
                <w:rFonts w:cstheme="minorHAnsi"/>
                <w:noProof/>
                <w:webHidden/>
              </w:rPr>
              <w:fldChar w:fldCharType="end"/>
            </w:r>
          </w:hyperlink>
        </w:p>
        <w:p w14:paraId="0C9F2342" w14:textId="1201D93F" w:rsidR="00012633" w:rsidRPr="00012633" w:rsidRDefault="00D96BFB">
          <w:pPr>
            <w:pStyle w:val="TOC1"/>
            <w:tabs>
              <w:tab w:val="right" w:leader="dot" w:pos="9016"/>
            </w:tabs>
            <w:rPr>
              <w:rFonts w:eastAsiaTheme="minorEastAsia" w:cstheme="minorHAnsi"/>
              <w:noProof/>
              <w:lang w:eastAsia="en-AU"/>
            </w:rPr>
          </w:pPr>
          <w:hyperlink w:anchor="_Toc125714759" w:history="1">
            <w:r w:rsidR="00012633" w:rsidRPr="00012633">
              <w:rPr>
                <w:rStyle w:val="Hyperlink"/>
                <w:rFonts w:eastAsiaTheme="majorEastAsia" w:cstheme="minorHAnsi"/>
                <w:noProof/>
                <w:lang w:val="en-GB"/>
              </w:rPr>
              <w:t>Appendix H</w:t>
            </w:r>
            <w:r w:rsidR="00012633" w:rsidRPr="00012633">
              <w:rPr>
                <w:rFonts w:cstheme="minorHAnsi"/>
                <w:noProof/>
                <w:webHidden/>
              </w:rPr>
              <w:tab/>
            </w:r>
            <w:r w:rsidR="00012633" w:rsidRPr="00012633">
              <w:rPr>
                <w:rFonts w:cstheme="minorHAnsi"/>
                <w:noProof/>
                <w:webHidden/>
              </w:rPr>
              <w:fldChar w:fldCharType="begin"/>
            </w:r>
            <w:r w:rsidR="00012633" w:rsidRPr="00012633">
              <w:rPr>
                <w:rFonts w:cstheme="minorHAnsi"/>
                <w:noProof/>
                <w:webHidden/>
              </w:rPr>
              <w:instrText xml:space="preserve"> PAGEREF _Toc125714759 \h </w:instrText>
            </w:r>
            <w:r w:rsidR="00012633" w:rsidRPr="00012633">
              <w:rPr>
                <w:rFonts w:cstheme="minorHAnsi"/>
                <w:noProof/>
                <w:webHidden/>
              </w:rPr>
            </w:r>
            <w:r w:rsidR="00012633" w:rsidRPr="00012633">
              <w:rPr>
                <w:rFonts w:cstheme="minorHAnsi"/>
                <w:noProof/>
                <w:webHidden/>
              </w:rPr>
              <w:fldChar w:fldCharType="separate"/>
            </w:r>
            <w:r w:rsidR="00D84E2A">
              <w:rPr>
                <w:rFonts w:cstheme="minorHAnsi"/>
                <w:noProof/>
                <w:webHidden/>
              </w:rPr>
              <w:t>100</w:t>
            </w:r>
            <w:r w:rsidR="00012633" w:rsidRPr="00012633">
              <w:rPr>
                <w:rFonts w:cstheme="minorHAnsi"/>
                <w:noProof/>
                <w:webHidden/>
              </w:rPr>
              <w:fldChar w:fldCharType="end"/>
            </w:r>
          </w:hyperlink>
        </w:p>
        <w:p w14:paraId="77D7D1C0" w14:textId="07ED06A4" w:rsidR="004A4A91" w:rsidRPr="00CA51F5" w:rsidRDefault="004A4A91" w:rsidP="00CA51F5">
          <w:pPr>
            <w:pStyle w:val="TOC1"/>
            <w:tabs>
              <w:tab w:val="right" w:leader="dot" w:pos="9016"/>
            </w:tabs>
            <w:rPr>
              <w:rFonts w:eastAsiaTheme="minorEastAsia"/>
              <w:noProof/>
              <w:lang w:eastAsia="en-AU"/>
            </w:rPr>
          </w:pPr>
          <w:r w:rsidRPr="00012633">
            <w:rPr>
              <w:rFonts w:cstheme="minorHAnsi"/>
              <w:b/>
              <w:bCs/>
              <w:noProof/>
            </w:rPr>
            <w:fldChar w:fldCharType="end"/>
          </w:r>
        </w:p>
      </w:sdtContent>
    </w:sdt>
    <w:p w14:paraId="2D969CED" w14:textId="77777777" w:rsidR="00BF512C" w:rsidRPr="003F264A" w:rsidRDefault="00BF512C">
      <w:pPr>
        <w:rPr>
          <w:rFonts w:cstheme="minorHAnsi"/>
        </w:rPr>
      </w:pPr>
    </w:p>
    <w:p w14:paraId="060EF26A" w14:textId="77777777" w:rsidR="004B2D21" w:rsidRPr="003F264A" w:rsidRDefault="00BF512C" w:rsidP="004B2D21">
      <w:pPr>
        <w:rPr>
          <w:rFonts w:cstheme="minorHAnsi"/>
        </w:rPr>
      </w:pPr>
      <w:r w:rsidRPr="003F264A">
        <w:rPr>
          <w:rFonts w:cstheme="minorHAnsi"/>
        </w:rPr>
        <w:br w:type="page"/>
      </w:r>
    </w:p>
    <w:p w14:paraId="06767679" w14:textId="77777777" w:rsidR="00995E7C" w:rsidRPr="003F264A" w:rsidRDefault="004B2D21" w:rsidP="003D0C74">
      <w:pPr>
        <w:pStyle w:val="Heading1"/>
        <w:numPr>
          <w:ilvl w:val="0"/>
          <w:numId w:val="26"/>
        </w:numPr>
        <w:rPr>
          <w:rFonts w:asciiTheme="minorHAnsi" w:hAnsiTheme="minorHAnsi" w:cstheme="minorHAnsi"/>
        </w:rPr>
      </w:pPr>
      <w:bookmarkStart w:id="1" w:name="_Toc118794705"/>
      <w:bookmarkStart w:id="2" w:name="_Toc125714680"/>
      <w:r w:rsidRPr="003F264A">
        <w:rPr>
          <w:rStyle w:val="Heading1Char"/>
          <w:rFonts w:asciiTheme="minorHAnsi" w:hAnsiTheme="minorHAnsi" w:cstheme="minorHAnsi"/>
        </w:rPr>
        <w:lastRenderedPageBreak/>
        <w:t>Executive</w:t>
      </w:r>
      <w:r w:rsidRPr="003F264A">
        <w:rPr>
          <w:rFonts w:asciiTheme="minorHAnsi" w:hAnsiTheme="minorHAnsi" w:cstheme="minorHAnsi"/>
        </w:rPr>
        <w:t xml:space="preserve"> Summary</w:t>
      </w:r>
      <w:bookmarkEnd w:id="1"/>
      <w:bookmarkEnd w:id="2"/>
    </w:p>
    <w:p w14:paraId="19718D9F" w14:textId="0A8FE4AB" w:rsidR="00C96B3C" w:rsidRPr="003F264A" w:rsidRDefault="00C96B3C" w:rsidP="000F6998">
      <w:pPr>
        <w:spacing w:before="240"/>
        <w:jc w:val="both"/>
        <w:rPr>
          <w:rFonts w:cstheme="minorHAnsi"/>
        </w:rPr>
      </w:pPr>
      <w:r w:rsidRPr="003F264A">
        <w:rPr>
          <w:rFonts w:cstheme="minorHAnsi"/>
        </w:rPr>
        <w:t xml:space="preserve">This </w:t>
      </w:r>
      <w:r w:rsidR="00CF5067">
        <w:rPr>
          <w:rFonts w:cstheme="minorHAnsi"/>
        </w:rPr>
        <w:t>Impact Analysis (</w:t>
      </w:r>
      <w:r w:rsidR="00CF5067" w:rsidRPr="00F12B26">
        <w:rPr>
          <w:rFonts w:cstheme="minorHAnsi"/>
        </w:rPr>
        <w:t>IA</w:t>
      </w:r>
      <w:r w:rsidR="00CF5067">
        <w:rPr>
          <w:rFonts w:cstheme="minorHAnsi"/>
        </w:rPr>
        <w:t>)</w:t>
      </w:r>
      <w:r w:rsidRPr="003F264A">
        <w:rPr>
          <w:rFonts w:cstheme="minorHAnsi"/>
        </w:rPr>
        <w:t xml:space="preserve"> explores the impacts </w:t>
      </w:r>
      <w:r w:rsidR="00C64F2A" w:rsidRPr="003F264A">
        <w:rPr>
          <w:rFonts w:cstheme="minorHAnsi"/>
        </w:rPr>
        <w:t xml:space="preserve">of proposed </w:t>
      </w:r>
      <w:r w:rsidR="00DB3A1D" w:rsidRPr="003F264A">
        <w:rPr>
          <w:rFonts w:cstheme="minorHAnsi"/>
        </w:rPr>
        <w:t>policies</w:t>
      </w:r>
      <w:r w:rsidRPr="003F264A">
        <w:rPr>
          <w:rFonts w:cstheme="minorHAnsi"/>
        </w:rPr>
        <w:t xml:space="preserve"> to address</w:t>
      </w:r>
      <w:r w:rsidR="005851FE" w:rsidRPr="003F264A">
        <w:rPr>
          <w:rFonts w:cstheme="minorHAnsi"/>
        </w:rPr>
        <w:t xml:space="preserve"> workplace</w:t>
      </w:r>
      <w:r w:rsidRPr="003F264A">
        <w:rPr>
          <w:rFonts w:cstheme="minorHAnsi"/>
        </w:rPr>
        <w:t xml:space="preserve"> gender inequality on stakeholders. </w:t>
      </w:r>
      <w:r w:rsidR="008A3110" w:rsidRPr="003F264A">
        <w:rPr>
          <w:rFonts w:cstheme="minorHAnsi"/>
        </w:rPr>
        <w:t>The</w:t>
      </w:r>
      <w:r w:rsidR="005851FE" w:rsidRPr="003F264A">
        <w:rPr>
          <w:rFonts w:cstheme="minorHAnsi"/>
        </w:rPr>
        <w:t xml:space="preserve"> </w:t>
      </w:r>
      <w:r w:rsidR="00CF5067">
        <w:rPr>
          <w:rFonts w:cstheme="minorHAnsi"/>
        </w:rPr>
        <w:t>IA</w:t>
      </w:r>
      <w:r w:rsidR="00CF5067" w:rsidRPr="003F264A">
        <w:rPr>
          <w:rFonts w:cstheme="minorHAnsi"/>
        </w:rPr>
        <w:t xml:space="preserve"> </w:t>
      </w:r>
      <w:r w:rsidR="005851FE" w:rsidRPr="003F264A">
        <w:rPr>
          <w:rFonts w:cstheme="minorHAnsi"/>
        </w:rPr>
        <w:t>set</w:t>
      </w:r>
      <w:r w:rsidR="00117B3E" w:rsidRPr="003F264A">
        <w:rPr>
          <w:rFonts w:cstheme="minorHAnsi"/>
        </w:rPr>
        <w:t>s</w:t>
      </w:r>
      <w:r w:rsidR="005851FE" w:rsidRPr="003F264A">
        <w:rPr>
          <w:rFonts w:cstheme="minorHAnsi"/>
        </w:rPr>
        <w:t xml:space="preserve"> out positive and negative impacts in relation to three policy options to determine which option is preferred. </w:t>
      </w:r>
      <w:r w:rsidR="00662C41" w:rsidRPr="003F264A">
        <w:rPr>
          <w:rFonts w:cstheme="minorHAnsi"/>
        </w:rPr>
        <w:t xml:space="preserve">Each of the options </w:t>
      </w:r>
      <w:r w:rsidR="0084004B" w:rsidRPr="003F264A">
        <w:rPr>
          <w:rFonts w:cstheme="minorHAnsi"/>
        </w:rPr>
        <w:t>proposes</w:t>
      </w:r>
      <w:r w:rsidR="00662C41" w:rsidRPr="003F264A">
        <w:rPr>
          <w:rFonts w:cstheme="minorHAnsi"/>
        </w:rPr>
        <w:t xml:space="preserve"> a different approach to implementing </w:t>
      </w:r>
      <w:r w:rsidR="003B3B53">
        <w:rPr>
          <w:rFonts w:cstheme="minorHAnsi"/>
        </w:rPr>
        <w:t>select</w:t>
      </w:r>
      <w:r w:rsidR="003B3B53" w:rsidRPr="003F264A">
        <w:rPr>
          <w:rFonts w:cstheme="minorHAnsi"/>
        </w:rPr>
        <w:t xml:space="preserve"> </w:t>
      </w:r>
      <w:r w:rsidR="00662C41" w:rsidRPr="003F264A">
        <w:rPr>
          <w:rFonts w:cstheme="minorHAnsi"/>
        </w:rPr>
        <w:t xml:space="preserve">recommendations of the </w:t>
      </w:r>
      <w:r w:rsidR="00662C41" w:rsidRPr="003F264A">
        <w:rPr>
          <w:rFonts w:cstheme="minorHAnsi"/>
          <w:lang w:val="en-GB"/>
        </w:rPr>
        <w:t xml:space="preserve">Review of the </w:t>
      </w:r>
      <w:r w:rsidR="00662C41" w:rsidRPr="003F264A">
        <w:rPr>
          <w:rFonts w:cstheme="minorHAnsi"/>
          <w:i/>
          <w:lang w:val="en-GB"/>
        </w:rPr>
        <w:t>Workplace Gender Equality Act</w:t>
      </w:r>
      <w:r w:rsidR="008A3110" w:rsidRPr="003F264A">
        <w:rPr>
          <w:rFonts w:cstheme="minorHAnsi"/>
          <w:i/>
          <w:lang w:val="en-GB"/>
        </w:rPr>
        <w:t xml:space="preserve"> 2012</w:t>
      </w:r>
      <w:r w:rsidR="00662C41" w:rsidRPr="003F264A">
        <w:rPr>
          <w:rFonts w:cstheme="minorHAnsi"/>
          <w:lang w:val="en-GB"/>
        </w:rPr>
        <w:t xml:space="preserve"> (the Review).</w:t>
      </w:r>
      <w:r w:rsidR="0084004B" w:rsidRPr="003F264A">
        <w:rPr>
          <w:rStyle w:val="FootnoteReference"/>
          <w:rFonts w:cstheme="minorHAnsi"/>
          <w:lang w:val="en-GB"/>
        </w:rPr>
        <w:footnoteReference w:id="2"/>
      </w:r>
    </w:p>
    <w:p w14:paraId="3452D1C6" w14:textId="14FC79C0" w:rsidR="00995E7C" w:rsidRPr="003F264A" w:rsidRDefault="00662C41" w:rsidP="000F6998">
      <w:pPr>
        <w:jc w:val="both"/>
        <w:rPr>
          <w:rFonts w:cstheme="minorHAnsi"/>
          <w:lang w:val="en-GB"/>
        </w:rPr>
      </w:pPr>
      <w:r w:rsidRPr="003F264A">
        <w:rPr>
          <w:rFonts w:cstheme="minorHAnsi"/>
        </w:rPr>
        <w:t>The Review was released in</w:t>
      </w:r>
      <w:r w:rsidR="00995E7C" w:rsidRPr="003F264A">
        <w:rPr>
          <w:rFonts w:cstheme="minorHAnsi"/>
        </w:rPr>
        <w:t xml:space="preserve"> Ma</w:t>
      </w:r>
      <w:r w:rsidR="000D3701">
        <w:rPr>
          <w:rFonts w:cstheme="minorHAnsi"/>
        </w:rPr>
        <w:t>rch 2022</w:t>
      </w:r>
      <w:r w:rsidR="007B2D4B" w:rsidRPr="003F264A">
        <w:rPr>
          <w:rFonts w:cstheme="minorHAnsi"/>
        </w:rPr>
        <w:t xml:space="preserve"> by the </w:t>
      </w:r>
      <w:r w:rsidR="009A1B7B" w:rsidRPr="003F264A">
        <w:rPr>
          <w:rFonts w:cstheme="minorHAnsi"/>
        </w:rPr>
        <w:t>former</w:t>
      </w:r>
      <w:r w:rsidR="007B2D4B" w:rsidRPr="003F264A">
        <w:rPr>
          <w:rFonts w:cstheme="minorHAnsi"/>
        </w:rPr>
        <w:t xml:space="preserve"> </w:t>
      </w:r>
      <w:r w:rsidR="009A1B7B" w:rsidRPr="003F264A">
        <w:rPr>
          <w:rFonts w:cstheme="minorHAnsi"/>
        </w:rPr>
        <w:t>G</w:t>
      </w:r>
      <w:r w:rsidR="007B2D4B" w:rsidRPr="003F264A">
        <w:rPr>
          <w:rFonts w:cstheme="minorHAnsi"/>
        </w:rPr>
        <w:t>overnment</w:t>
      </w:r>
      <w:r w:rsidR="0084004B" w:rsidRPr="003F264A">
        <w:rPr>
          <w:rFonts w:cstheme="minorHAnsi"/>
        </w:rPr>
        <w:t xml:space="preserve"> and</w:t>
      </w:r>
      <w:r w:rsidR="00995E7C" w:rsidRPr="003F264A">
        <w:rPr>
          <w:rFonts w:cstheme="minorHAnsi"/>
          <w:lang w:val="en-GB"/>
        </w:rPr>
        <w:t xml:space="preserve"> </w:t>
      </w:r>
      <w:r w:rsidR="0084711E" w:rsidRPr="003F264A">
        <w:rPr>
          <w:rFonts w:cstheme="minorHAnsi"/>
          <w:lang w:val="en-GB"/>
        </w:rPr>
        <w:t xml:space="preserve">concluded </w:t>
      </w:r>
      <w:r w:rsidR="00995E7C" w:rsidRPr="003F264A">
        <w:rPr>
          <w:rFonts w:cstheme="minorHAnsi"/>
          <w:lang w:val="en-GB"/>
        </w:rPr>
        <w:t xml:space="preserve">that the gender pay gap in Australia was not closing at a fast enough rate. </w:t>
      </w:r>
      <w:r w:rsidR="00C96B3C" w:rsidRPr="003F264A">
        <w:rPr>
          <w:rFonts w:cstheme="minorHAnsi"/>
          <w:lang w:val="en-GB"/>
        </w:rPr>
        <w:t>Work to progress women’s economic</w:t>
      </w:r>
      <w:r w:rsidR="00C64F2A" w:rsidRPr="003F264A">
        <w:rPr>
          <w:rFonts w:cstheme="minorHAnsi"/>
          <w:lang w:val="en-GB"/>
        </w:rPr>
        <w:t xml:space="preserve"> equality</w:t>
      </w:r>
      <w:r w:rsidR="00C96B3C" w:rsidRPr="003F264A">
        <w:rPr>
          <w:rFonts w:cstheme="minorHAnsi"/>
          <w:lang w:val="en-GB"/>
        </w:rPr>
        <w:t xml:space="preserve"> in Australia has been fragmented, leading to the current gender pay gap</w:t>
      </w:r>
      <w:r w:rsidR="00E56FFC">
        <w:rPr>
          <w:rFonts w:cstheme="minorHAnsi"/>
          <w:lang w:val="en-GB"/>
        </w:rPr>
        <w:t>, as calculated by data from the Workplace Gender Equality Agency (WGEA)</w:t>
      </w:r>
      <w:r w:rsidR="00AC27DC">
        <w:rPr>
          <w:rFonts w:cstheme="minorHAnsi"/>
          <w:lang w:val="en-GB"/>
        </w:rPr>
        <w:t>,</w:t>
      </w:r>
      <w:r w:rsidR="00C96B3C" w:rsidRPr="003F264A">
        <w:rPr>
          <w:rFonts w:cstheme="minorHAnsi"/>
          <w:lang w:val="en-GB"/>
        </w:rPr>
        <w:t xml:space="preserve"> of </w:t>
      </w:r>
      <w:r w:rsidR="00E56FFC">
        <w:rPr>
          <w:rFonts w:cstheme="minorHAnsi"/>
          <w:lang w:val="en-GB"/>
        </w:rPr>
        <w:t>22.8</w:t>
      </w:r>
      <w:r w:rsidR="00C96B3C" w:rsidRPr="003F264A">
        <w:rPr>
          <w:rFonts w:cstheme="minorHAnsi"/>
          <w:lang w:val="en-GB"/>
        </w:rPr>
        <w:t xml:space="preserve"> per cent</w:t>
      </w:r>
      <w:r w:rsidR="00AC27DC">
        <w:rPr>
          <w:rFonts w:cstheme="minorHAnsi"/>
          <w:lang w:val="en-GB"/>
        </w:rPr>
        <w:t>, the same as it was in 2021</w:t>
      </w:r>
      <w:r w:rsidR="00C96B3C" w:rsidRPr="003F264A">
        <w:rPr>
          <w:rFonts w:cstheme="minorHAnsi"/>
          <w:lang w:val="en-GB"/>
        </w:rPr>
        <w:t>.</w:t>
      </w:r>
      <w:r w:rsidR="00C96B3C" w:rsidRPr="003F264A">
        <w:rPr>
          <w:rStyle w:val="FootnoteReference"/>
          <w:rFonts w:cstheme="minorHAnsi"/>
          <w:lang w:val="en-GB"/>
        </w:rPr>
        <w:footnoteReference w:id="3"/>
      </w:r>
      <w:r w:rsidR="00C96B3C" w:rsidRPr="003F264A">
        <w:rPr>
          <w:rFonts w:cstheme="minorHAnsi"/>
          <w:lang w:val="en-GB"/>
        </w:rPr>
        <w:t xml:space="preserve"> </w:t>
      </w:r>
      <w:r w:rsidR="00755B61" w:rsidRPr="003F264A">
        <w:rPr>
          <w:rFonts w:cstheme="minorHAnsi"/>
          <w:lang w:val="en-GB"/>
        </w:rPr>
        <w:t>From the early stages of their career until they retire, women in Australia experience gender inequality in the workplace</w:t>
      </w:r>
      <w:r w:rsidR="0084711E" w:rsidRPr="003F264A">
        <w:rPr>
          <w:rFonts w:cstheme="minorHAnsi"/>
          <w:lang w:val="en-GB"/>
        </w:rPr>
        <w:t>,</w:t>
      </w:r>
      <w:r w:rsidR="00755B61" w:rsidRPr="003F264A">
        <w:rPr>
          <w:rFonts w:cstheme="minorHAnsi"/>
          <w:lang w:val="en-GB"/>
        </w:rPr>
        <w:t xml:space="preserve"> </w:t>
      </w:r>
      <w:r w:rsidR="0084711E" w:rsidRPr="003F264A">
        <w:rPr>
          <w:rFonts w:cstheme="minorHAnsi"/>
          <w:lang w:val="en-GB"/>
        </w:rPr>
        <w:t>d</w:t>
      </w:r>
      <w:r w:rsidR="00755B61" w:rsidRPr="003F264A">
        <w:rPr>
          <w:rFonts w:cstheme="minorHAnsi"/>
          <w:lang w:val="en-GB"/>
        </w:rPr>
        <w:t>espite record high women’s workforce participation</w:t>
      </w:r>
      <w:r w:rsidR="0084711E" w:rsidRPr="003F264A">
        <w:rPr>
          <w:rFonts w:cstheme="minorHAnsi"/>
          <w:lang w:val="en-GB"/>
        </w:rPr>
        <w:t>.</w:t>
      </w:r>
      <w:r w:rsidR="00755B61" w:rsidRPr="003F264A">
        <w:rPr>
          <w:rFonts w:cstheme="minorHAnsi"/>
          <w:lang w:val="en-GB"/>
        </w:rPr>
        <w:t xml:space="preserve"> </w:t>
      </w:r>
      <w:r w:rsidR="0084711E" w:rsidRPr="003F264A">
        <w:rPr>
          <w:rFonts w:cstheme="minorHAnsi"/>
          <w:lang w:val="en-GB"/>
        </w:rPr>
        <w:t xml:space="preserve">The gender pay gap demonstrates that gender inequality remains a </w:t>
      </w:r>
      <w:r w:rsidR="00091656" w:rsidRPr="003F264A">
        <w:rPr>
          <w:rFonts w:cstheme="minorHAnsi"/>
          <w:lang w:val="en-GB"/>
        </w:rPr>
        <w:t xml:space="preserve">persistent </w:t>
      </w:r>
      <w:r w:rsidR="0084711E" w:rsidRPr="003F264A">
        <w:rPr>
          <w:rFonts w:cstheme="minorHAnsi"/>
          <w:lang w:val="en-GB"/>
        </w:rPr>
        <w:t>issue in Australian society</w:t>
      </w:r>
      <w:r w:rsidR="00091656" w:rsidRPr="003F264A">
        <w:rPr>
          <w:rFonts w:cstheme="minorHAnsi"/>
          <w:lang w:val="en-GB"/>
        </w:rPr>
        <w:t xml:space="preserve"> with complex drivers</w:t>
      </w:r>
      <w:r w:rsidR="0084711E" w:rsidRPr="003F264A">
        <w:rPr>
          <w:rFonts w:cstheme="minorHAnsi"/>
          <w:lang w:val="en-GB"/>
        </w:rPr>
        <w:t>.</w:t>
      </w:r>
    </w:p>
    <w:p w14:paraId="68465791" w14:textId="2267F334" w:rsidR="0074668C" w:rsidRPr="003F264A" w:rsidRDefault="0084004B" w:rsidP="000F6998">
      <w:pPr>
        <w:spacing w:before="240"/>
        <w:jc w:val="both"/>
        <w:rPr>
          <w:rFonts w:cstheme="minorHAnsi"/>
          <w:lang w:val="en-GB"/>
        </w:rPr>
      </w:pPr>
      <w:r w:rsidRPr="003F264A">
        <w:rPr>
          <w:rFonts w:cstheme="minorHAnsi"/>
          <w:lang w:val="en-GB"/>
        </w:rPr>
        <w:t xml:space="preserve">The Review </w:t>
      </w:r>
      <w:r w:rsidR="00C96B3C" w:rsidRPr="003F264A">
        <w:rPr>
          <w:rFonts w:cstheme="minorHAnsi"/>
          <w:lang w:val="en-GB"/>
        </w:rPr>
        <w:t xml:space="preserve">considered if the </w:t>
      </w:r>
      <w:r w:rsidR="00E56FFC">
        <w:rPr>
          <w:rFonts w:cstheme="minorHAnsi"/>
          <w:lang w:val="en-GB"/>
        </w:rPr>
        <w:t>WGEA</w:t>
      </w:r>
      <w:r w:rsidR="00C96B3C" w:rsidRPr="003F264A">
        <w:rPr>
          <w:rFonts w:cstheme="minorHAnsi"/>
          <w:lang w:val="en-GB"/>
        </w:rPr>
        <w:t xml:space="preserve"> had the appropriate powers, tools and levers to achieve the </w:t>
      </w:r>
      <w:bookmarkStart w:id="3" w:name="_Hlk76128650"/>
      <w:r w:rsidR="00C96B3C" w:rsidRPr="003F264A">
        <w:rPr>
          <w:rFonts w:cstheme="minorHAnsi"/>
          <w:lang w:val="en-GB"/>
        </w:rPr>
        <w:t xml:space="preserve">objectives of the </w:t>
      </w:r>
      <w:bookmarkEnd w:id="3"/>
      <w:r w:rsidR="00C96B3C" w:rsidRPr="003F264A">
        <w:rPr>
          <w:rFonts w:cstheme="minorHAnsi"/>
          <w:i/>
          <w:lang w:val="en-GB"/>
        </w:rPr>
        <w:t xml:space="preserve">Workplace Gender </w:t>
      </w:r>
      <w:r w:rsidR="009A1B7B" w:rsidRPr="003F264A">
        <w:rPr>
          <w:rFonts w:cstheme="minorHAnsi"/>
          <w:i/>
          <w:lang w:val="en-GB"/>
        </w:rPr>
        <w:t xml:space="preserve">Equality </w:t>
      </w:r>
      <w:r w:rsidR="00C96B3C" w:rsidRPr="003F264A">
        <w:rPr>
          <w:rFonts w:cstheme="minorHAnsi"/>
          <w:i/>
          <w:lang w:val="en-GB"/>
        </w:rPr>
        <w:t>Act 2012</w:t>
      </w:r>
      <w:r w:rsidR="00C96B3C" w:rsidRPr="003F264A">
        <w:rPr>
          <w:rFonts w:cstheme="minorHAnsi"/>
          <w:lang w:val="en-GB"/>
        </w:rPr>
        <w:t xml:space="preserve"> (the WGE Act)</w:t>
      </w:r>
      <w:r w:rsidRPr="003F264A">
        <w:rPr>
          <w:rFonts w:cstheme="minorHAnsi"/>
          <w:lang w:val="en-GB"/>
        </w:rPr>
        <w:t>.</w:t>
      </w:r>
      <w:r w:rsidR="00D11C3D" w:rsidRPr="003F264A">
        <w:rPr>
          <w:rFonts w:cstheme="minorHAnsi"/>
          <w:lang w:val="en-GB"/>
        </w:rPr>
        <w:t xml:space="preserve"> WGEA is a statutory agency charged with </w:t>
      </w:r>
      <w:r w:rsidR="00DB3A1D" w:rsidRPr="003F264A">
        <w:rPr>
          <w:rFonts w:cstheme="minorHAnsi"/>
          <w:lang w:val="en-GB"/>
        </w:rPr>
        <w:t xml:space="preserve">promoting and improving gender equality in Australian workplaces. </w:t>
      </w:r>
      <w:r w:rsidR="007B2D4B" w:rsidRPr="003F264A">
        <w:rPr>
          <w:rFonts w:cstheme="minorHAnsi"/>
          <w:lang w:val="en-GB"/>
        </w:rPr>
        <w:t>Each year WGEA facilitates</w:t>
      </w:r>
      <w:r w:rsidR="00DB3A1D" w:rsidRPr="003F264A">
        <w:rPr>
          <w:rFonts w:cstheme="minorHAnsi"/>
          <w:lang w:val="en-GB"/>
        </w:rPr>
        <w:t xml:space="preserve"> the public reporting of businesses with 100 or more employees against six </w:t>
      </w:r>
      <w:r w:rsidR="004C3555" w:rsidRPr="003F264A">
        <w:rPr>
          <w:rFonts w:cstheme="minorHAnsi"/>
          <w:lang w:val="en-GB"/>
        </w:rPr>
        <w:t>Gender Equality Indicators (</w:t>
      </w:r>
      <w:r w:rsidR="00EB0A7D" w:rsidRPr="003F264A">
        <w:rPr>
          <w:rFonts w:cstheme="minorHAnsi"/>
          <w:lang w:val="en-GB"/>
        </w:rPr>
        <w:t>GEIs</w:t>
      </w:r>
      <w:r w:rsidR="004C3555" w:rsidRPr="003F264A">
        <w:rPr>
          <w:rFonts w:cstheme="minorHAnsi"/>
          <w:lang w:val="en-GB"/>
        </w:rPr>
        <w:t>)</w:t>
      </w:r>
      <w:r w:rsidR="00DB3A1D" w:rsidRPr="003F264A">
        <w:rPr>
          <w:rFonts w:cstheme="minorHAnsi"/>
          <w:lang w:val="en-GB"/>
        </w:rPr>
        <w:t>.</w:t>
      </w:r>
      <w:r w:rsidRPr="003F264A">
        <w:rPr>
          <w:rFonts w:cstheme="minorHAnsi"/>
          <w:lang w:val="en-GB"/>
        </w:rPr>
        <w:t xml:space="preserve"> </w:t>
      </w:r>
      <w:r w:rsidR="00586896" w:rsidRPr="003F264A">
        <w:rPr>
          <w:rFonts w:cstheme="minorHAnsi"/>
          <w:lang w:val="en-GB"/>
        </w:rPr>
        <w:t xml:space="preserve">Further information on WGEA and the Review </w:t>
      </w:r>
      <w:r w:rsidR="009A1B7B" w:rsidRPr="003F264A">
        <w:rPr>
          <w:rFonts w:cstheme="minorHAnsi"/>
          <w:lang w:val="en-GB"/>
        </w:rPr>
        <w:t xml:space="preserve">is </w:t>
      </w:r>
      <w:r w:rsidR="00586896" w:rsidRPr="003F264A">
        <w:rPr>
          <w:rFonts w:cstheme="minorHAnsi"/>
          <w:lang w:val="en-GB"/>
        </w:rPr>
        <w:t>at Ap</w:t>
      </w:r>
      <w:r w:rsidR="00C33433" w:rsidRPr="003F264A">
        <w:rPr>
          <w:rFonts w:cstheme="minorHAnsi"/>
          <w:lang w:val="en-GB"/>
        </w:rPr>
        <w:t>pendix A</w:t>
      </w:r>
      <w:r w:rsidR="00586896" w:rsidRPr="003F264A">
        <w:rPr>
          <w:rFonts w:cstheme="minorHAnsi"/>
          <w:lang w:val="en-GB"/>
        </w:rPr>
        <w:t>.</w:t>
      </w:r>
      <w:r w:rsidR="00C96B3C" w:rsidRPr="003F264A">
        <w:rPr>
          <w:rFonts w:cstheme="minorHAnsi"/>
          <w:lang w:val="en-GB"/>
        </w:rPr>
        <w:t xml:space="preserve"> </w:t>
      </w:r>
      <w:r w:rsidR="00995E7C" w:rsidRPr="003F264A">
        <w:rPr>
          <w:rFonts w:cstheme="minorHAnsi"/>
          <w:lang w:val="en-GB"/>
        </w:rPr>
        <w:t xml:space="preserve">The Review made ten recommendations to accelerate </w:t>
      </w:r>
      <w:r w:rsidR="00DB3A1D" w:rsidRPr="003F264A">
        <w:rPr>
          <w:rFonts w:cstheme="minorHAnsi"/>
          <w:lang w:val="en-GB"/>
        </w:rPr>
        <w:t xml:space="preserve">the rate of </w:t>
      </w:r>
      <w:r w:rsidR="00995E7C" w:rsidRPr="003F264A">
        <w:rPr>
          <w:rFonts w:cstheme="minorHAnsi"/>
          <w:lang w:val="en-GB"/>
        </w:rPr>
        <w:t>change</w:t>
      </w:r>
      <w:r w:rsidR="00DB3A1D" w:rsidRPr="003F264A">
        <w:rPr>
          <w:rFonts w:cstheme="minorHAnsi"/>
          <w:lang w:val="en-GB"/>
        </w:rPr>
        <w:t xml:space="preserve"> on workplace gender inequality</w:t>
      </w:r>
      <w:r w:rsidR="00995E7C" w:rsidRPr="003F264A">
        <w:rPr>
          <w:rFonts w:cstheme="minorHAnsi"/>
          <w:lang w:val="en-GB"/>
        </w:rPr>
        <w:t xml:space="preserve"> and reduce </w:t>
      </w:r>
      <w:r w:rsidR="0084711E" w:rsidRPr="003F264A">
        <w:rPr>
          <w:rFonts w:cstheme="minorHAnsi"/>
          <w:lang w:val="en-GB"/>
        </w:rPr>
        <w:t xml:space="preserve">the </w:t>
      </w:r>
      <w:r w:rsidR="00995E7C" w:rsidRPr="003F264A">
        <w:rPr>
          <w:rFonts w:cstheme="minorHAnsi"/>
          <w:lang w:val="en-GB"/>
        </w:rPr>
        <w:t>reporting burden on businesses</w:t>
      </w:r>
      <w:r w:rsidR="00171C8A">
        <w:rPr>
          <w:rFonts w:cstheme="minorHAnsi"/>
          <w:lang w:val="en-GB"/>
        </w:rPr>
        <w:t>.</w:t>
      </w:r>
      <w:r w:rsidR="00171C8A" w:rsidRPr="00171C8A">
        <w:rPr>
          <w:rFonts w:cstheme="minorHAnsi"/>
          <w:lang w:val="en-GB"/>
        </w:rPr>
        <w:t xml:space="preserve"> </w:t>
      </w:r>
      <w:r w:rsidR="00171C8A" w:rsidRPr="003F264A">
        <w:rPr>
          <w:rFonts w:cstheme="minorHAnsi"/>
          <w:lang w:val="en-GB"/>
        </w:rPr>
        <w:t>In August 2022, the Government agreed</w:t>
      </w:r>
      <w:r w:rsidR="00171C8A">
        <w:rPr>
          <w:rFonts w:cstheme="minorHAnsi"/>
          <w:lang w:val="en-GB"/>
        </w:rPr>
        <w:t xml:space="preserve"> in-principle</w:t>
      </w:r>
      <w:r w:rsidR="00171C8A" w:rsidRPr="003F264A">
        <w:rPr>
          <w:rFonts w:cstheme="minorHAnsi"/>
          <w:lang w:val="en-GB"/>
        </w:rPr>
        <w:t xml:space="preserve"> to implement all ten of the Review recommendations</w:t>
      </w:r>
      <w:r w:rsidR="00171C8A">
        <w:rPr>
          <w:rFonts w:cstheme="minorHAnsi"/>
          <w:lang w:val="en-GB"/>
        </w:rPr>
        <w:t>, subject to further consultation on the design and implementation of the legislative changes</w:t>
      </w:r>
    </w:p>
    <w:p w14:paraId="39BED785" w14:textId="3B5EA29D" w:rsidR="0084004B" w:rsidRPr="003F264A" w:rsidRDefault="003B3B53" w:rsidP="000F6998">
      <w:pPr>
        <w:spacing w:before="240"/>
        <w:jc w:val="both"/>
        <w:rPr>
          <w:rFonts w:cstheme="minorHAnsi"/>
          <w:lang w:val="en-GB"/>
        </w:rPr>
      </w:pPr>
      <w:r>
        <w:rPr>
          <w:rFonts w:cstheme="minorHAnsi"/>
          <w:lang w:val="en-GB"/>
        </w:rPr>
        <w:t xml:space="preserve">In accordance with the Office of </w:t>
      </w:r>
      <w:r w:rsidR="00171C8A">
        <w:rPr>
          <w:rFonts w:cstheme="minorHAnsi"/>
          <w:lang w:val="en-GB"/>
        </w:rPr>
        <w:t>Impact Analysis’</w:t>
      </w:r>
      <w:r>
        <w:rPr>
          <w:rFonts w:cstheme="minorHAnsi"/>
          <w:lang w:val="en-GB"/>
        </w:rPr>
        <w:t xml:space="preserve"> Guide to Regulation Impact Assessment (the Guide), this</w:t>
      </w:r>
      <w:r w:rsidRPr="003F264A">
        <w:rPr>
          <w:rFonts w:cstheme="minorHAnsi"/>
          <w:lang w:val="en-GB"/>
        </w:rPr>
        <w:t xml:space="preserve"> </w:t>
      </w:r>
      <w:r w:rsidR="00CF5067">
        <w:rPr>
          <w:rFonts w:cstheme="minorHAnsi"/>
          <w:lang w:val="en-GB"/>
        </w:rPr>
        <w:t>IA</w:t>
      </w:r>
      <w:r w:rsidR="00CF5067" w:rsidRPr="003F264A">
        <w:rPr>
          <w:rFonts w:cstheme="minorHAnsi"/>
          <w:lang w:val="en-GB"/>
        </w:rPr>
        <w:t xml:space="preserve"> </w:t>
      </w:r>
      <w:r w:rsidR="0084004B" w:rsidRPr="003F264A">
        <w:rPr>
          <w:rFonts w:cstheme="minorHAnsi"/>
          <w:lang w:val="en-GB"/>
        </w:rPr>
        <w:t xml:space="preserve">considers the findings and recommendations of the Review in order to determine the policy option which best addresses the defined problem. </w:t>
      </w:r>
    </w:p>
    <w:p w14:paraId="695EE69A" w14:textId="355D5FE9" w:rsidR="0084004B" w:rsidRPr="003F264A" w:rsidRDefault="007B2D4B" w:rsidP="000F6998">
      <w:pPr>
        <w:spacing w:before="240"/>
        <w:jc w:val="both"/>
        <w:rPr>
          <w:rFonts w:cstheme="minorHAnsi"/>
          <w:lang w:val="en-GB"/>
        </w:rPr>
      </w:pPr>
      <w:r w:rsidRPr="003F264A">
        <w:rPr>
          <w:rFonts w:cstheme="minorHAnsi"/>
          <w:lang w:val="en-GB"/>
        </w:rPr>
        <w:t xml:space="preserve">This </w:t>
      </w:r>
      <w:r w:rsidR="00CF5067">
        <w:rPr>
          <w:rFonts w:cstheme="minorHAnsi"/>
          <w:lang w:val="en-GB"/>
        </w:rPr>
        <w:t>IA</w:t>
      </w:r>
      <w:r w:rsidRPr="003F264A">
        <w:rPr>
          <w:rFonts w:cstheme="minorHAnsi"/>
          <w:lang w:val="en-GB"/>
        </w:rPr>
        <w:t xml:space="preserve"> defines the problem </w:t>
      </w:r>
      <w:r w:rsidR="007B7BFC" w:rsidRPr="003F264A">
        <w:rPr>
          <w:rFonts w:cstheme="minorHAnsi"/>
          <w:lang w:val="en-GB"/>
        </w:rPr>
        <w:t>as</w:t>
      </w:r>
      <w:r w:rsidRPr="003F264A">
        <w:rPr>
          <w:rFonts w:cstheme="minorHAnsi"/>
          <w:lang w:val="en-GB"/>
        </w:rPr>
        <w:t xml:space="preserve"> gender inequality in the workplace</w:t>
      </w:r>
      <w:r w:rsidR="007B7BFC" w:rsidRPr="003F264A">
        <w:rPr>
          <w:rFonts w:cstheme="minorHAnsi"/>
          <w:lang w:val="en-GB"/>
        </w:rPr>
        <w:t>,</w:t>
      </w:r>
      <w:r w:rsidR="0084004B" w:rsidRPr="003F264A">
        <w:rPr>
          <w:rFonts w:cstheme="minorHAnsi"/>
          <w:lang w:val="en-GB"/>
        </w:rPr>
        <w:t xml:space="preserve"> encompassing </w:t>
      </w:r>
      <w:r w:rsidRPr="003F264A">
        <w:rPr>
          <w:rFonts w:cstheme="minorHAnsi"/>
          <w:lang w:val="en-GB"/>
        </w:rPr>
        <w:t>three</w:t>
      </w:r>
      <w:r w:rsidR="008A3110" w:rsidRPr="003F264A">
        <w:rPr>
          <w:rFonts w:cstheme="minorHAnsi"/>
          <w:lang w:val="en-GB"/>
        </w:rPr>
        <w:t xml:space="preserve"> </w:t>
      </w:r>
      <w:r w:rsidR="0084004B" w:rsidRPr="003F264A">
        <w:rPr>
          <w:rFonts w:cstheme="minorHAnsi"/>
          <w:lang w:val="en-GB"/>
        </w:rPr>
        <w:t xml:space="preserve">elements </w:t>
      </w:r>
      <w:r w:rsidR="007B7BFC" w:rsidRPr="003F264A">
        <w:rPr>
          <w:rFonts w:cstheme="minorHAnsi"/>
          <w:lang w:val="en-GB"/>
        </w:rPr>
        <w:t xml:space="preserve">identified </w:t>
      </w:r>
      <w:r w:rsidR="0084004B" w:rsidRPr="003F264A">
        <w:rPr>
          <w:rFonts w:cstheme="minorHAnsi"/>
          <w:lang w:val="en-GB"/>
        </w:rPr>
        <w:t>from the Review:</w:t>
      </w:r>
    </w:p>
    <w:p w14:paraId="78C18140" w14:textId="77777777" w:rsidR="008A3110" w:rsidRPr="003F264A" w:rsidRDefault="008A3110" w:rsidP="000F6998">
      <w:pPr>
        <w:pStyle w:val="ListParagraph"/>
        <w:numPr>
          <w:ilvl w:val="0"/>
          <w:numId w:val="34"/>
        </w:numPr>
        <w:tabs>
          <w:tab w:val="num" w:pos="360"/>
        </w:tabs>
        <w:jc w:val="both"/>
        <w:rPr>
          <w:rFonts w:cstheme="minorHAnsi"/>
        </w:rPr>
      </w:pPr>
      <w:r w:rsidRPr="003F264A">
        <w:rPr>
          <w:rFonts w:cstheme="minorHAnsi"/>
        </w:rPr>
        <w:t xml:space="preserve">Gaps exist in the current dataset; </w:t>
      </w:r>
    </w:p>
    <w:p w14:paraId="32887640" w14:textId="77777777" w:rsidR="008A3110" w:rsidRPr="003F264A" w:rsidRDefault="008A3110" w:rsidP="000F6998">
      <w:pPr>
        <w:pStyle w:val="ListParagraph"/>
        <w:numPr>
          <w:ilvl w:val="0"/>
          <w:numId w:val="34"/>
        </w:numPr>
        <w:tabs>
          <w:tab w:val="num" w:pos="360"/>
        </w:tabs>
        <w:jc w:val="both"/>
        <w:rPr>
          <w:rFonts w:cstheme="minorHAnsi"/>
        </w:rPr>
      </w:pPr>
      <w:r w:rsidRPr="003F264A">
        <w:rPr>
          <w:rFonts w:cstheme="minorHAnsi"/>
        </w:rPr>
        <w:t>Certain elements of reporting are burdensome on businesses; and</w:t>
      </w:r>
    </w:p>
    <w:p w14:paraId="382D54C9" w14:textId="77777777" w:rsidR="008A3110" w:rsidRPr="003F264A" w:rsidRDefault="008A3110" w:rsidP="000F6998">
      <w:pPr>
        <w:pStyle w:val="ListParagraph"/>
        <w:numPr>
          <w:ilvl w:val="0"/>
          <w:numId w:val="34"/>
        </w:numPr>
        <w:tabs>
          <w:tab w:val="num" w:pos="360"/>
        </w:tabs>
        <w:jc w:val="both"/>
        <w:rPr>
          <w:rFonts w:cstheme="minorHAnsi"/>
        </w:rPr>
      </w:pPr>
      <w:r w:rsidRPr="003F264A">
        <w:rPr>
          <w:rFonts w:cstheme="minorHAnsi"/>
        </w:rPr>
        <w:t>Current regulation is not ambitious enough to drive change in gender inequality.</w:t>
      </w:r>
    </w:p>
    <w:p w14:paraId="3E1A6D33" w14:textId="77777777" w:rsidR="008A3110" w:rsidRPr="003F264A" w:rsidRDefault="008A3110" w:rsidP="000F6998">
      <w:pPr>
        <w:jc w:val="both"/>
        <w:rPr>
          <w:rFonts w:cstheme="minorHAnsi"/>
        </w:rPr>
      </w:pPr>
      <w:r w:rsidRPr="003F264A">
        <w:rPr>
          <w:rFonts w:cstheme="minorHAnsi"/>
        </w:rPr>
        <w:t xml:space="preserve">Three policy options are proposed under the </w:t>
      </w:r>
      <w:r w:rsidR="00CF5067">
        <w:rPr>
          <w:rFonts w:cstheme="minorHAnsi"/>
          <w:lang w:val="en-GB"/>
        </w:rPr>
        <w:t>IA</w:t>
      </w:r>
      <w:r w:rsidRPr="003F264A">
        <w:rPr>
          <w:rFonts w:cstheme="minorHAnsi"/>
        </w:rPr>
        <w:t xml:space="preserve"> in order to address the problem. </w:t>
      </w:r>
    </w:p>
    <w:p w14:paraId="16DC10A0" w14:textId="77777777" w:rsidR="00DB3A1D" w:rsidRPr="003F264A" w:rsidRDefault="008A3110" w:rsidP="000F6998">
      <w:pPr>
        <w:jc w:val="both"/>
        <w:rPr>
          <w:rFonts w:cstheme="minorHAnsi"/>
        </w:rPr>
      </w:pPr>
      <w:r w:rsidRPr="003F264A">
        <w:rPr>
          <w:rFonts w:cstheme="minorHAnsi"/>
          <w:b/>
        </w:rPr>
        <w:t>Option 1</w:t>
      </w:r>
      <w:r w:rsidRPr="003F264A">
        <w:rPr>
          <w:rFonts w:cstheme="minorHAnsi"/>
        </w:rPr>
        <w:t xml:space="preserve">: </w:t>
      </w:r>
      <w:r w:rsidR="004A158D" w:rsidRPr="003F264A">
        <w:rPr>
          <w:rFonts w:cstheme="minorHAnsi"/>
        </w:rPr>
        <w:t>Maintaining t</w:t>
      </w:r>
      <w:r w:rsidRPr="003F264A">
        <w:rPr>
          <w:rFonts w:cstheme="minorHAnsi"/>
        </w:rPr>
        <w:t>he</w:t>
      </w:r>
      <w:r w:rsidR="004A158D" w:rsidRPr="003F264A">
        <w:rPr>
          <w:rFonts w:cstheme="minorHAnsi"/>
        </w:rPr>
        <w:t xml:space="preserve"> status quo</w:t>
      </w:r>
    </w:p>
    <w:p w14:paraId="13768E76" w14:textId="77777777" w:rsidR="008A3110" w:rsidRPr="003F264A" w:rsidRDefault="008A3110" w:rsidP="000F6998">
      <w:pPr>
        <w:pStyle w:val="ListParagraph"/>
        <w:jc w:val="both"/>
        <w:rPr>
          <w:rFonts w:cstheme="minorHAnsi"/>
        </w:rPr>
      </w:pPr>
      <w:r w:rsidRPr="003F264A">
        <w:rPr>
          <w:rFonts w:cstheme="minorHAnsi"/>
        </w:rPr>
        <w:t>This option would not implement any recommendations of the Review</w:t>
      </w:r>
      <w:r w:rsidR="00DB3A1D" w:rsidRPr="003F264A">
        <w:rPr>
          <w:rFonts w:cstheme="minorHAnsi"/>
        </w:rPr>
        <w:t>, maintaining th</w:t>
      </w:r>
      <w:r w:rsidR="007B7BFC" w:rsidRPr="003F264A">
        <w:rPr>
          <w:rFonts w:cstheme="minorHAnsi"/>
        </w:rPr>
        <w:t>e</w:t>
      </w:r>
      <w:r w:rsidR="00DB3A1D" w:rsidRPr="003F264A">
        <w:rPr>
          <w:rFonts w:cstheme="minorHAnsi"/>
        </w:rPr>
        <w:t xml:space="preserve"> status quo. This would </w:t>
      </w:r>
      <w:r w:rsidRPr="003F264A">
        <w:rPr>
          <w:rFonts w:cstheme="minorHAnsi"/>
        </w:rPr>
        <w:t>result in the WGEA framework and reporting system continuing as currently designed</w:t>
      </w:r>
      <w:r w:rsidR="00DB3A1D" w:rsidRPr="003F264A">
        <w:rPr>
          <w:rFonts w:cstheme="minorHAnsi"/>
        </w:rPr>
        <w:t xml:space="preserve"> and the three elements of the problem remaining </w:t>
      </w:r>
      <w:r w:rsidR="00555157" w:rsidRPr="003F264A">
        <w:rPr>
          <w:rFonts w:cstheme="minorHAnsi"/>
        </w:rPr>
        <w:t>unaddressed</w:t>
      </w:r>
      <w:r w:rsidR="00DB3A1D" w:rsidRPr="003F264A">
        <w:rPr>
          <w:rFonts w:cstheme="minorHAnsi"/>
        </w:rPr>
        <w:t xml:space="preserve">. </w:t>
      </w:r>
    </w:p>
    <w:p w14:paraId="46441185" w14:textId="77777777" w:rsidR="0084004B" w:rsidRPr="003F264A" w:rsidRDefault="00AB34E8" w:rsidP="000F6998">
      <w:pPr>
        <w:spacing w:before="240"/>
        <w:jc w:val="both"/>
        <w:rPr>
          <w:rFonts w:cstheme="minorHAnsi"/>
          <w:lang w:val="en-GB"/>
        </w:rPr>
      </w:pPr>
      <w:r w:rsidRPr="003F264A">
        <w:rPr>
          <w:rFonts w:cstheme="minorHAnsi"/>
          <w:b/>
          <w:lang w:val="en-GB"/>
        </w:rPr>
        <w:t>Option 2</w:t>
      </w:r>
      <w:r w:rsidRPr="003F264A">
        <w:rPr>
          <w:rFonts w:cstheme="minorHAnsi"/>
          <w:lang w:val="en-GB"/>
        </w:rPr>
        <w:t xml:space="preserve">: </w:t>
      </w:r>
      <w:r w:rsidR="00622153" w:rsidRPr="003F264A">
        <w:rPr>
          <w:rFonts w:cstheme="minorHAnsi"/>
          <w:lang w:val="en-GB"/>
        </w:rPr>
        <w:t>Improve reporting for businesses (Implement Recommendation 4)</w:t>
      </w:r>
    </w:p>
    <w:p w14:paraId="3C60EE30" w14:textId="77777777" w:rsidR="00AB34E8" w:rsidRPr="003F264A" w:rsidRDefault="004A158D" w:rsidP="000F6998">
      <w:pPr>
        <w:pStyle w:val="ListParagraph"/>
        <w:jc w:val="both"/>
        <w:rPr>
          <w:rFonts w:cstheme="minorHAnsi"/>
          <w:lang w:val="en-GB"/>
        </w:rPr>
      </w:pPr>
      <w:r w:rsidRPr="003F264A">
        <w:rPr>
          <w:rFonts w:cstheme="minorHAnsi"/>
          <w:lang w:val="en-GB"/>
        </w:rPr>
        <w:t xml:space="preserve">This option would </w:t>
      </w:r>
      <w:r w:rsidR="00187E04">
        <w:rPr>
          <w:rFonts w:cstheme="minorHAnsi"/>
          <w:lang w:val="en-GB"/>
        </w:rPr>
        <w:t xml:space="preserve">only </w:t>
      </w:r>
      <w:r w:rsidR="00701F56" w:rsidRPr="003F264A">
        <w:rPr>
          <w:rFonts w:cstheme="minorHAnsi"/>
          <w:lang w:val="en-GB"/>
        </w:rPr>
        <w:t>implement recommendation 4 of the Review (</w:t>
      </w:r>
      <w:r w:rsidR="00BF68C3" w:rsidRPr="003F264A">
        <w:rPr>
          <w:rFonts w:cstheme="minorHAnsi"/>
          <w:lang w:val="en-GB"/>
        </w:rPr>
        <w:t>r</w:t>
      </w:r>
      <w:r w:rsidR="00701F56" w:rsidRPr="003F264A">
        <w:rPr>
          <w:rFonts w:cstheme="minorHAnsi"/>
          <w:lang w:val="en-GB"/>
        </w:rPr>
        <w:t xml:space="preserve">educe the regulatory burden on employers). </w:t>
      </w:r>
      <w:r w:rsidR="0084711E" w:rsidRPr="003F264A">
        <w:rPr>
          <w:rFonts w:cstheme="minorHAnsi"/>
          <w:lang w:val="en-GB"/>
        </w:rPr>
        <w:t xml:space="preserve">This option would address element 2 of the problem through </w:t>
      </w:r>
      <w:r w:rsidR="00701F56" w:rsidRPr="003F264A">
        <w:rPr>
          <w:rFonts w:cstheme="minorHAnsi"/>
          <w:lang w:val="en-GB"/>
        </w:rPr>
        <w:t>three different changes to reporting. This option streamlines reporting</w:t>
      </w:r>
      <w:r w:rsidR="009F3014" w:rsidRPr="003F264A">
        <w:rPr>
          <w:rFonts w:cstheme="minorHAnsi"/>
          <w:lang w:val="en-GB"/>
        </w:rPr>
        <w:t xml:space="preserve"> by reducing regulatory burden</w:t>
      </w:r>
      <w:r w:rsidR="00701F56" w:rsidRPr="003F264A">
        <w:rPr>
          <w:rFonts w:cstheme="minorHAnsi"/>
          <w:lang w:val="en-GB"/>
        </w:rPr>
        <w:t xml:space="preserve"> and would allow employers more time to focus on organisational change, however it does not address element</w:t>
      </w:r>
      <w:r w:rsidR="0084711E" w:rsidRPr="003F264A">
        <w:rPr>
          <w:rFonts w:cstheme="minorHAnsi"/>
          <w:lang w:val="en-GB"/>
        </w:rPr>
        <w:t>s</w:t>
      </w:r>
      <w:r w:rsidR="00701F56" w:rsidRPr="003F264A">
        <w:rPr>
          <w:rFonts w:cstheme="minorHAnsi"/>
          <w:lang w:val="en-GB"/>
        </w:rPr>
        <w:t xml:space="preserve"> 1 and 3 of the problem. </w:t>
      </w:r>
    </w:p>
    <w:p w14:paraId="6D9E7D3A" w14:textId="77777777" w:rsidR="00701F56" w:rsidRPr="003F264A" w:rsidRDefault="00701F56" w:rsidP="000F6998">
      <w:pPr>
        <w:jc w:val="both"/>
        <w:rPr>
          <w:rFonts w:cstheme="minorHAnsi"/>
          <w:lang w:val="en-GB"/>
        </w:rPr>
      </w:pPr>
      <w:r w:rsidRPr="003F264A">
        <w:rPr>
          <w:rFonts w:cstheme="minorHAnsi"/>
          <w:b/>
          <w:lang w:val="en-GB"/>
        </w:rPr>
        <w:t>Option 3</w:t>
      </w:r>
      <w:r w:rsidRPr="003F264A">
        <w:rPr>
          <w:rFonts w:cstheme="minorHAnsi"/>
          <w:lang w:val="en-GB"/>
        </w:rPr>
        <w:t xml:space="preserve">: </w:t>
      </w:r>
      <w:r w:rsidR="00622153" w:rsidRPr="003F264A">
        <w:rPr>
          <w:rFonts w:cstheme="minorHAnsi"/>
          <w:lang w:val="en-GB"/>
        </w:rPr>
        <w:t>Improve reporting for businesses and drive cultural change to close the gender pay gap through better transparency, accountability and information (Implement Recommendations 2, 3, 4, and 7).</w:t>
      </w:r>
    </w:p>
    <w:p w14:paraId="74371972" w14:textId="6F2C2A97" w:rsidR="006B0CD1" w:rsidRPr="003F264A" w:rsidRDefault="00701F56" w:rsidP="000F6998">
      <w:pPr>
        <w:pStyle w:val="ListParagraph"/>
        <w:jc w:val="both"/>
        <w:rPr>
          <w:rFonts w:cstheme="minorHAnsi"/>
        </w:rPr>
      </w:pPr>
      <w:r w:rsidRPr="003F264A">
        <w:rPr>
          <w:rFonts w:cstheme="minorHAnsi"/>
          <w:lang w:val="en-GB"/>
        </w:rPr>
        <w:t xml:space="preserve">This option would implement </w:t>
      </w:r>
      <w:r w:rsidR="00517ED7" w:rsidRPr="003F264A">
        <w:rPr>
          <w:rFonts w:cstheme="minorHAnsi"/>
          <w:lang w:val="en-GB"/>
        </w:rPr>
        <w:t>Recommendation</w:t>
      </w:r>
      <w:r w:rsidRPr="003F264A">
        <w:rPr>
          <w:rFonts w:cstheme="minorHAnsi"/>
          <w:lang w:val="en-GB"/>
        </w:rPr>
        <w:t>s 2,</w:t>
      </w:r>
      <w:r w:rsidR="0025500C">
        <w:rPr>
          <w:rFonts w:cstheme="minorHAnsi"/>
          <w:lang w:val="en-GB"/>
        </w:rPr>
        <w:t xml:space="preserve"> </w:t>
      </w:r>
      <w:r w:rsidRPr="003F264A">
        <w:rPr>
          <w:rFonts w:cstheme="minorHAnsi"/>
          <w:lang w:val="en-GB"/>
        </w:rPr>
        <w:t>3,</w:t>
      </w:r>
      <w:r w:rsidR="008638CA">
        <w:rPr>
          <w:rFonts w:cstheme="minorHAnsi"/>
          <w:lang w:val="en-GB"/>
        </w:rPr>
        <w:t xml:space="preserve"> </w:t>
      </w:r>
      <w:r w:rsidRPr="003F264A">
        <w:rPr>
          <w:rFonts w:cstheme="minorHAnsi"/>
          <w:lang w:val="en-GB"/>
        </w:rPr>
        <w:t>4 and 7</w:t>
      </w:r>
      <w:r w:rsidR="006B0CD1" w:rsidRPr="003F264A">
        <w:rPr>
          <w:rFonts w:cstheme="minorHAnsi"/>
          <w:lang w:val="en-GB"/>
        </w:rPr>
        <w:t xml:space="preserve"> of the Review and address all three elements of the problem. </w:t>
      </w:r>
      <w:r w:rsidRPr="003F264A">
        <w:rPr>
          <w:rFonts w:cstheme="minorHAnsi"/>
          <w:lang w:val="en-GB"/>
        </w:rPr>
        <w:t>Recommendations 2</w:t>
      </w:r>
      <w:r w:rsidR="0084711E" w:rsidRPr="003F264A">
        <w:rPr>
          <w:rFonts w:cstheme="minorHAnsi"/>
          <w:lang w:val="en-GB"/>
        </w:rPr>
        <w:t xml:space="preserve"> (publishing of gender pay gaps at the organisation level)</w:t>
      </w:r>
      <w:r w:rsidRPr="003F264A">
        <w:rPr>
          <w:rFonts w:cstheme="minorHAnsi"/>
          <w:lang w:val="en-GB"/>
        </w:rPr>
        <w:t xml:space="preserve"> and 3</w:t>
      </w:r>
      <w:r w:rsidR="0084711E" w:rsidRPr="003F264A">
        <w:rPr>
          <w:rFonts w:cstheme="minorHAnsi"/>
          <w:lang w:val="en-GB"/>
        </w:rPr>
        <w:t xml:space="preserve"> (strengthening of minimum standards, including the addition of the new minimum standard requiring employers to achieve and report to WGEA against three genuine, measurable targets)</w:t>
      </w:r>
      <w:r w:rsidRPr="003F264A">
        <w:rPr>
          <w:rFonts w:cstheme="minorHAnsi"/>
          <w:lang w:val="en-GB"/>
        </w:rPr>
        <w:t xml:space="preserve"> are headline recommendations of the </w:t>
      </w:r>
      <w:r w:rsidR="00187E04">
        <w:rPr>
          <w:rFonts w:cstheme="minorHAnsi"/>
          <w:lang w:val="en-GB"/>
        </w:rPr>
        <w:t>R</w:t>
      </w:r>
      <w:r w:rsidRPr="003F264A">
        <w:rPr>
          <w:rFonts w:cstheme="minorHAnsi"/>
          <w:lang w:val="en-GB"/>
        </w:rPr>
        <w:t>eview</w:t>
      </w:r>
      <w:r w:rsidR="0084711E" w:rsidRPr="003F264A">
        <w:rPr>
          <w:rFonts w:cstheme="minorHAnsi"/>
          <w:lang w:val="en-GB"/>
        </w:rPr>
        <w:t>.</w:t>
      </w:r>
      <w:r w:rsidRPr="003F264A">
        <w:rPr>
          <w:rFonts w:cstheme="minorHAnsi"/>
          <w:lang w:val="en-GB"/>
        </w:rPr>
        <w:t xml:space="preserve"> </w:t>
      </w:r>
      <w:r w:rsidR="006B0CD1" w:rsidRPr="003F264A">
        <w:rPr>
          <w:rFonts w:cstheme="minorHAnsi"/>
          <w:lang w:val="en-GB"/>
        </w:rPr>
        <w:t xml:space="preserve">These recommendations would address element 2 </w:t>
      </w:r>
      <w:r w:rsidR="0084711E" w:rsidRPr="003F264A">
        <w:rPr>
          <w:rFonts w:cstheme="minorHAnsi"/>
          <w:lang w:val="en-GB"/>
        </w:rPr>
        <w:t xml:space="preserve">of the </w:t>
      </w:r>
      <w:r w:rsidR="0084711E" w:rsidRPr="00FE5AC3">
        <w:rPr>
          <w:rFonts w:cstheme="minorHAnsi"/>
          <w:lang w:val="en-GB"/>
        </w:rPr>
        <w:t>problem</w:t>
      </w:r>
      <w:r w:rsidR="006B0CD1" w:rsidRPr="00FE5AC3">
        <w:rPr>
          <w:rFonts w:cstheme="minorHAnsi"/>
        </w:rPr>
        <w:t xml:space="preserve">. Recommendation </w:t>
      </w:r>
      <w:r w:rsidR="00FE5AC3" w:rsidRPr="00FE5AC3">
        <w:rPr>
          <w:rFonts w:cstheme="minorHAnsi"/>
        </w:rPr>
        <w:t>7</w:t>
      </w:r>
      <w:r w:rsidR="006B0CD1" w:rsidRPr="00FE5AC3">
        <w:rPr>
          <w:rFonts w:cstheme="minorHAnsi"/>
        </w:rPr>
        <w:t xml:space="preserve"> (</w:t>
      </w:r>
      <w:r w:rsidR="0084711E" w:rsidRPr="00FE5AC3">
        <w:rPr>
          <w:rFonts w:cstheme="minorHAnsi"/>
        </w:rPr>
        <w:t>r</w:t>
      </w:r>
      <w:r w:rsidR="006B0CD1" w:rsidRPr="00FE5AC3">
        <w:rPr>
          <w:rFonts w:cstheme="minorHAnsi"/>
        </w:rPr>
        <w:t xml:space="preserve">efine the </w:t>
      </w:r>
      <w:r w:rsidR="00EB0A7D" w:rsidRPr="00FE5AC3">
        <w:rPr>
          <w:rFonts w:cstheme="minorHAnsi"/>
        </w:rPr>
        <w:t>GEI</w:t>
      </w:r>
      <w:r w:rsidR="006B0CD1" w:rsidRPr="00FE5AC3">
        <w:rPr>
          <w:rFonts w:cstheme="minorHAnsi"/>
        </w:rPr>
        <w:t>s) contains a number of changes to reporting that would broaden</w:t>
      </w:r>
      <w:r w:rsidR="006B0CD1" w:rsidRPr="003F264A">
        <w:rPr>
          <w:rFonts w:cstheme="minorHAnsi"/>
        </w:rPr>
        <w:t xml:space="preserve"> the dataset, addressing element 1 of the problem. </w:t>
      </w:r>
    </w:p>
    <w:p w14:paraId="00D82287" w14:textId="77777777" w:rsidR="00606153" w:rsidRPr="003F264A" w:rsidRDefault="00DE73FE" w:rsidP="000F6998">
      <w:pPr>
        <w:spacing w:before="240"/>
        <w:jc w:val="both"/>
        <w:rPr>
          <w:rFonts w:cstheme="minorHAnsi"/>
          <w:lang w:val="en-GB"/>
        </w:rPr>
      </w:pPr>
      <w:r w:rsidRPr="003F264A">
        <w:rPr>
          <w:rFonts w:cstheme="minorHAnsi"/>
          <w:lang w:val="en-GB"/>
        </w:rPr>
        <w:t xml:space="preserve">This </w:t>
      </w:r>
      <w:r w:rsidR="00CF5067">
        <w:rPr>
          <w:rFonts w:cstheme="minorHAnsi"/>
          <w:lang w:val="en-GB"/>
        </w:rPr>
        <w:t>IA</w:t>
      </w:r>
      <w:r w:rsidRPr="003F264A">
        <w:rPr>
          <w:rFonts w:cstheme="minorHAnsi"/>
          <w:lang w:val="en-GB"/>
        </w:rPr>
        <w:t xml:space="preserve"> has been developed alongside </w:t>
      </w:r>
      <w:r w:rsidR="00187E04">
        <w:rPr>
          <w:rFonts w:cstheme="minorHAnsi"/>
          <w:lang w:val="en-GB"/>
        </w:rPr>
        <w:t>a</w:t>
      </w:r>
      <w:r w:rsidR="00187E04" w:rsidRPr="003F264A">
        <w:rPr>
          <w:rFonts w:cstheme="minorHAnsi"/>
          <w:lang w:val="en-GB"/>
        </w:rPr>
        <w:t xml:space="preserve"> </w:t>
      </w:r>
      <w:r w:rsidR="00C64F2A" w:rsidRPr="003F264A">
        <w:rPr>
          <w:rFonts w:cstheme="minorHAnsi"/>
          <w:lang w:val="en-GB"/>
        </w:rPr>
        <w:t xml:space="preserve">process of consultation to support </w:t>
      </w:r>
      <w:r w:rsidRPr="003F264A">
        <w:rPr>
          <w:rFonts w:cstheme="minorHAnsi"/>
          <w:lang w:val="en-GB"/>
        </w:rPr>
        <w:t xml:space="preserve">policy development. </w:t>
      </w:r>
      <w:r w:rsidR="00AB2BEB" w:rsidRPr="003F264A">
        <w:rPr>
          <w:rFonts w:cstheme="minorHAnsi"/>
          <w:lang w:val="en-GB"/>
        </w:rPr>
        <w:t xml:space="preserve">As is outlined in </w:t>
      </w:r>
      <w:r w:rsidR="007B7BFC" w:rsidRPr="003F264A">
        <w:rPr>
          <w:rFonts w:cstheme="minorHAnsi"/>
          <w:lang w:val="en-GB"/>
        </w:rPr>
        <w:t>C</w:t>
      </w:r>
      <w:r w:rsidR="0050128A" w:rsidRPr="003F264A">
        <w:rPr>
          <w:rFonts w:cstheme="minorHAnsi"/>
          <w:lang w:val="en-GB"/>
        </w:rPr>
        <w:t>hapter 10</w:t>
      </w:r>
      <w:r w:rsidR="00994AF8" w:rsidRPr="003F264A">
        <w:rPr>
          <w:rFonts w:cstheme="minorHAnsi"/>
          <w:lang w:val="en-GB"/>
        </w:rPr>
        <w:t xml:space="preserve">, </w:t>
      </w:r>
      <w:r w:rsidR="00AB2BEB" w:rsidRPr="003F264A">
        <w:rPr>
          <w:rFonts w:cstheme="minorHAnsi"/>
          <w:lang w:val="en-GB"/>
        </w:rPr>
        <w:t xml:space="preserve">broad initial consultation took place in order for the Review recommendations to be developed. </w:t>
      </w:r>
      <w:r w:rsidR="00E209A1" w:rsidRPr="003F264A">
        <w:rPr>
          <w:rFonts w:cstheme="minorHAnsi"/>
          <w:lang w:val="en-GB"/>
        </w:rPr>
        <w:t xml:space="preserve">Further targeted consultation took place in </w:t>
      </w:r>
      <w:r w:rsidR="00C64F2A" w:rsidRPr="003F264A">
        <w:rPr>
          <w:rFonts w:cstheme="minorHAnsi"/>
          <w:lang w:val="en-GB"/>
        </w:rPr>
        <w:t>August and September</w:t>
      </w:r>
      <w:r w:rsidR="00E209A1" w:rsidRPr="003F264A">
        <w:rPr>
          <w:rFonts w:cstheme="minorHAnsi"/>
          <w:lang w:val="en-GB"/>
        </w:rPr>
        <w:t xml:space="preserve"> 2022</w:t>
      </w:r>
      <w:r w:rsidR="002A5908" w:rsidRPr="003F264A">
        <w:rPr>
          <w:rFonts w:cstheme="minorHAnsi"/>
          <w:lang w:val="en-GB"/>
        </w:rPr>
        <w:t xml:space="preserve"> th</w:t>
      </w:r>
      <w:r w:rsidR="00994AF8" w:rsidRPr="003F264A">
        <w:rPr>
          <w:rFonts w:cstheme="minorHAnsi"/>
          <w:lang w:val="en-GB"/>
        </w:rPr>
        <w:t>r</w:t>
      </w:r>
      <w:r w:rsidR="002A5908" w:rsidRPr="003F264A">
        <w:rPr>
          <w:rFonts w:cstheme="minorHAnsi"/>
          <w:lang w:val="en-GB"/>
        </w:rPr>
        <w:t>ough a survey to reporting employers and three targeted roundtables. This second round of consultation was held</w:t>
      </w:r>
      <w:r w:rsidR="00E209A1" w:rsidRPr="003F264A">
        <w:rPr>
          <w:rFonts w:cstheme="minorHAnsi"/>
          <w:lang w:val="en-GB"/>
        </w:rPr>
        <w:t xml:space="preserve"> to determine impacts of the policy options on businesses, ensure the views of industry were considered when designing implementation</w:t>
      </w:r>
      <w:r w:rsidR="00187E04">
        <w:rPr>
          <w:rFonts w:cstheme="minorHAnsi"/>
          <w:lang w:val="en-GB"/>
        </w:rPr>
        <w:t>,</w:t>
      </w:r>
      <w:r w:rsidR="00E209A1" w:rsidRPr="003F264A">
        <w:rPr>
          <w:rFonts w:cstheme="minorHAnsi"/>
          <w:lang w:val="en-GB"/>
        </w:rPr>
        <w:t xml:space="preserve"> and to minimise </w:t>
      </w:r>
      <w:r w:rsidR="0084711E" w:rsidRPr="003F264A">
        <w:rPr>
          <w:rFonts w:cstheme="minorHAnsi"/>
          <w:lang w:val="en-GB"/>
        </w:rPr>
        <w:t>risks</w:t>
      </w:r>
      <w:r w:rsidR="00E209A1" w:rsidRPr="003F264A">
        <w:rPr>
          <w:rFonts w:cstheme="minorHAnsi"/>
          <w:lang w:val="en-GB"/>
        </w:rPr>
        <w:t xml:space="preserve">. </w:t>
      </w:r>
    </w:p>
    <w:p w14:paraId="7EB14F1C" w14:textId="4BC408D4" w:rsidR="00D473FA" w:rsidRDefault="006A61D0" w:rsidP="000F6998">
      <w:pPr>
        <w:spacing w:before="240"/>
        <w:jc w:val="both"/>
        <w:rPr>
          <w:rFonts w:cstheme="minorHAnsi"/>
        </w:rPr>
      </w:pPr>
      <w:r w:rsidRPr="003F264A">
        <w:rPr>
          <w:rFonts w:cstheme="minorHAnsi"/>
          <w:lang w:val="en-GB"/>
        </w:rPr>
        <w:t xml:space="preserve">After considering the views of stakeholders in consultation and assessing the overall net benefit of impacts on individuals, medium businesses, large </w:t>
      </w:r>
      <w:r w:rsidR="005C2784" w:rsidRPr="003F264A">
        <w:rPr>
          <w:rFonts w:cstheme="minorHAnsi"/>
          <w:lang w:val="en-GB"/>
        </w:rPr>
        <w:t>businesses, community organisation</w:t>
      </w:r>
      <w:r w:rsidRPr="003F264A">
        <w:rPr>
          <w:rFonts w:cstheme="minorHAnsi"/>
          <w:lang w:val="en-GB"/>
        </w:rPr>
        <w:t xml:space="preserve">s and government, </w:t>
      </w:r>
      <w:r w:rsidR="00BA44F9" w:rsidRPr="003F264A">
        <w:rPr>
          <w:rFonts w:cstheme="minorHAnsi"/>
          <w:lang w:val="en-GB"/>
        </w:rPr>
        <w:t>Option</w:t>
      </w:r>
      <w:r w:rsidRPr="003F264A">
        <w:rPr>
          <w:rFonts w:cstheme="minorHAnsi"/>
          <w:lang w:val="en-GB"/>
        </w:rPr>
        <w:t xml:space="preserve"> 3 was determined to be the preferred option.</w:t>
      </w:r>
      <w:r w:rsidR="005C2784" w:rsidRPr="003F264A">
        <w:rPr>
          <w:rFonts w:cstheme="minorHAnsi"/>
          <w:lang w:val="en-GB"/>
        </w:rPr>
        <w:t xml:space="preserve"> </w:t>
      </w:r>
      <w:r w:rsidR="005C2784" w:rsidRPr="003F264A">
        <w:rPr>
          <w:rFonts w:cstheme="minorHAnsi"/>
        </w:rPr>
        <w:t xml:space="preserve">The drivers of gender inequality in Australian workplaces are complex and diverse. Policy interventions in this area require careful consideration, consultation with a variety of stakeholders and must adequately address the range of factors that contribute to the current unequal state of the workforce in Australia. Through implementing </w:t>
      </w:r>
      <w:r w:rsidR="00517ED7" w:rsidRPr="003F264A">
        <w:rPr>
          <w:rFonts w:cstheme="minorHAnsi"/>
        </w:rPr>
        <w:t>Recommendation</w:t>
      </w:r>
      <w:r w:rsidR="005C2784" w:rsidRPr="003F264A">
        <w:rPr>
          <w:rFonts w:cstheme="minorHAnsi"/>
        </w:rPr>
        <w:t>s 2,</w:t>
      </w:r>
      <w:r w:rsidR="0084711E" w:rsidRPr="003F264A">
        <w:rPr>
          <w:rFonts w:cstheme="minorHAnsi"/>
        </w:rPr>
        <w:t xml:space="preserve"> </w:t>
      </w:r>
      <w:r w:rsidR="005C2784" w:rsidRPr="003F264A">
        <w:rPr>
          <w:rFonts w:cstheme="minorHAnsi"/>
        </w:rPr>
        <w:t>3,</w:t>
      </w:r>
      <w:r w:rsidR="0084711E" w:rsidRPr="003F264A">
        <w:rPr>
          <w:rFonts w:cstheme="minorHAnsi"/>
        </w:rPr>
        <w:t xml:space="preserve"> </w:t>
      </w:r>
      <w:r w:rsidR="005C2784" w:rsidRPr="003F264A">
        <w:rPr>
          <w:rFonts w:cstheme="minorHAnsi"/>
        </w:rPr>
        <w:t xml:space="preserve">4 and 7 of the Review, </w:t>
      </w:r>
      <w:r w:rsidR="00BA44F9" w:rsidRPr="003F264A">
        <w:rPr>
          <w:rFonts w:cstheme="minorHAnsi"/>
        </w:rPr>
        <w:t>Option</w:t>
      </w:r>
      <w:r w:rsidR="005C2784" w:rsidRPr="003F264A">
        <w:rPr>
          <w:rFonts w:cstheme="minorHAnsi"/>
        </w:rPr>
        <w:t xml:space="preserve"> 3 offers a multifaceted approach to accelerating the rate of change to address gender inequality in Australia an</w:t>
      </w:r>
      <w:r w:rsidR="00DF57AF">
        <w:rPr>
          <w:rFonts w:cstheme="minorHAnsi"/>
        </w:rPr>
        <w:t>d narrowing the gender pay gap.</w:t>
      </w:r>
    </w:p>
    <w:p w14:paraId="3A939BD6" w14:textId="00AD102D" w:rsidR="00DF57AF" w:rsidRPr="003F264A" w:rsidRDefault="00DF57AF" w:rsidP="000F6998">
      <w:pPr>
        <w:spacing w:before="240"/>
        <w:jc w:val="both"/>
        <w:rPr>
          <w:rFonts w:cstheme="minorHAnsi"/>
        </w:rPr>
      </w:pPr>
      <w:r>
        <w:t xml:space="preserve">This IA was subject </w:t>
      </w:r>
      <w:r w:rsidR="00C65F93">
        <w:t>t</w:t>
      </w:r>
      <w:r>
        <w:t>o an early assessment and was assessed as sufficient to inform early decisions and was used to inform the final policy authority decision.</w:t>
      </w:r>
    </w:p>
    <w:p w14:paraId="7334DC9B" w14:textId="77777777" w:rsidR="004B2D21" w:rsidRPr="00A62356" w:rsidRDefault="00D473FA" w:rsidP="000F6998">
      <w:pPr>
        <w:jc w:val="both"/>
        <w:rPr>
          <w:rFonts w:cstheme="minorHAnsi"/>
        </w:rPr>
      </w:pPr>
      <w:r w:rsidRPr="003F264A">
        <w:rPr>
          <w:rFonts w:cstheme="minorHAnsi"/>
        </w:rPr>
        <w:br w:type="page"/>
      </w:r>
    </w:p>
    <w:p w14:paraId="4E002037" w14:textId="77777777" w:rsidR="00C1238D" w:rsidRPr="00015E51" w:rsidRDefault="004B2D21" w:rsidP="000F6998">
      <w:pPr>
        <w:pStyle w:val="Heading1"/>
        <w:numPr>
          <w:ilvl w:val="0"/>
          <w:numId w:val="26"/>
        </w:numPr>
        <w:jc w:val="both"/>
        <w:rPr>
          <w:rFonts w:cstheme="minorHAnsi"/>
        </w:rPr>
      </w:pPr>
      <w:bookmarkStart w:id="4" w:name="_Toc118794706"/>
      <w:bookmarkStart w:id="5" w:name="_Toc125714681"/>
      <w:r w:rsidRPr="003F264A">
        <w:rPr>
          <w:rFonts w:asciiTheme="minorHAnsi" w:hAnsiTheme="minorHAnsi" w:cstheme="minorHAnsi"/>
        </w:rPr>
        <w:t>Introduction</w:t>
      </w:r>
      <w:bookmarkEnd w:id="4"/>
      <w:bookmarkEnd w:id="5"/>
      <w:r w:rsidRPr="003F264A">
        <w:rPr>
          <w:rFonts w:asciiTheme="minorHAnsi" w:hAnsiTheme="minorHAnsi" w:cstheme="minorHAnsi"/>
        </w:rPr>
        <w:t xml:space="preserve"> </w:t>
      </w:r>
    </w:p>
    <w:p w14:paraId="75E0CC32" w14:textId="77777777" w:rsidR="00D93719" w:rsidRPr="006A59A0" w:rsidRDefault="004B2D21" w:rsidP="000F6998">
      <w:pPr>
        <w:pStyle w:val="Heading1"/>
        <w:ind w:left="360"/>
        <w:jc w:val="both"/>
        <w:rPr>
          <w:rFonts w:asciiTheme="minorHAnsi" w:hAnsiTheme="minorHAnsi" w:cstheme="minorHAnsi"/>
        </w:rPr>
      </w:pPr>
      <w:bookmarkStart w:id="6" w:name="_Toc118794707"/>
      <w:bookmarkStart w:id="7" w:name="_Toc125714682"/>
      <w:r w:rsidRPr="006A59A0">
        <w:rPr>
          <w:rFonts w:asciiTheme="minorHAnsi" w:hAnsiTheme="minorHAnsi" w:cstheme="minorHAnsi"/>
        </w:rPr>
        <w:t xml:space="preserve">2.1 </w:t>
      </w:r>
      <w:r w:rsidR="00447284" w:rsidRPr="006A59A0">
        <w:rPr>
          <w:rFonts w:asciiTheme="minorHAnsi" w:hAnsiTheme="minorHAnsi" w:cstheme="minorHAnsi"/>
        </w:rPr>
        <w:t>Key concepts</w:t>
      </w:r>
      <w:bookmarkEnd w:id="6"/>
      <w:bookmarkEnd w:id="7"/>
    </w:p>
    <w:p w14:paraId="4C06A1C9" w14:textId="77777777" w:rsidR="004B2D21" w:rsidRPr="003F264A" w:rsidRDefault="00091656" w:rsidP="000F6998">
      <w:pPr>
        <w:jc w:val="both"/>
        <w:rPr>
          <w:rFonts w:cstheme="minorHAnsi"/>
        </w:rPr>
      </w:pPr>
      <w:r w:rsidRPr="003F264A">
        <w:rPr>
          <w:rFonts w:cstheme="minorHAnsi"/>
        </w:rPr>
        <w:t>This</w:t>
      </w:r>
      <w:r w:rsidR="004B2D21" w:rsidRPr="003F264A">
        <w:rPr>
          <w:rFonts w:cstheme="minorHAnsi"/>
        </w:rPr>
        <w:t xml:space="preserve"> </w:t>
      </w:r>
      <w:r w:rsidR="00CF5067">
        <w:rPr>
          <w:rFonts w:cstheme="minorHAnsi"/>
          <w:lang w:val="en-GB"/>
        </w:rPr>
        <w:t>IA</w:t>
      </w:r>
      <w:r w:rsidR="004B2D21" w:rsidRPr="003F264A">
        <w:rPr>
          <w:rFonts w:cstheme="minorHAnsi"/>
        </w:rPr>
        <w:t xml:space="preserve"> assesses the estimated costs and benefits of the three policy options. </w:t>
      </w:r>
    </w:p>
    <w:p w14:paraId="35796D2B" w14:textId="77777777" w:rsidR="004B2D21" w:rsidRPr="003F264A" w:rsidRDefault="004B2D21" w:rsidP="000F6998">
      <w:pPr>
        <w:jc w:val="both"/>
        <w:rPr>
          <w:rFonts w:cstheme="minorHAnsi"/>
        </w:rPr>
      </w:pPr>
      <w:r w:rsidRPr="003F264A">
        <w:rPr>
          <w:rFonts w:cstheme="minorHAnsi"/>
        </w:rPr>
        <w:t>Consistent with Australian Government guidance</w:t>
      </w:r>
      <w:r w:rsidRPr="003F264A">
        <w:rPr>
          <w:rStyle w:val="FootnoteReference"/>
          <w:rFonts w:cstheme="minorHAnsi"/>
        </w:rPr>
        <w:footnoteReference w:id="4"/>
      </w:r>
      <w:r w:rsidRPr="003F264A">
        <w:rPr>
          <w:rFonts w:cstheme="minorHAnsi"/>
        </w:rPr>
        <w:t xml:space="preserve">, this </w:t>
      </w:r>
      <w:r w:rsidR="00CF5067">
        <w:rPr>
          <w:rFonts w:cstheme="minorHAnsi"/>
          <w:lang w:val="en-GB"/>
        </w:rPr>
        <w:t>IA</w:t>
      </w:r>
      <w:r w:rsidR="00CF5067" w:rsidRPr="003F264A">
        <w:rPr>
          <w:rFonts w:cstheme="minorHAnsi"/>
          <w:lang w:val="en-GB"/>
        </w:rPr>
        <w:t xml:space="preserve"> </w:t>
      </w:r>
      <w:r w:rsidRPr="003F264A">
        <w:rPr>
          <w:rFonts w:cstheme="minorHAnsi"/>
        </w:rPr>
        <w:t xml:space="preserve">has been developed alongside the consultation process for </w:t>
      </w:r>
      <w:r w:rsidR="008D3C39">
        <w:rPr>
          <w:rFonts w:cstheme="minorHAnsi"/>
        </w:rPr>
        <w:t>implementing</w:t>
      </w:r>
      <w:r w:rsidR="008D3C39" w:rsidRPr="003F264A">
        <w:rPr>
          <w:rFonts w:cstheme="minorHAnsi"/>
        </w:rPr>
        <w:t xml:space="preserve"> </w:t>
      </w:r>
      <w:r w:rsidRPr="003F264A">
        <w:rPr>
          <w:rFonts w:cstheme="minorHAnsi"/>
        </w:rPr>
        <w:t>the Review and the policy deve</w:t>
      </w:r>
      <w:r w:rsidR="00827850" w:rsidRPr="003F264A">
        <w:rPr>
          <w:rFonts w:cstheme="minorHAnsi"/>
        </w:rPr>
        <w:t xml:space="preserve">lopment process. </w:t>
      </w:r>
    </w:p>
    <w:p w14:paraId="0E5DD999" w14:textId="77777777" w:rsidR="004B2D21" w:rsidRPr="003F264A" w:rsidRDefault="004B2D21" w:rsidP="000F6998">
      <w:pPr>
        <w:jc w:val="both"/>
        <w:rPr>
          <w:rFonts w:cstheme="minorHAnsi"/>
        </w:rPr>
      </w:pPr>
      <w:r w:rsidRPr="003F264A">
        <w:rPr>
          <w:rFonts w:cstheme="minorHAnsi"/>
        </w:rPr>
        <w:t xml:space="preserve">The below table sets out the seven </w:t>
      </w:r>
      <w:r w:rsidR="00CF5067">
        <w:rPr>
          <w:rFonts w:cstheme="minorHAnsi"/>
          <w:lang w:val="en-GB"/>
        </w:rPr>
        <w:t>IA</w:t>
      </w:r>
      <w:r w:rsidR="00CF5067" w:rsidRPr="003F264A">
        <w:rPr>
          <w:rFonts w:cstheme="minorHAnsi"/>
          <w:lang w:val="en-GB"/>
        </w:rPr>
        <w:t xml:space="preserve"> </w:t>
      </w:r>
      <w:r w:rsidRPr="003F264A">
        <w:rPr>
          <w:rFonts w:cstheme="minorHAnsi"/>
        </w:rPr>
        <w:t>question</w:t>
      </w:r>
      <w:r w:rsidR="00B4759F" w:rsidRPr="003F264A">
        <w:rPr>
          <w:rFonts w:cstheme="minorHAnsi"/>
        </w:rPr>
        <w:t>s and the corresponding chapters</w:t>
      </w:r>
      <w:r w:rsidRPr="003F264A">
        <w:rPr>
          <w:rFonts w:cstheme="minorHAnsi"/>
        </w:rPr>
        <w:t xml:space="preserve"> of this document: </w:t>
      </w:r>
    </w:p>
    <w:tbl>
      <w:tblPr>
        <w:tblStyle w:val="GridTable5Dark-Accent5"/>
        <w:tblW w:w="0" w:type="auto"/>
        <w:tblLook w:val="04A0" w:firstRow="1" w:lastRow="0" w:firstColumn="1" w:lastColumn="0" w:noHBand="0" w:noVBand="1"/>
      </w:tblPr>
      <w:tblGrid>
        <w:gridCol w:w="4508"/>
        <w:gridCol w:w="4508"/>
      </w:tblGrid>
      <w:tr w:rsidR="00084F3B" w14:paraId="6F877480" w14:textId="77777777" w:rsidTr="00255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171874B" w14:textId="090E69F3" w:rsidR="00084F3B" w:rsidRPr="0025500C" w:rsidRDefault="0025500C" w:rsidP="000F6998">
            <w:pPr>
              <w:jc w:val="both"/>
              <w:rPr>
                <w:rFonts w:cstheme="minorHAnsi"/>
              </w:rPr>
            </w:pPr>
            <w:r>
              <w:rPr>
                <w:rFonts w:cstheme="minorHAnsi"/>
                <w:lang w:val="en-GB"/>
              </w:rPr>
              <w:t>IA</w:t>
            </w:r>
            <w:r w:rsidRPr="0025500C">
              <w:rPr>
                <w:rFonts w:cstheme="minorHAnsi"/>
              </w:rPr>
              <w:t xml:space="preserve"> Question</w:t>
            </w:r>
          </w:p>
        </w:tc>
        <w:tc>
          <w:tcPr>
            <w:tcW w:w="4508" w:type="dxa"/>
          </w:tcPr>
          <w:p w14:paraId="3B601160" w14:textId="77B1044F" w:rsidR="00084F3B" w:rsidRPr="0025500C" w:rsidRDefault="0025500C" w:rsidP="000F699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25500C">
              <w:rPr>
                <w:rFonts w:cstheme="minorHAnsi"/>
              </w:rPr>
              <w:t>Relevant Document Chapter</w:t>
            </w:r>
          </w:p>
        </w:tc>
      </w:tr>
      <w:tr w:rsidR="00084F3B" w14:paraId="5F31211D" w14:textId="77777777" w:rsidTr="00255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A8D5088" w14:textId="77777777" w:rsidR="00084F3B" w:rsidRPr="0025500C" w:rsidRDefault="004E0880" w:rsidP="000F6998">
            <w:pPr>
              <w:jc w:val="both"/>
              <w:rPr>
                <w:rFonts w:cstheme="minorHAnsi"/>
                <w:b w:val="0"/>
              </w:rPr>
            </w:pPr>
            <w:r w:rsidRPr="0025500C">
              <w:rPr>
                <w:rFonts w:cstheme="minorHAnsi"/>
                <w:b w:val="0"/>
              </w:rPr>
              <w:t xml:space="preserve">Question 1: </w:t>
            </w:r>
            <w:r w:rsidR="00084F3B" w:rsidRPr="0025500C">
              <w:rPr>
                <w:rFonts w:cstheme="minorHAnsi"/>
                <w:b w:val="0"/>
              </w:rPr>
              <w:t>What is the policy problem you are trying to solve?</w:t>
            </w:r>
          </w:p>
        </w:tc>
        <w:tc>
          <w:tcPr>
            <w:tcW w:w="4508" w:type="dxa"/>
          </w:tcPr>
          <w:p w14:paraId="5A5738F6" w14:textId="77777777" w:rsidR="00084F3B" w:rsidRPr="003F264A" w:rsidRDefault="00084F3B" w:rsidP="000F699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3F264A">
              <w:rPr>
                <w:rFonts w:cstheme="minorHAnsi"/>
              </w:rPr>
              <w:t>3. What is the problem?</w:t>
            </w:r>
          </w:p>
        </w:tc>
      </w:tr>
      <w:tr w:rsidR="00084F3B" w14:paraId="1EF1D019" w14:textId="77777777" w:rsidTr="0025500C">
        <w:tc>
          <w:tcPr>
            <w:cnfStyle w:val="001000000000" w:firstRow="0" w:lastRow="0" w:firstColumn="1" w:lastColumn="0" w:oddVBand="0" w:evenVBand="0" w:oddHBand="0" w:evenHBand="0" w:firstRowFirstColumn="0" w:firstRowLastColumn="0" w:lastRowFirstColumn="0" w:lastRowLastColumn="0"/>
            <w:tcW w:w="4508" w:type="dxa"/>
          </w:tcPr>
          <w:p w14:paraId="7AD03703" w14:textId="77777777" w:rsidR="00084F3B" w:rsidRPr="0025500C" w:rsidRDefault="004E0880" w:rsidP="000F6998">
            <w:pPr>
              <w:jc w:val="both"/>
              <w:rPr>
                <w:rFonts w:cstheme="minorHAnsi"/>
                <w:b w:val="0"/>
              </w:rPr>
            </w:pPr>
            <w:r w:rsidRPr="0025500C">
              <w:rPr>
                <w:rFonts w:cstheme="minorHAnsi"/>
                <w:b w:val="0"/>
              </w:rPr>
              <w:t xml:space="preserve">Question 2: </w:t>
            </w:r>
            <w:r w:rsidR="00084F3B" w:rsidRPr="0025500C">
              <w:rPr>
                <w:rFonts w:cstheme="minorHAnsi"/>
                <w:b w:val="0"/>
              </w:rPr>
              <w:t>Why is government action needed?</w:t>
            </w:r>
          </w:p>
        </w:tc>
        <w:tc>
          <w:tcPr>
            <w:tcW w:w="4508" w:type="dxa"/>
          </w:tcPr>
          <w:p w14:paraId="20DB7A5C" w14:textId="77777777" w:rsidR="00084F3B" w:rsidRPr="003F264A" w:rsidRDefault="00084F3B" w:rsidP="000F699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3F264A">
              <w:rPr>
                <w:rFonts w:cstheme="minorHAnsi"/>
              </w:rPr>
              <w:t>4. Why government action is needed</w:t>
            </w:r>
          </w:p>
        </w:tc>
      </w:tr>
      <w:tr w:rsidR="00084F3B" w14:paraId="5EE0F956" w14:textId="77777777" w:rsidTr="00255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DC91D28" w14:textId="77777777" w:rsidR="00084F3B" w:rsidRPr="0025500C" w:rsidRDefault="004E0880" w:rsidP="000F6998">
            <w:pPr>
              <w:jc w:val="both"/>
              <w:rPr>
                <w:rFonts w:cstheme="minorHAnsi"/>
                <w:b w:val="0"/>
              </w:rPr>
            </w:pPr>
            <w:r w:rsidRPr="0025500C">
              <w:rPr>
                <w:rFonts w:cstheme="minorHAnsi"/>
                <w:b w:val="0"/>
              </w:rPr>
              <w:t xml:space="preserve">Question 3: </w:t>
            </w:r>
            <w:r w:rsidR="00084F3B" w:rsidRPr="0025500C">
              <w:rPr>
                <w:rFonts w:cstheme="minorHAnsi"/>
                <w:b w:val="0"/>
              </w:rPr>
              <w:t>What policy options are you considering?</w:t>
            </w:r>
          </w:p>
        </w:tc>
        <w:tc>
          <w:tcPr>
            <w:tcW w:w="4508" w:type="dxa"/>
          </w:tcPr>
          <w:p w14:paraId="67706BB5" w14:textId="77777777" w:rsidR="00084F3B" w:rsidRPr="003F264A" w:rsidRDefault="00084F3B" w:rsidP="000F699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3F264A">
              <w:rPr>
                <w:rFonts w:cstheme="minorHAnsi"/>
              </w:rPr>
              <w:t>5. Policy options</w:t>
            </w:r>
          </w:p>
        </w:tc>
      </w:tr>
      <w:tr w:rsidR="00084F3B" w14:paraId="67C05311" w14:textId="77777777" w:rsidTr="0025500C">
        <w:tc>
          <w:tcPr>
            <w:cnfStyle w:val="001000000000" w:firstRow="0" w:lastRow="0" w:firstColumn="1" w:lastColumn="0" w:oddVBand="0" w:evenVBand="0" w:oddHBand="0" w:evenHBand="0" w:firstRowFirstColumn="0" w:firstRowLastColumn="0" w:lastRowFirstColumn="0" w:lastRowLastColumn="0"/>
            <w:tcW w:w="4508" w:type="dxa"/>
            <w:vMerge w:val="restart"/>
          </w:tcPr>
          <w:p w14:paraId="77CA385F" w14:textId="77777777" w:rsidR="00084F3B" w:rsidRPr="0025500C" w:rsidRDefault="004E0880" w:rsidP="000F6998">
            <w:pPr>
              <w:jc w:val="both"/>
              <w:rPr>
                <w:rFonts w:cstheme="minorHAnsi"/>
                <w:b w:val="0"/>
              </w:rPr>
            </w:pPr>
            <w:r w:rsidRPr="0025500C">
              <w:rPr>
                <w:rFonts w:cstheme="minorHAnsi"/>
                <w:b w:val="0"/>
              </w:rPr>
              <w:t xml:space="preserve">Question 4: </w:t>
            </w:r>
            <w:r w:rsidR="00084F3B" w:rsidRPr="0025500C">
              <w:rPr>
                <w:rFonts w:cstheme="minorHAnsi"/>
                <w:b w:val="0"/>
              </w:rPr>
              <w:t>What is the likely net benefit of each option?</w:t>
            </w:r>
          </w:p>
          <w:p w14:paraId="23E19670" w14:textId="77777777" w:rsidR="00084F3B" w:rsidRPr="0025500C" w:rsidRDefault="00084F3B" w:rsidP="000F6998">
            <w:pPr>
              <w:jc w:val="both"/>
              <w:rPr>
                <w:rFonts w:cstheme="minorHAnsi"/>
                <w:b w:val="0"/>
              </w:rPr>
            </w:pPr>
          </w:p>
          <w:p w14:paraId="20551F54" w14:textId="77777777" w:rsidR="00084F3B" w:rsidRPr="0025500C" w:rsidRDefault="00084F3B" w:rsidP="000F6998">
            <w:pPr>
              <w:jc w:val="both"/>
              <w:rPr>
                <w:rFonts w:cstheme="minorHAnsi"/>
                <w:b w:val="0"/>
              </w:rPr>
            </w:pPr>
          </w:p>
          <w:p w14:paraId="7C9FAEC8" w14:textId="77777777" w:rsidR="00084F3B" w:rsidRPr="0025500C" w:rsidRDefault="00084F3B" w:rsidP="000F6998">
            <w:pPr>
              <w:jc w:val="both"/>
              <w:rPr>
                <w:rFonts w:cstheme="minorHAnsi"/>
                <w:b w:val="0"/>
              </w:rPr>
            </w:pPr>
          </w:p>
        </w:tc>
        <w:tc>
          <w:tcPr>
            <w:tcW w:w="4508" w:type="dxa"/>
          </w:tcPr>
          <w:p w14:paraId="1501239F" w14:textId="77777777" w:rsidR="00084F3B" w:rsidRPr="003F264A" w:rsidRDefault="00084F3B" w:rsidP="000F699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3F264A">
              <w:rPr>
                <w:rFonts w:cstheme="minorHAnsi"/>
              </w:rPr>
              <w:t>6. Approach taken to determine the likely net benefit of each option</w:t>
            </w:r>
          </w:p>
        </w:tc>
      </w:tr>
      <w:tr w:rsidR="00084F3B" w14:paraId="4AB43329" w14:textId="77777777" w:rsidTr="00255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vMerge/>
          </w:tcPr>
          <w:p w14:paraId="583F97E1" w14:textId="77777777" w:rsidR="00084F3B" w:rsidRPr="0025500C" w:rsidRDefault="00084F3B" w:rsidP="000F6998">
            <w:pPr>
              <w:jc w:val="both"/>
              <w:rPr>
                <w:rFonts w:cstheme="minorHAnsi"/>
                <w:b w:val="0"/>
              </w:rPr>
            </w:pPr>
          </w:p>
        </w:tc>
        <w:tc>
          <w:tcPr>
            <w:tcW w:w="4508" w:type="dxa"/>
          </w:tcPr>
          <w:p w14:paraId="1AB27160" w14:textId="77777777" w:rsidR="00084F3B" w:rsidRPr="003F264A" w:rsidRDefault="00084F3B" w:rsidP="000F699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3F264A">
              <w:rPr>
                <w:rFonts w:cstheme="minorHAnsi"/>
              </w:rPr>
              <w:t>7. Likely net benefit of Option 1</w:t>
            </w:r>
          </w:p>
        </w:tc>
      </w:tr>
      <w:tr w:rsidR="00084F3B" w14:paraId="1A645725" w14:textId="77777777" w:rsidTr="0025500C">
        <w:tc>
          <w:tcPr>
            <w:cnfStyle w:val="001000000000" w:firstRow="0" w:lastRow="0" w:firstColumn="1" w:lastColumn="0" w:oddVBand="0" w:evenVBand="0" w:oddHBand="0" w:evenHBand="0" w:firstRowFirstColumn="0" w:firstRowLastColumn="0" w:lastRowFirstColumn="0" w:lastRowLastColumn="0"/>
            <w:tcW w:w="4508" w:type="dxa"/>
            <w:vMerge/>
          </w:tcPr>
          <w:p w14:paraId="7E1B8A13" w14:textId="77777777" w:rsidR="00084F3B" w:rsidRPr="0025500C" w:rsidRDefault="00084F3B" w:rsidP="000F6998">
            <w:pPr>
              <w:jc w:val="both"/>
              <w:rPr>
                <w:rFonts w:cstheme="minorHAnsi"/>
                <w:b w:val="0"/>
              </w:rPr>
            </w:pPr>
          </w:p>
        </w:tc>
        <w:tc>
          <w:tcPr>
            <w:tcW w:w="4508" w:type="dxa"/>
          </w:tcPr>
          <w:p w14:paraId="018D0779" w14:textId="77777777" w:rsidR="00084F3B" w:rsidRPr="003F264A" w:rsidRDefault="00084F3B" w:rsidP="000F699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3F264A">
              <w:rPr>
                <w:rFonts w:cstheme="minorHAnsi"/>
              </w:rPr>
              <w:t>8. Likely net benefit of Option 2</w:t>
            </w:r>
          </w:p>
        </w:tc>
      </w:tr>
      <w:tr w:rsidR="00084F3B" w14:paraId="5DB938C6" w14:textId="77777777" w:rsidTr="00255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vMerge/>
          </w:tcPr>
          <w:p w14:paraId="166FE409" w14:textId="77777777" w:rsidR="00084F3B" w:rsidRPr="0025500C" w:rsidRDefault="00084F3B" w:rsidP="000F6998">
            <w:pPr>
              <w:jc w:val="both"/>
              <w:rPr>
                <w:rFonts w:cstheme="minorHAnsi"/>
                <w:b w:val="0"/>
              </w:rPr>
            </w:pPr>
          </w:p>
        </w:tc>
        <w:tc>
          <w:tcPr>
            <w:tcW w:w="4508" w:type="dxa"/>
          </w:tcPr>
          <w:p w14:paraId="5D8BF815" w14:textId="77777777" w:rsidR="00084F3B" w:rsidRPr="003F264A" w:rsidRDefault="00084F3B" w:rsidP="000F699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3F264A">
              <w:rPr>
                <w:rFonts w:cstheme="minorHAnsi"/>
              </w:rPr>
              <w:t>9. Likely net benefit of Option 3</w:t>
            </w:r>
          </w:p>
        </w:tc>
      </w:tr>
      <w:tr w:rsidR="00084F3B" w14:paraId="7FE67E20" w14:textId="77777777" w:rsidTr="0025500C">
        <w:tc>
          <w:tcPr>
            <w:cnfStyle w:val="001000000000" w:firstRow="0" w:lastRow="0" w:firstColumn="1" w:lastColumn="0" w:oddVBand="0" w:evenVBand="0" w:oddHBand="0" w:evenHBand="0" w:firstRowFirstColumn="0" w:firstRowLastColumn="0" w:lastRowFirstColumn="0" w:lastRowLastColumn="0"/>
            <w:tcW w:w="4508" w:type="dxa"/>
          </w:tcPr>
          <w:p w14:paraId="25C3DEBF" w14:textId="77777777" w:rsidR="00084F3B" w:rsidRPr="0025500C" w:rsidRDefault="004E0880" w:rsidP="000F6998">
            <w:pPr>
              <w:jc w:val="both"/>
              <w:rPr>
                <w:rFonts w:cstheme="minorHAnsi"/>
                <w:b w:val="0"/>
              </w:rPr>
            </w:pPr>
            <w:r w:rsidRPr="0025500C">
              <w:rPr>
                <w:rFonts w:cstheme="minorHAnsi"/>
                <w:b w:val="0"/>
              </w:rPr>
              <w:t xml:space="preserve">Question 5: </w:t>
            </w:r>
            <w:r w:rsidR="00084F3B" w:rsidRPr="0025500C">
              <w:rPr>
                <w:rFonts w:cstheme="minorHAnsi"/>
                <w:b w:val="0"/>
              </w:rPr>
              <w:t>Who did you consult and how did you incorporate their feedback?</w:t>
            </w:r>
          </w:p>
        </w:tc>
        <w:tc>
          <w:tcPr>
            <w:tcW w:w="4508" w:type="dxa"/>
          </w:tcPr>
          <w:p w14:paraId="6644FE8E" w14:textId="77777777" w:rsidR="00084F3B" w:rsidRPr="003F264A" w:rsidRDefault="00084F3B" w:rsidP="000F699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3F264A">
              <w:rPr>
                <w:rFonts w:cstheme="minorHAnsi"/>
              </w:rPr>
              <w:t xml:space="preserve">10. Consultation </w:t>
            </w:r>
          </w:p>
        </w:tc>
      </w:tr>
      <w:tr w:rsidR="00084F3B" w14:paraId="18A7360A" w14:textId="77777777" w:rsidTr="002550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8818B15" w14:textId="77777777" w:rsidR="00084F3B" w:rsidRPr="0025500C" w:rsidRDefault="004E0880" w:rsidP="000F6998">
            <w:pPr>
              <w:jc w:val="both"/>
              <w:rPr>
                <w:rFonts w:cstheme="minorHAnsi"/>
                <w:b w:val="0"/>
              </w:rPr>
            </w:pPr>
            <w:r w:rsidRPr="0025500C">
              <w:rPr>
                <w:rFonts w:cstheme="minorHAnsi"/>
                <w:b w:val="0"/>
              </w:rPr>
              <w:t xml:space="preserve">Question 6: </w:t>
            </w:r>
            <w:r w:rsidR="00084F3B" w:rsidRPr="0025500C">
              <w:rPr>
                <w:rFonts w:cstheme="minorHAnsi"/>
                <w:b w:val="0"/>
              </w:rPr>
              <w:t>What is the best option from those you have considered?</w:t>
            </w:r>
          </w:p>
        </w:tc>
        <w:tc>
          <w:tcPr>
            <w:tcW w:w="4508" w:type="dxa"/>
          </w:tcPr>
          <w:p w14:paraId="2CC18F67" w14:textId="77777777" w:rsidR="00084F3B" w:rsidRPr="003F264A" w:rsidRDefault="00091656" w:rsidP="000F699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3F264A">
              <w:rPr>
                <w:rFonts w:cstheme="minorHAnsi"/>
              </w:rPr>
              <w:t>11</w:t>
            </w:r>
            <w:r w:rsidR="00084F3B" w:rsidRPr="003F264A">
              <w:rPr>
                <w:rFonts w:cstheme="minorHAnsi"/>
              </w:rPr>
              <w:t xml:space="preserve">. Preferred Option </w:t>
            </w:r>
          </w:p>
        </w:tc>
      </w:tr>
      <w:tr w:rsidR="00084F3B" w14:paraId="292CF810" w14:textId="77777777" w:rsidTr="0025500C">
        <w:tc>
          <w:tcPr>
            <w:cnfStyle w:val="001000000000" w:firstRow="0" w:lastRow="0" w:firstColumn="1" w:lastColumn="0" w:oddVBand="0" w:evenVBand="0" w:oddHBand="0" w:evenHBand="0" w:firstRowFirstColumn="0" w:firstRowLastColumn="0" w:lastRowFirstColumn="0" w:lastRowLastColumn="0"/>
            <w:tcW w:w="4508" w:type="dxa"/>
          </w:tcPr>
          <w:p w14:paraId="61D0EC61" w14:textId="77777777" w:rsidR="00084F3B" w:rsidRPr="0025500C" w:rsidRDefault="004E0880" w:rsidP="000F6998">
            <w:pPr>
              <w:jc w:val="both"/>
              <w:rPr>
                <w:rFonts w:cstheme="minorHAnsi"/>
                <w:b w:val="0"/>
              </w:rPr>
            </w:pPr>
            <w:r w:rsidRPr="0025500C">
              <w:rPr>
                <w:rFonts w:cstheme="minorHAnsi"/>
                <w:b w:val="0"/>
              </w:rPr>
              <w:t xml:space="preserve">Question 7: </w:t>
            </w:r>
            <w:r w:rsidR="00084F3B" w:rsidRPr="0025500C">
              <w:rPr>
                <w:rFonts w:cstheme="minorHAnsi"/>
                <w:b w:val="0"/>
              </w:rPr>
              <w:t>How will you implement and evaluate your chosen option?</w:t>
            </w:r>
          </w:p>
        </w:tc>
        <w:tc>
          <w:tcPr>
            <w:tcW w:w="4508" w:type="dxa"/>
          </w:tcPr>
          <w:p w14:paraId="270941C5" w14:textId="77777777" w:rsidR="00084F3B" w:rsidRPr="003F264A" w:rsidRDefault="00091656" w:rsidP="000F699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3F264A">
              <w:rPr>
                <w:rFonts w:cstheme="minorHAnsi"/>
              </w:rPr>
              <w:t>12</w:t>
            </w:r>
            <w:r w:rsidR="00084F3B" w:rsidRPr="003F264A">
              <w:rPr>
                <w:rFonts w:cstheme="minorHAnsi"/>
              </w:rPr>
              <w:t>. Implementation and evaluation of Option 3</w:t>
            </w:r>
          </w:p>
        </w:tc>
      </w:tr>
    </w:tbl>
    <w:p w14:paraId="3D353AF4" w14:textId="77777777" w:rsidR="00E2450E" w:rsidRPr="003F264A" w:rsidRDefault="00E2450E" w:rsidP="000F6998">
      <w:pPr>
        <w:jc w:val="both"/>
        <w:rPr>
          <w:rFonts w:cstheme="minorHAnsi"/>
        </w:rPr>
      </w:pPr>
    </w:p>
    <w:p w14:paraId="3E2384DF" w14:textId="77777777" w:rsidR="006F0907" w:rsidRPr="003F264A" w:rsidRDefault="00E2450E" w:rsidP="000F6998">
      <w:pPr>
        <w:jc w:val="both"/>
        <w:rPr>
          <w:rFonts w:cstheme="minorHAnsi"/>
        </w:rPr>
      </w:pPr>
      <w:r w:rsidRPr="003F264A">
        <w:rPr>
          <w:rFonts w:cstheme="minorHAnsi"/>
        </w:rPr>
        <w:t>Four main groups of stakeholders</w:t>
      </w:r>
      <w:r w:rsidR="00D473FA" w:rsidRPr="003F264A">
        <w:rPr>
          <w:rStyle w:val="FootnoteReference"/>
          <w:rFonts w:cstheme="minorHAnsi"/>
        </w:rPr>
        <w:footnoteReference w:id="5"/>
      </w:r>
      <w:r w:rsidRPr="003F264A">
        <w:rPr>
          <w:rFonts w:cstheme="minorHAnsi"/>
        </w:rPr>
        <w:t xml:space="preserve"> </w:t>
      </w:r>
      <w:r w:rsidR="00447284" w:rsidRPr="003F264A">
        <w:rPr>
          <w:rFonts w:cstheme="minorHAnsi"/>
        </w:rPr>
        <w:t xml:space="preserve">will be considered by this </w:t>
      </w:r>
      <w:r w:rsidR="00CF5067">
        <w:rPr>
          <w:rFonts w:cstheme="minorHAnsi"/>
          <w:lang w:val="en-GB"/>
        </w:rPr>
        <w:t>IA</w:t>
      </w:r>
      <w:r w:rsidR="00447284" w:rsidRPr="003F264A">
        <w:rPr>
          <w:rFonts w:cstheme="minorHAnsi"/>
        </w:rPr>
        <w:t>:</w:t>
      </w:r>
    </w:p>
    <w:p w14:paraId="73AD3DDE" w14:textId="77777777" w:rsidR="006F0907" w:rsidRPr="003F264A" w:rsidRDefault="006F0907" w:rsidP="000F6998">
      <w:pPr>
        <w:pStyle w:val="ListParagraph"/>
        <w:numPr>
          <w:ilvl w:val="0"/>
          <w:numId w:val="49"/>
        </w:numPr>
        <w:jc w:val="both"/>
        <w:rPr>
          <w:rFonts w:cstheme="minorHAnsi"/>
        </w:rPr>
      </w:pPr>
      <w:r w:rsidRPr="003F264A">
        <w:rPr>
          <w:rFonts w:cstheme="minorHAnsi"/>
        </w:rPr>
        <w:t xml:space="preserve">Individuals; </w:t>
      </w:r>
    </w:p>
    <w:p w14:paraId="582B6C34" w14:textId="77777777" w:rsidR="006F0907" w:rsidRPr="003F264A" w:rsidRDefault="006F0907" w:rsidP="000F6998">
      <w:pPr>
        <w:pStyle w:val="ListParagraph"/>
        <w:numPr>
          <w:ilvl w:val="0"/>
          <w:numId w:val="49"/>
        </w:numPr>
        <w:jc w:val="both"/>
        <w:rPr>
          <w:rFonts w:cstheme="minorHAnsi"/>
        </w:rPr>
      </w:pPr>
      <w:r w:rsidRPr="003F264A">
        <w:rPr>
          <w:rFonts w:cstheme="minorHAnsi"/>
        </w:rPr>
        <w:t>Medium business (and community organisations);</w:t>
      </w:r>
    </w:p>
    <w:p w14:paraId="14E2D8CA" w14:textId="77777777" w:rsidR="006F0907" w:rsidRPr="003F264A" w:rsidRDefault="006F0907" w:rsidP="000F6998">
      <w:pPr>
        <w:pStyle w:val="ListParagraph"/>
        <w:numPr>
          <w:ilvl w:val="0"/>
          <w:numId w:val="49"/>
        </w:numPr>
        <w:jc w:val="both"/>
        <w:rPr>
          <w:rFonts w:cstheme="minorHAnsi"/>
        </w:rPr>
      </w:pPr>
      <w:r w:rsidRPr="003F264A">
        <w:rPr>
          <w:rFonts w:cstheme="minorHAnsi"/>
        </w:rPr>
        <w:t>Large businesses (and community organisations); and</w:t>
      </w:r>
    </w:p>
    <w:p w14:paraId="5DA38550" w14:textId="77777777" w:rsidR="00EA5B18" w:rsidRPr="003F264A" w:rsidRDefault="006F0907" w:rsidP="000F6998">
      <w:pPr>
        <w:pStyle w:val="ListParagraph"/>
        <w:numPr>
          <w:ilvl w:val="0"/>
          <w:numId w:val="49"/>
        </w:numPr>
        <w:jc w:val="both"/>
        <w:rPr>
          <w:rFonts w:cstheme="minorHAnsi"/>
        </w:rPr>
      </w:pPr>
      <w:r w:rsidRPr="003F264A">
        <w:rPr>
          <w:rFonts w:cstheme="minorHAnsi"/>
        </w:rPr>
        <w:t xml:space="preserve">Government. </w:t>
      </w:r>
    </w:p>
    <w:p w14:paraId="653E3649" w14:textId="77777777" w:rsidR="00472836" w:rsidRPr="003F264A" w:rsidRDefault="00091656" w:rsidP="000F6998">
      <w:pPr>
        <w:jc w:val="both"/>
        <w:rPr>
          <w:rFonts w:cstheme="minorHAnsi"/>
        </w:rPr>
      </w:pPr>
      <w:r w:rsidRPr="003F264A">
        <w:rPr>
          <w:rFonts w:cstheme="minorHAnsi"/>
        </w:rPr>
        <w:t xml:space="preserve">Medium sized businesses/community organisations are businesses with between 100 and 499 employees. Large businesses/community organisations are those with 500 or more employees. For the purposes of this </w:t>
      </w:r>
      <w:r w:rsidR="00CF5067">
        <w:rPr>
          <w:rFonts w:cstheme="minorHAnsi"/>
          <w:lang w:val="en-GB"/>
        </w:rPr>
        <w:t>IA</w:t>
      </w:r>
      <w:r w:rsidRPr="003F264A">
        <w:rPr>
          <w:rFonts w:cstheme="minorHAnsi"/>
        </w:rPr>
        <w:t xml:space="preserve">, reference to workplaces will include both community organisation workplaces as well as businesses. </w:t>
      </w:r>
      <w:r w:rsidR="006F0907" w:rsidRPr="003F264A">
        <w:rPr>
          <w:rFonts w:cstheme="minorHAnsi"/>
        </w:rPr>
        <w:t>These stakeholder groups will be considered in further detail in Chapters 6 - 9</w:t>
      </w:r>
      <w:r w:rsidR="006F0907" w:rsidRPr="003F264A">
        <w:rPr>
          <w:rFonts w:cstheme="minorHAnsi"/>
          <w:i/>
        </w:rPr>
        <w:t xml:space="preserve"> </w:t>
      </w:r>
      <w:r w:rsidR="006F0907" w:rsidRPr="003F264A">
        <w:rPr>
          <w:rFonts w:cstheme="minorHAnsi"/>
        </w:rPr>
        <w:t xml:space="preserve">to determine the likely net benefit from each of the three policy options. </w:t>
      </w:r>
    </w:p>
    <w:p w14:paraId="1EB581C3" w14:textId="77777777" w:rsidR="00B36CEE" w:rsidRPr="003F264A" w:rsidRDefault="004B2D21" w:rsidP="000F6998">
      <w:pPr>
        <w:pStyle w:val="Heading2"/>
        <w:jc w:val="both"/>
        <w:rPr>
          <w:rFonts w:asciiTheme="minorHAnsi" w:hAnsiTheme="minorHAnsi" w:cstheme="minorHAnsi"/>
        </w:rPr>
      </w:pPr>
      <w:bookmarkStart w:id="8" w:name="_Toc118794708"/>
      <w:bookmarkStart w:id="9" w:name="_Toc125714683"/>
      <w:r w:rsidRPr="003F264A">
        <w:rPr>
          <w:rFonts w:asciiTheme="minorHAnsi" w:hAnsiTheme="minorHAnsi" w:cstheme="minorHAnsi"/>
        </w:rPr>
        <w:t>2.2 What does the Australian workforce look like?</w:t>
      </w:r>
      <w:bookmarkEnd w:id="8"/>
      <w:bookmarkEnd w:id="9"/>
    </w:p>
    <w:p w14:paraId="343FD741" w14:textId="77777777" w:rsidR="00B36CEE" w:rsidRPr="003F264A" w:rsidRDefault="00B36CEE" w:rsidP="000F6998">
      <w:pPr>
        <w:tabs>
          <w:tab w:val="left" w:pos="4054"/>
        </w:tabs>
        <w:jc w:val="both"/>
        <w:rPr>
          <w:rFonts w:cstheme="minorHAnsi"/>
        </w:rPr>
      </w:pPr>
      <w:r w:rsidRPr="003F264A">
        <w:rPr>
          <w:rFonts w:cstheme="minorHAnsi"/>
        </w:rPr>
        <w:t>The Australian labour force is made up of 13.6 million people, equivalent to 64.2 per cent of the population aged 15 years and over.</w:t>
      </w:r>
      <w:r w:rsidRPr="003F264A">
        <w:rPr>
          <w:rStyle w:val="FootnoteReference"/>
          <w:rFonts w:cstheme="minorHAnsi"/>
        </w:rPr>
        <w:t xml:space="preserve"> </w:t>
      </w:r>
      <w:r w:rsidRPr="003F264A">
        <w:rPr>
          <w:rStyle w:val="FootnoteReference"/>
          <w:rFonts w:cstheme="minorHAnsi"/>
        </w:rPr>
        <w:footnoteReference w:id="6"/>
      </w:r>
      <w:r w:rsidRPr="003F264A">
        <w:rPr>
          <w:rFonts w:cstheme="minorHAnsi"/>
        </w:rPr>
        <w:t xml:space="preserve"> </w:t>
      </w:r>
      <w:r w:rsidR="00CB3A97" w:rsidRPr="003F264A">
        <w:rPr>
          <w:rFonts w:cstheme="minorHAnsi"/>
        </w:rPr>
        <w:t>In September 2022, the workforce participation rate was 62.3 per cent for women and 71.0 per cent for men.</w:t>
      </w:r>
      <w:r w:rsidR="00CB3A97" w:rsidRPr="003F264A">
        <w:rPr>
          <w:rStyle w:val="FootnoteReference"/>
          <w:rFonts w:cstheme="minorHAnsi"/>
        </w:rPr>
        <w:footnoteReference w:id="7"/>
      </w:r>
    </w:p>
    <w:p w14:paraId="1031A20C" w14:textId="77777777" w:rsidR="00B36CEE" w:rsidRPr="003F264A" w:rsidRDefault="00833F69" w:rsidP="000F6998">
      <w:pPr>
        <w:jc w:val="both"/>
        <w:rPr>
          <w:rFonts w:cstheme="minorHAnsi"/>
        </w:rPr>
      </w:pPr>
      <w:r w:rsidRPr="003F264A">
        <w:rPr>
          <w:rFonts w:cstheme="minorHAnsi"/>
        </w:rPr>
        <w:t>In February 2022, there were 791,000 women and 648,000 men who did not have a job and wanted to work.</w:t>
      </w:r>
      <w:r w:rsidRPr="003F264A">
        <w:rPr>
          <w:rStyle w:val="FootnoteReference"/>
          <w:rFonts w:cstheme="minorHAnsi"/>
        </w:rPr>
        <w:footnoteReference w:id="8"/>
      </w:r>
      <w:r w:rsidRPr="003F264A">
        <w:rPr>
          <w:rFonts w:cstheme="minorHAnsi"/>
        </w:rPr>
        <w:t xml:space="preserve"> The most common reasons women reported they were not actively looking for work were </w:t>
      </w:r>
      <w:r w:rsidR="006D6157" w:rsidRPr="003F264A">
        <w:rPr>
          <w:rFonts w:cstheme="minorHAnsi"/>
        </w:rPr>
        <w:t>childcare</w:t>
      </w:r>
      <w:r w:rsidRPr="003F264A">
        <w:rPr>
          <w:rFonts w:cstheme="minorHAnsi"/>
        </w:rPr>
        <w:t xml:space="preserve"> (24.5 per cent) and study (16.4 per cent).</w:t>
      </w:r>
      <w:r w:rsidRPr="003F264A">
        <w:rPr>
          <w:rStyle w:val="FootnoteReference"/>
          <w:rFonts w:cstheme="minorHAnsi"/>
        </w:rPr>
        <w:footnoteReference w:id="9"/>
      </w:r>
      <w:r w:rsidRPr="003F264A">
        <w:rPr>
          <w:rFonts w:cstheme="minorHAnsi"/>
        </w:rPr>
        <w:t xml:space="preserve"> The most common reason for men was studying (24.2 per cent).</w:t>
      </w:r>
      <w:r w:rsidRPr="003F264A">
        <w:rPr>
          <w:rStyle w:val="FootnoteReference"/>
          <w:rFonts w:cstheme="minorHAnsi"/>
        </w:rPr>
        <w:footnoteReference w:id="10"/>
      </w:r>
    </w:p>
    <w:p w14:paraId="5B225A22" w14:textId="71759988" w:rsidR="00B36CEE" w:rsidRPr="003F264A" w:rsidRDefault="00B36CEE" w:rsidP="000F6998">
      <w:pPr>
        <w:tabs>
          <w:tab w:val="left" w:pos="4054"/>
        </w:tabs>
        <w:jc w:val="both"/>
        <w:rPr>
          <w:rFonts w:cstheme="minorHAnsi"/>
        </w:rPr>
      </w:pPr>
      <w:r w:rsidRPr="003F264A">
        <w:rPr>
          <w:rFonts w:cstheme="minorHAnsi"/>
        </w:rPr>
        <w:t xml:space="preserve">WGEA collects </w:t>
      </w:r>
      <w:r w:rsidR="00BA4517" w:rsidRPr="003F264A">
        <w:rPr>
          <w:rFonts w:cstheme="minorHAnsi"/>
        </w:rPr>
        <w:t xml:space="preserve">information </w:t>
      </w:r>
      <w:r w:rsidRPr="003F264A">
        <w:rPr>
          <w:rFonts w:cstheme="minorHAnsi"/>
        </w:rPr>
        <w:t>from relevant employers (non-public-sector employers including higher education institutions, trade unions and not-for-profit organisations) with 100 or more employees.</w:t>
      </w:r>
      <w:r w:rsidRPr="003F264A">
        <w:rPr>
          <w:rStyle w:val="FootnoteReference"/>
          <w:rFonts w:cstheme="minorHAnsi"/>
        </w:rPr>
        <w:footnoteReference w:id="11"/>
      </w:r>
      <w:r w:rsidRPr="003F264A">
        <w:rPr>
          <w:rFonts w:cstheme="minorHAnsi"/>
        </w:rPr>
        <w:t xml:space="preserve"> Approximately three quarters of Australian jobs are in the private sector, and around 70 per cent of private sector workers are employed by workplaces with fewer than 200 employees, with 40 per cent working in businesses with fewer than 20 employees.</w:t>
      </w:r>
      <w:r w:rsidRPr="003F264A">
        <w:rPr>
          <w:rStyle w:val="FootnoteReference"/>
          <w:rFonts w:cstheme="minorHAnsi"/>
        </w:rPr>
        <w:footnoteReference w:id="12"/>
      </w:r>
      <w:r w:rsidRPr="003F264A">
        <w:rPr>
          <w:rFonts w:cstheme="minorHAnsi"/>
        </w:rPr>
        <w:t xml:space="preserve"> The WGEA dataset covers approximately 40 per cent of </w:t>
      </w:r>
      <w:r w:rsidR="00BA4517" w:rsidRPr="003F264A">
        <w:rPr>
          <w:rFonts w:cstheme="minorHAnsi"/>
        </w:rPr>
        <w:t>employed persons</w:t>
      </w:r>
      <w:r w:rsidRPr="003F264A">
        <w:rPr>
          <w:rFonts w:cstheme="minorHAnsi"/>
        </w:rPr>
        <w:t>.</w:t>
      </w:r>
      <w:r w:rsidRPr="003F264A">
        <w:rPr>
          <w:rStyle w:val="FootnoteReference"/>
          <w:rFonts w:cstheme="minorHAnsi"/>
        </w:rPr>
        <w:footnoteReference w:id="13"/>
      </w:r>
      <w:r w:rsidRPr="003F264A">
        <w:rPr>
          <w:rFonts w:cstheme="minorHAnsi"/>
        </w:rPr>
        <w:t xml:space="preserve"> </w:t>
      </w:r>
    </w:p>
    <w:p w14:paraId="4FE8B7E5" w14:textId="77777777" w:rsidR="00B36CEE" w:rsidRPr="003F264A" w:rsidRDefault="00B36CEE" w:rsidP="000F6998">
      <w:pPr>
        <w:jc w:val="both"/>
        <w:rPr>
          <w:rFonts w:cstheme="minorHAnsi"/>
        </w:rPr>
      </w:pPr>
      <w:r w:rsidRPr="003F264A">
        <w:rPr>
          <w:rFonts w:cstheme="minorHAnsi"/>
        </w:rPr>
        <w:t>Australian businesses can be divided into three categories of business: small (less than 20 employees), medium (20 – 199 employees) and large. The current composition of employment across businesses is as follows:</w:t>
      </w:r>
      <w:r w:rsidRPr="003F264A">
        <w:rPr>
          <w:rStyle w:val="FootnoteReference"/>
          <w:rFonts w:cstheme="minorHAnsi"/>
        </w:rPr>
        <w:footnoteReference w:id="14"/>
      </w:r>
    </w:p>
    <w:p w14:paraId="2DE3BB76" w14:textId="77777777" w:rsidR="004B2D21" w:rsidRPr="003F264A" w:rsidRDefault="004B2D21" w:rsidP="000F6998">
      <w:pPr>
        <w:pStyle w:val="ListParagraph"/>
        <w:numPr>
          <w:ilvl w:val="0"/>
          <w:numId w:val="22"/>
        </w:numPr>
        <w:jc w:val="both"/>
        <w:rPr>
          <w:rFonts w:cstheme="minorHAnsi"/>
        </w:rPr>
      </w:pPr>
      <w:r w:rsidRPr="003F264A">
        <w:rPr>
          <w:rFonts w:cstheme="minorHAnsi"/>
        </w:rPr>
        <w:t>Small businesses – 28.3</w:t>
      </w:r>
      <w:r w:rsidR="005D7B15" w:rsidRPr="003F264A">
        <w:rPr>
          <w:rFonts w:cstheme="minorHAnsi"/>
        </w:rPr>
        <w:t xml:space="preserve"> per cent</w:t>
      </w:r>
    </w:p>
    <w:p w14:paraId="149B6D98" w14:textId="77777777" w:rsidR="004B2D21" w:rsidRPr="003F264A" w:rsidRDefault="004B2D21" w:rsidP="000F6998">
      <w:pPr>
        <w:pStyle w:val="ListParagraph"/>
        <w:numPr>
          <w:ilvl w:val="0"/>
          <w:numId w:val="22"/>
        </w:numPr>
        <w:jc w:val="both"/>
        <w:rPr>
          <w:rFonts w:cstheme="minorHAnsi"/>
        </w:rPr>
      </w:pPr>
      <w:r w:rsidRPr="003F264A">
        <w:rPr>
          <w:rFonts w:cstheme="minorHAnsi"/>
        </w:rPr>
        <w:t>Medium businesses - 22.1</w:t>
      </w:r>
      <w:r w:rsidR="005D7B15" w:rsidRPr="003F264A">
        <w:rPr>
          <w:rFonts w:cstheme="minorHAnsi"/>
        </w:rPr>
        <w:t xml:space="preserve"> per cent</w:t>
      </w:r>
    </w:p>
    <w:p w14:paraId="29C81DE3" w14:textId="77777777" w:rsidR="004B2D21" w:rsidRPr="003F264A" w:rsidRDefault="004B2D21" w:rsidP="000F6998">
      <w:pPr>
        <w:pStyle w:val="ListParagraph"/>
        <w:numPr>
          <w:ilvl w:val="0"/>
          <w:numId w:val="22"/>
        </w:numPr>
        <w:jc w:val="both"/>
        <w:rPr>
          <w:rFonts w:cstheme="minorHAnsi"/>
        </w:rPr>
      </w:pPr>
      <w:r w:rsidRPr="003F264A">
        <w:rPr>
          <w:rFonts w:cstheme="minorHAnsi"/>
        </w:rPr>
        <w:t>Large businesses - 41.7</w:t>
      </w:r>
      <w:r w:rsidR="005D7B15" w:rsidRPr="003F264A">
        <w:rPr>
          <w:rFonts w:cstheme="minorHAnsi"/>
        </w:rPr>
        <w:t xml:space="preserve"> per cent</w:t>
      </w:r>
    </w:p>
    <w:p w14:paraId="7D2F53BF" w14:textId="77777777" w:rsidR="003B262B" w:rsidRPr="003F264A" w:rsidRDefault="003B262B" w:rsidP="000F6998">
      <w:pPr>
        <w:jc w:val="both"/>
        <w:rPr>
          <w:rFonts w:cstheme="minorHAnsi"/>
        </w:rPr>
      </w:pPr>
      <w:r w:rsidRPr="003F264A">
        <w:rPr>
          <w:rFonts w:cstheme="minorHAnsi"/>
        </w:rPr>
        <w:t>Some jobs records had missing or unknown business size information and therefore these percentages do not add to 100.</w:t>
      </w:r>
    </w:p>
    <w:p w14:paraId="1BACAEC4" w14:textId="68958B41" w:rsidR="004B2D21" w:rsidRDefault="004B2D21" w:rsidP="000F6998">
      <w:pPr>
        <w:jc w:val="both"/>
        <w:rPr>
          <w:rFonts w:cstheme="minorHAnsi"/>
        </w:rPr>
      </w:pPr>
      <w:r w:rsidRPr="003F264A">
        <w:rPr>
          <w:rFonts w:cstheme="minorHAnsi"/>
        </w:rPr>
        <w:t xml:space="preserve">The breakdown of </w:t>
      </w:r>
      <w:r w:rsidR="00BA4517" w:rsidRPr="003F264A">
        <w:rPr>
          <w:rFonts w:cstheme="minorHAnsi"/>
        </w:rPr>
        <w:t>female employment by business size</w:t>
      </w:r>
      <w:r w:rsidRPr="003F264A">
        <w:rPr>
          <w:rFonts w:cstheme="minorHAnsi"/>
        </w:rPr>
        <w:t xml:space="preserve"> is shown</w:t>
      </w:r>
      <w:r w:rsidR="008012CD">
        <w:rPr>
          <w:rFonts w:cstheme="minorHAnsi"/>
        </w:rPr>
        <w:t xml:space="preserve"> in the table</w:t>
      </w:r>
      <w:r w:rsidRPr="003F264A">
        <w:rPr>
          <w:rFonts w:cstheme="minorHAnsi"/>
        </w:rPr>
        <w:t xml:space="preserve"> below:</w:t>
      </w:r>
      <w:r w:rsidRPr="003F264A">
        <w:rPr>
          <w:rStyle w:val="FootnoteReference"/>
          <w:rFonts w:cstheme="minorHAnsi"/>
        </w:rPr>
        <w:footnoteReference w:id="15"/>
      </w:r>
    </w:p>
    <w:p w14:paraId="4C0C2A88" w14:textId="2AD437F4" w:rsidR="008012CD" w:rsidRPr="003F264A" w:rsidRDefault="008012CD" w:rsidP="000F6998">
      <w:pPr>
        <w:jc w:val="both"/>
        <w:rPr>
          <w:rFonts w:cstheme="minorHAnsi"/>
        </w:rPr>
      </w:pPr>
      <w:r>
        <w:rPr>
          <w:rFonts w:cstheme="minorHAnsi"/>
          <w:b/>
        </w:rPr>
        <w:t xml:space="preserve">Table 1: Breakdown of </w:t>
      </w:r>
      <w:r w:rsidR="00F44418">
        <w:rPr>
          <w:rFonts w:cstheme="minorHAnsi"/>
          <w:b/>
        </w:rPr>
        <w:t>Female</w:t>
      </w:r>
      <w:r>
        <w:rPr>
          <w:rFonts w:cstheme="minorHAnsi"/>
          <w:b/>
        </w:rPr>
        <w:t xml:space="preserve"> Employment by Business Size </w:t>
      </w:r>
    </w:p>
    <w:tbl>
      <w:tblPr>
        <w:tblStyle w:val="GridTable5Dark-Accent5"/>
        <w:tblW w:w="8926" w:type="dxa"/>
        <w:tblLook w:val="04A0" w:firstRow="1" w:lastRow="0" w:firstColumn="1" w:lastColumn="0" w:noHBand="0" w:noVBand="1"/>
      </w:tblPr>
      <w:tblGrid>
        <w:gridCol w:w="2674"/>
        <w:gridCol w:w="1206"/>
        <w:gridCol w:w="1204"/>
        <w:gridCol w:w="1204"/>
        <w:gridCol w:w="1476"/>
        <w:gridCol w:w="1162"/>
      </w:tblGrid>
      <w:tr w:rsidR="004B2D21" w:rsidRPr="00060E28" w14:paraId="73A2DDF5" w14:textId="77777777" w:rsidTr="00EC4464">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0" w:type="auto"/>
            <w:hideMark/>
          </w:tcPr>
          <w:p w14:paraId="4AB949BA" w14:textId="77777777" w:rsidR="004B2D21" w:rsidRPr="003F264A" w:rsidRDefault="004B2D21" w:rsidP="000F6998">
            <w:pPr>
              <w:jc w:val="both"/>
              <w:rPr>
                <w:rFonts w:eastAsia="Times New Roman" w:cstheme="minorHAnsi"/>
                <w:b w:val="0"/>
                <w:color w:val="000000" w:themeColor="text1"/>
                <w:lang w:eastAsia="en-AU"/>
              </w:rPr>
            </w:pPr>
          </w:p>
        </w:tc>
        <w:tc>
          <w:tcPr>
            <w:tcW w:w="5900" w:type="dxa"/>
            <w:gridSpan w:val="5"/>
            <w:hideMark/>
          </w:tcPr>
          <w:p w14:paraId="414E4B13" w14:textId="5CC84584" w:rsidR="004B2D21" w:rsidRPr="003F264A" w:rsidRDefault="0084711E" w:rsidP="000F6998">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themeColor="text1"/>
                <w:lang w:eastAsia="en-AU"/>
              </w:rPr>
            </w:pPr>
            <w:r w:rsidRPr="00F12B26">
              <w:rPr>
                <w:rFonts w:eastAsia="Times New Roman" w:cstheme="minorHAnsi"/>
                <w:b w:val="0"/>
                <w:lang w:eastAsia="en-AU"/>
              </w:rPr>
              <w:t>N</w:t>
            </w:r>
            <w:r w:rsidR="00B314BD">
              <w:rPr>
                <w:rFonts w:eastAsia="Times New Roman" w:cstheme="minorHAnsi"/>
                <w:b w:val="0"/>
                <w:lang w:eastAsia="en-AU"/>
              </w:rPr>
              <w:t>umber</w:t>
            </w:r>
            <w:r w:rsidRPr="00F12B26">
              <w:rPr>
                <w:rFonts w:eastAsia="Times New Roman" w:cstheme="minorHAnsi"/>
                <w:b w:val="0"/>
                <w:lang w:eastAsia="en-AU"/>
              </w:rPr>
              <w:t xml:space="preserve"> </w:t>
            </w:r>
            <w:r w:rsidR="00B314BD">
              <w:rPr>
                <w:rFonts w:eastAsia="Times New Roman" w:cstheme="minorHAnsi"/>
                <w:b w:val="0"/>
                <w:lang w:eastAsia="en-AU"/>
              </w:rPr>
              <w:t>of</w:t>
            </w:r>
            <w:r w:rsidRPr="00F12B26">
              <w:rPr>
                <w:rFonts w:eastAsia="Times New Roman" w:cstheme="minorHAnsi"/>
                <w:b w:val="0"/>
                <w:lang w:eastAsia="en-AU"/>
              </w:rPr>
              <w:t xml:space="preserve"> J</w:t>
            </w:r>
            <w:r w:rsidR="00B314BD">
              <w:rPr>
                <w:rFonts w:eastAsia="Times New Roman" w:cstheme="minorHAnsi"/>
                <w:b w:val="0"/>
                <w:lang w:eastAsia="en-AU"/>
              </w:rPr>
              <w:t>obs</w:t>
            </w:r>
            <w:r w:rsidRPr="00F12B26">
              <w:rPr>
                <w:rFonts w:eastAsia="Times New Roman" w:cstheme="minorHAnsi"/>
                <w:b w:val="0"/>
                <w:lang w:eastAsia="en-AU"/>
              </w:rPr>
              <w:t xml:space="preserve"> (‘000)</w:t>
            </w:r>
          </w:p>
        </w:tc>
      </w:tr>
      <w:tr w:rsidR="004B2D21" w:rsidRPr="00060E28" w14:paraId="1489D62F" w14:textId="77777777" w:rsidTr="00EC4464">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0" w:type="auto"/>
            <w:hideMark/>
          </w:tcPr>
          <w:p w14:paraId="4A29F9D6" w14:textId="77777777" w:rsidR="004B2D21" w:rsidRPr="00F12B26" w:rsidRDefault="004B2D21" w:rsidP="000F6998">
            <w:pPr>
              <w:jc w:val="both"/>
              <w:rPr>
                <w:rFonts w:eastAsia="Times New Roman" w:cstheme="minorHAnsi"/>
                <w:b w:val="0"/>
                <w:lang w:eastAsia="en-AU"/>
              </w:rPr>
            </w:pPr>
            <w:r w:rsidRPr="00F12B26">
              <w:rPr>
                <w:rFonts w:eastAsia="Times New Roman" w:cstheme="minorHAnsi"/>
                <w:b w:val="0"/>
                <w:lang w:eastAsia="en-AU"/>
              </w:rPr>
              <w:t>Employment size</w:t>
            </w:r>
          </w:p>
        </w:tc>
        <w:tc>
          <w:tcPr>
            <w:tcW w:w="0" w:type="auto"/>
            <w:hideMark/>
          </w:tcPr>
          <w:p w14:paraId="47626E11"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lang w:eastAsia="en-AU"/>
              </w:rPr>
            </w:pPr>
            <w:r w:rsidRPr="003F264A">
              <w:rPr>
                <w:rFonts w:eastAsia="Times New Roman" w:cstheme="minorHAnsi"/>
                <w:b/>
                <w:color w:val="000000" w:themeColor="text1"/>
                <w:lang w:eastAsia="en-AU"/>
              </w:rPr>
              <w:t>2014-15</w:t>
            </w:r>
          </w:p>
        </w:tc>
        <w:tc>
          <w:tcPr>
            <w:tcW w:w="0" w:type="auto"/>
            <w:hideMark/>
          </w:tcPr>
          <w:p w14:paraId="26256E86"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lang w:eastAsia="en-AU"/>
              </w:rPr>
            </w:pPr>
            <w:r w:rsidRPr="003F264A">
              <w:rPr>
                <w:rFonts w:eastAsia="Times New Roman" w:cstheme="minorHAnsi"/>
                <w:b/>
                <w:color w:val="000000" w:themeColor="text1"/>
                <w:lang w:eastAsia="en-AU"/>
              </w:rPr>
              <w:t>2015-16</w:t>
            </w:r>
          </w:p>
        </w:tc>
        <w:tc>
          <w:tcPr>
            <w:tcW w:w="0" w:type="auto"/>
            <w:hideMark/>
          </w:tcPr>
          <w:p w14:paraId="050DD72F"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lang w:eastAsia="en-AU"/>
              </w:rPr>
            </w:pPr>
            <w:r w:rsidRPr="003F264A">
              <w:rPr>
                <w:rFonts w:eastAsia="Times New Roman" w:cstheme="minorHAnsi"/>
                <w:b/>
                <w:color w:val="000000" w:themeColor="text1"/>
                <w:lang w:eastAsia="en-AU"/>
              </w:rPr>
              <w:t>2016-17</w:t>
            </w:r>
          </w:p>
        </w:tc>
        <w:tc>
          <w:tcPr>
            <w:tcW w:w="1294" w:type="dxa"/>
            <w:hideMark/>
          </w:tcPr>
          <w:p w14:paraId="7F04EB01"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lang w:eastAsia="en-AU"/>
              </w:rPr>
            </w:pPr>
            <w:r w:rsidRPr="003F264A">
              <w:rPr>
                <w:rFonts w:eastAsia="Times New Roman" w:cstheme="minorHAnsi"/>
                <w:b/>
                <w:color w:val="000000" w:themeColor="text1"/>
                <w:lang w:eastAsia="en-AU"/>
              </w:rPr>
              <w:t>2017-18</w:t>
            </w:r>
          </w:p>
        </w:tc>
        <w:tc>
          <w:tcPr>
            <w:tcW w:w="1018" w:type="dxa"/>
            <w:hideMark/>
          </w:tcPr>
          <w:p w14:paraId="7AB889C2"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lang w:eastAsia="en-AU"/>
              </w:rPr>
            </w:pPr>
            <w:r w:rsidRPr="003F264A">
              <w:rPr>
                <w:rFonts w:eastAsia="Times New Roman" w:cstheme="minorHAnsi"/>
                <w:b/>
                <w:color w:val="000000" w:themeColor="text1"/>
                <w:lang w:eastAsia="en-AU"/>
              </w:rPr>
              <w:t>2018-19</w:t>
            </w:r>
          </w:p>
        </w:tc>
      </w:tr>
      <w:tr w:rsidR="004B2D21" w:rsidRPr="00060E28" w14:paraId="68F51E93" w14:textId="77777777" w:rsidTr="00EC4464">
        <w:trPr>
          <w:trHeight w:val="229"/>
        </w:trPr>
        <w:tc>
          <w:tcPr>
            <w:cnfStyle w:val="001000000000" w:firstRow="0" w:lastRow="0" w:firstColumn="1" w:lastColumn="0" w:oddVBand="0" w:evenVBand="0" w:oddHBand="0" w:evenHBand="0" w:firstRowFirstColumn="0" w:firstRowLastColumn="0" w:lastRowFirstColumn="0" w:lastRowLastColumn="0"/>
            <w:tcW w:w="0" w:type="auto"/>
            <w:hideMark/>
          </w:tcPr>
          <w:p w14:paraId="06EA828C" w14:textId="77777777" w:rsidR="004B2D21" w:rsidRPr="00F12B26" w:rsidRDefault="004B2D21" w:rsidP="000F6998">
            <w:pPr>
              <w:jc w:val="both"/>
              <w:rPr>
                <w:rFonts w:eastAsia="Times New Roman" w:cstheme="minorHAnsi"/>
                <w:b w:val="0"/>
                <w:lang w:eastAsia="en-AU"/>
              </w:rPr>
            </w:pPr>
            <w:r w:rsidRPr="00F12B26">
              <w:rPr>
                <w:rFonts w:eastAsia="Times New Roman" w:cstheme="minorHAnsi"/>
                <w:b w:val="0"/>
                <w:lang w:eastAsia="en-AU"/>
              </w:rPr>
              <w:t>Fewer than 5 employees</w:t>
            </w:r>
          </w:p>
        </w:tc>
        <w:tc>
          <w:tcPr>
            <w:tcW w:w="0" w:type="auto"/>
            <w:hideMark/>
          </w:tcPr>
          <w:p w14:paraId="6D9EF48C" w14:textId="77777777" w:rsidR="004B2D21" w:rsidRPr="003F264A" w:rsidRDefault="004B2D21" w:rsidP="000F699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1,030.8</w:t>
            </w:r>
          </w:p>
        </w:tc>
        <w:tc>
          <w:tcPr>
            <w:tcW w:w="0" w:type="auto"/>
            <w:hideMark/>
          </w:tcPr>
          <w:p w14:paraId="061887D6" w14:textId="77777777" w:rsidR="004B2D21" w:rsidRPr="003F264A" w:rsidRDefault="004B2D21" w:rsidP="000F699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1,029.9</w:t>
            </w:r>
          </w:p>
        </w:tc>
        <w:tc>
          <w:tcPr>
            <w:tcW w:w="0" w:type="auto"/>
            <w:hideMark/>
          </w:tcPr>
          <w:p w14:paraId="761FE2A6" w14:textId="77777777" w:rsidR="004B2D21" w:rsidRPr="003F264A" w:rsidRDefault="004B2D21" w:rsidP="000F699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1,117.3</w:t>
            </w:r>
          </w:p>
        </w:tc>
        <w:tc>
          <w:tcPr>
            <w:tcW w:w="1294" w:type="dxa"/>
            <w:hideMark/>
          </w:tcPr>
          <w:p w14:paraId="4046E634" w14:textId="77777777" w:rsidR="004B2D21" w:rsidRPr="003F264A" w:rsidRDefault="004B2D21" w:rsidP="000F699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1,322.3</w:t>
            </w:r>
          </w:p>
        </w:tc>
        <w:tc>
          <w:tcPr>
            <w:tcW w:w="1018" w:type="dxa"/>
            <w:hideMark/>
          </w:tcPr>
          <w:p w14:paraId="7AFA21F1" w14:textId="77777777" w:rsidR="004B2D21" w:rsidRPr="003F264A" w:rsidRDefault="004B2D21" w:rsidP="000F699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1,191.1</w:t>
            </w:r>
          </w:p>
        </w:tc>
      </w:tr>
      <w:tr w:rsidR="004B2D21" w:rsidRPr="00060E28" w14:paraId="4D15E1A0" w14:textId="77777777" w:rsidTr="00EC4464">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0" w:type="auto"/>
            <w:hideMark/>
          </w:tcPr>
          <w:p w14:paraId="1EA2C957" w14:textId="77777777" w:rsidR="004B2D21" w:rsidRPr="00F12B26" w:rsidRDefault="004B2D21" w:rsidP="000F6998">
            <w:pPr>
              <w:jc w:val="both"/>
              <w:rPr>
                <w:rFonts w:eastAsia="Times New Roman" w:cstheme="minorHAnsi"/>
                <w:b w:val="0"/>
                <w:lang w:eastAsia="en-AU"/>
              </w:rPr>
            </w:pPr>
            <w:r w:rsidRPr="00F12B26">
              <w:rPr>
                <w:rFonts w:eastAsia="Times New Roman" w:cstheme="minorHAnsi"/>
                <w:b w:val="0"/>
                <w:lang w:eastAsia="en-AU"/>
              </w:rPr>
              <w:t>5–19 employees</w:t>
            </w:r>
          </w:p>
        </w:tc>
        <w:tc>
          <w:tcPr>
            <w:tcW w:w="0" w:type="auto"/>
            <w:hideMark/>
          </w:tcPr>
          <w:p w14:paraId="6612E392"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1,259.4</w:t>
            </w:r>
          </w:p>
        </w:tc>
        <w:tc>
          <w:tcPr>
            <w:tcW w:w="0" w:type="auto"/>
            <w:hideMark/>
          </w:tcPr>
          <w:p w14:paraId="7DB1577D"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1,244.2</w:t>
            </w:r>
          </w:p>
        </w:tc>
        <w:tc>
          <w:tcPr>
            <w:tcW w:w="0" w:type="auto"/>
            <w:hideMark/>
          </w:tcPr>
          <w:p w14:paraId="1776557E"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1,319.0</w:t>
            </w:r>
          </w:p>
        </w:tc>
        <w:tc>
          <w:tcPr>
            <w:tcW w:w="1294" w:type="dxa"/>
            <w:hideMark/>
          </w:tcPr>
          <w:p w14:paraId="31BA78A6"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1,297.4</w:t>
            </w:r>
          </w:p>
        </w:tc>
        <w:tc>
          <w:tcPr>
            <w:tcW w:w="1018" w:type="dxa"/>
            <w:hideMark/>
          </w:tcPr>
          <w:p w14:paraId="59B342C8"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1,331.3</w:t>
            </w:r>
          </w:p>
        </w:tc>
      </w:tr>
      <w:tr w:rsidR="004B2D21" w:rsidRPr="00060E28" w14:paraId="36A4B9D8" w14:textId="77777777" w:rsidTr="00EC4464">
        <w:trPr>
          <w:trHeight w:val="229"/>
        </w:trPr>
        <w:tc>
          <w:tcPr>
            <w:cnfStyle w:val="001000000000" w:firstRow="0" w:lastRow="0" w:firstColumn="1" w:lastColumn="0" w:oddVBand="0" w:evenVBand="0" w:oddHBand="0" w:evenHBand="0" w:firstRowFirstColumn="0" w:firstRowLastColumn="0" w:lastRowFirstColumn="0" w:lastRowLastColumn="0"/>
            <w:tcW w:w="0" w:type="auto"/>
            <w:hideMark/>
          </w:tcPr>
          <w:p w14:paraId="5B7D9156" w14:textId="77777777" w:rsidR="004B2D21" w:rsidRPr="00F12B26" w:rsidRDefault="004B2D21" w:rsidP="000F6998">
            <w:pPr>
              <w:jc w:val="both"/>
              <w:rPr>
                <w:rFonts w:eastAsia="Times New Roman" w:cstheme="minorHAnsi"/>
                <w:b w:val="0"/>
                <w:lang w:eastAsia="en-AU"/>
              </w:rPr>
            </w:pPr>
            <w:r w:rsidRPr="00F12B26">
              <w:rPr>
                <w:rFonts w:eastAsia="Times New Roman" w:cstheme="minorHAnsi"/>
                <w:b w:val="0"/>
                <w:lang w:eastAsia="en-AU"/>
              </w:rPr>
              <w:t>20–199 employees</w:t>
            </w:r>
          </w:p>
        </w:tc>
        <w:tc>
          <w:tcPr>
            <w:tcW w:w="0" w:type="auto"/>
            <w:hideMark/>
          </w:tcPr>
          <w:p w14:paraId="7B3D84C1" w14:textId="77777777" w:rsidR="004B2D21" w:rsidRPr="003F264A" w:rsidRDefault="004B2D21" w:rsidP="000F699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1,886.5</w:t>
            </w:r>
          </w:p>
        </w:tc>
        <w:tc>
          <w:tcPr>
            <w:tcW w:w="0" w:type="auto"/>
            <w:hideMark/>
          </w:tcPr>
          <w:p w14:paraId="021ACB44" w14:textId="77777777" w:rsidR="004B2D21" w:rsidRPr="003F264A" w:rsidRDefault="004B2D21" w:rsidP="000F699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1,841.0</w:t>
            </w:r>
          </w:p>
        </w:tc>
        <w:tc>
          <w:tcPr>
            <w:tcW w:w="0" w:type="auto"/>
            <w:hideMark/>
          </w:tcPr>
          <w:p w14:paraId="58F49996" w14:textId="77777777" w:rsidR="004B2D21" w:rsidRPr="003F264A" w:rsidRDefault="004B2D21" w:rsidP="000F699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1,926.1</w:t>
            </w:r>
          </w:p>
        </w:tc>
        <w:tc>
          <w:tcPr>
            <w:tcW w:w="1294" w:type="dxa"/>
            <w:hideMark/>
          </w:tcPr>
          <w:p w14:paraId="3AB4FDF1" w14:textId="77777777" w:rsidR="004B2D21" w:rsidRPr="003F264A" w:rsidRDefault="004B2D21" w:rsidP="000F699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1,878.3</w:t>
            </w:r>
          </w:p>
        </w:tc>
        <w:tc>
          <w:tcPr>
            <w:tcW w:w="1018" w:type="dxa"/>
            <w:hideMark/>
          </w:tcPr>
          <w:p w14:paraId="4C7EC6FD" w14:textId="77777777" w:rsidR="004B2D21" w:rsidRPr="003F264A" w:rsidRDefault="004B2D21" w:rsidP="000F699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2,042.9</w:t>
            </w:r>
          </w:p>
        </w:tc>
      </w:tr>
      <w:tr w:rsidR="004B2D21" w:rsidRPr="00060E28" w14:paraId="61305FBE" w14:textId="77777777" w:rsidTr="00EC4464">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0" w:type="auto"/>
            <w:hideMark/>
          </w:tcPr>
          <w:p w14:paraId="687A5674" w14:textId="77777777" w:rsidR="004B2D21" w:rsidRPr="00F12B26" w:rsidRDefault="004B2D21" w:rsidP="000F6998">
            <w:pPr>
              <w:jc w:val="both"/>
              <w:rPr>
                <w:rFonts w:eastAsia="Times New Roman" w:cstheme="minorHAnsi"/>
                <w:b w:val="0"/>
                <w:lang w:eastAsia="en-AU"/>
              </w:rPr>
            </w:pPr>
            <w:r w:rsidRPr="00F12B26">
              <w:rPr>
                <w:rFonts w:eastAsia="Times New Roman" w:cstheme="minorHAnsi"/>
                <w:b w:val="0"/>
                <w:lang w:eastAsia="en-AU"/>
              </w:rPr>
              <w:t>200 or more employees</w:t>
            </w:r>
          </w:p>
        </w:tc>
        <w:tc>
          <w:tcPr>
            <w:tcW w:w="0" w:type="auto"/>
            <w:hideMark/>
          </w:tcPr>
          <w:p w14:paraId="385388D1"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3,819.1</w:t>
            </w:r>
          </w:p>
        </w:tc>
        <w:tc>
          <w:tcPr>
            <w:tcW w:w="0" w:type="auto"/>
            <w:hideMark/>
          </w:tcPr>
          <w:p w14:paraId="77B48A3F"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3,936.9</w:t>
            </w:r>
          </w:p>
        </w:tc>
        <w:tc>
          <w:tcPr>
            <w:tcW w:w="0" w:type="auto"/>
            <w:hideMark/>
          </w:tcPr>
          <w:p w14:paraId="6428884C"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4,132.4</w:t>
            </w:r>
          </w:p>
        </w:tc>
        <w:tc>
          <w:tcPr>
            <w:tcW w:w="1294" w:type="dxa"/>
            <w:hideMark/>
          </w:tcPr>
          <w:p w14:paraId="0201BDBB"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4,142.1</w:t>
            </w:r>
          </w:p>
        </w:tc>
        <w:tc>
          <w:tcPr>
            <w:tcW w:w="1018" w:type="dxa"/>
            <w:hideMark/>
          </w:tcPr>
          <w:p w14:paraId="17D8548D" w14:textId="77777777" w:rsidR="004B2D21" w:rsidRPr="003F264A" w:rsidRDefault="004B2D21"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lang w:eastAsia="en-AU"/>
              </w:rPr>
            </w:pPr>
            <w:r w:rsidRPr="003F264A">
              <w:rPr>
                <w:rFonts w:eastAsia="Times New Roman" w:cstheme="minorHAnsi"/>
                <w:color w:val="000000" w:themeColor="text1"/>
                <w:lang w:eastAsia="en-AU"/>
              </w:rPr>
              <w:t>4,464.6</w:t>
            </w:r>
          </w:p>
        </w:tc>
      </w:tr>
    </w:tbl>
    <w:p w14:paraId="17D5E78C" w14:textId="77777777" w:rsidR="00C04E44" w:rsidRPr="003F264A" w:rsidRDefault="004B2D21" w:rsidP="000F6998">
      <w:pPr>
        <w:spacing w:beforeAutospacing="1" w:after="0" w:afterAutospacing="1" w:line="240" w:lineRule="auto"/>
        <w:jc w:val="both"/>
        <w:rPr>
          <w:rFonts w:cstheme="minorHAnsi"/>
        </w:rPr>
      </w:pPr>
      <w:r w:rsidRPr="003F264A">
        <w:rPr>
          <w:rFonts w:cstheme="minorHAnsi"/>
        </w:rPr>
        <w:t xml:space="preserve">In Australia, occupations and industries are highly </w:t>
      </w:r>
      <w:r w:rsidR="005D7B15" w:rsidRPr="003F264A">
        <w:rPr>
          <w:rFonts w:cstheme="minorHAnsi"/>
        </w:rPr>
        <w:t xml:space="preserve">gender </w:t>
      </w:r>
      <w:r w:rsidRPr="003F264A">
        <w:rPr>
          <w:rFonts w:cstheme="minorHAnsi"/>
        </w:rPr>
        <w:t>segregated.</w:t>
      </w:r>
      <w:r w:rsidRPr="003F264A">
        <w:rPr>
          <w:rStyle w:val="FootnoteReference"/>
          <w:rFonts w:cstheme="minorHAnsi"/>
        </w:rPr>
        <w:footnoteReference w:id="16"/>
      </w:r>
      <w:r w:rsidR="00B81AFC" w:rsidRPr="003F264A">
        <w:rPr>
          <w:rFonts w:cstheme="minorHAnsi"/>
        </w:rPr>
        <w:t xml:space="preserve"> </w:t>
      </w:r>
      <w:r w:rsidR="00C04E44" w:rsidRPr="003F264A">
        <w:rPr>
          <w:rFonts w:cstheme="minorHAnsi"/>
        </w:rPr>
        <w:t xml:space="preserve">Occupational and industrial segregation refers to the unequal distribution of women and men in certain jobs or industries and is a key driver of the gender pay gap. An example of industrial segregation is the high proportion of women in Health Care (around 76 per cent) and Education and Training (around 72 per cent), relative to the low proportion of women in Construction (around 13 per cent) and Mining (around 19 per cent). This is different to occupational segregation, which involves the under-representation of women in high paying roles, such as management and chief executives, and over-representation in low paying roles, such as administration or care work. </w:t>
      </w:r>
    </w:p>
    <w:p w14:paraId="0420B271" w14:textId="77777777" w:rsidR="00B81AFC" w:rsidRPr="003F264A" w:rsidRDefault="004B2D21" w:rsidP="000F6998">
      <w:pPr>
        <w:spacing w:beforeAutospacing="1" w:after="0" w:afterAutospacing="1" w:line="240" w:lineRule="auto"/>
        <w:jc w:val="both"/>
        <w:rPr>
          <w:rFonts w:cstheme="minorHAnsi"/>
        </w:rPr>
      </w:pPr>
      <w:r w:rsidRPr="003F264A">
        <w:rPr>
          <w:rFonts w:cstheme="minorHAnsi"/>
        </w:rPr>
        <w:t>A number of interactions result in complexities when looking at gender segregation in industries and the gender pay gap. Average remuneration in female-dominated organisations is lower than in male-dominated organisations.</w:t>
      </w:r>
      <w:r w:rsidRPr="003F264A">
        <w:rPr>
          <w:rStyle w:val="FootnoteReference"/>
          <w:rFonts w:cstheme="minorHAnsi"/>
        </w:rPr>
        <w:footnoteReference w:id="17"/>
      </w:r>
      <w:r w:rsidRPr="003F264A">
        <w:rPr>
          <w:rFonts w:cstheme="minorHAnsi"/>
        </w:rPr>
        <w:t xml:space="preserve"> However, female managers working in male-dominated organisations are more likely to earn salaries closer to their male colleagues.</w:t>
      </w:r>
      <w:r w:rsidRPr="003F264A">
        <w:rPr>
          <w:rStyle w:val="FootnoteReference"/>
          <w:rFonts w:cstheme="minorHAnsi"/>
        </w:rPr>
        <w:footnoteReference w:id="18"/>
      </w:r>
      <w:r w:rsidRPr="003F264A">
        <w:rPr>
          <w:rFonts w:cstheme="minorHAnsi"/>
        </w:rPr>
        <w:t xml:space="preserve"> Performance pay and other additional remuneration plays a greater role in male-dominated industries, leading to higher gender pay gaps for total remuneration.</w:t>
      </w:r>
      <w:r w:rsidRPr="003F264A">
        <w:rPr>
          <w:rStyle w:val="FootnoteReference"/>
          <w:rFonts w:cstheme="minorHAnsi"/>
        </w:rPr>
        <w:footnoteReference w:id="19"/>
      </w:r>
      <w:r w:rsidRPr="003F264A">
        <w:rPr>
          <w:rFonts w:cstheme="minorHAnsi"/>
        </w:rPr>
        <w:t xml:space="preserve"> </w:t>
      </w:r>
    </w:p>
    <w:p w14:paraId="756A3E96" w14:textId="77777777" w:rsidR="008547A1" w:rsidRPr="003F264A" w:rsidRDefault="004B2D21" w:rsidP="000F6998">
      <w:pPr>
        <w:spacing w:beforeAutospacing="1" w:after="0" w:afterAutospacing="1" w:line="240" w:lineRule="auto"/>
        <w:jc w:val="both"/>
        <w:rPr>
          <w:rFonts w:cstheme="minorHAnsi"/>
        </w:rPr>
      </w:pPr>
      <w:r w:rsidRPr="003F264A">
        <w:rPr>
          <w:rFonts w:cstheme="minorHAnsi"/>
        </w:rPr>
        <w:t>On an occupational level, male-dominated workplaces have smaller proportions of part-time employees</w:t>
      </w:r>
      <w:r w:rsidR="0084711E" w:rsidRPr="003F264A">
        <w:rPr>
          <w:rFonts w:cstheme="minorHAnsi"/>
        </w:rPr>
        <w:t>,</w:t>
      </w:r>
      <w:r w:rsidRPr="003F264A">
        <w:rPr>
          <w:rFonts w:cstheme="minorHAnsi"/>
        </w:rPr>
        <w:t xml:space="preserve"> and full-time employees </w:t>
      </w:r>
      <w:r w:rsidR="0084711E" w:rsidRPr="003F264A">
        <w:rPr>
          <w:rFonts w:cstheme="minorHAnsi"/>
        </w:rPr>
        <w:t>often</w:t>
      </w:r>
      <w:r w:rsidRPr="003F264A">
        <w:rPr>
          <w:rFonts w:cstheme="minorHAnsi"/>
        </w:rPr>
        <w:t xml:space="preserve"> work longer hours </w:t>
      </w:r>
      <w:r w:rsidRPr="003F264A">
        <w:rPr>
          <w:rFonts w:cstheme="minorHAnsi"/>
        </w:rPr>
        <w:noBreakHyphen/>
        <w:t xml:space="preserve"> attributes that may deter people with family and caring responsibilities.</w:t>
      </w:r>
      <w:r w:rsidRPr="003F264A">
        <w:rPr>
          <w:rStyle w:val="FootnoteReference"/>
          <w:rFonts w:cstheme="minorHAnsi"/>
        </w:rPr>
        <w:footnoteReference w:id="20"/>
      </w:r>
      <w:r w:rsidRPr="003F264A">
        <w:rPr>
          <w:rFonts w:cstheme="minorHAnsi"/>
        </w:rPr>
        <w:t xml:space="preserve"> The three industries with the highest gender pay gaps are:  </w:t>
      </w:r>
    </w:p>
    <w:p w14:paraId="07F000C6" w14:textId="77777777" w:rsidR="008547A1" w:rsidRPr="003F264A" w:rsidRDefault="004B2D21" w:rsidP="000F6998">
      <w:pPr>
        <w:pStyle w:val="ListParagraph"/>
        <w:numPr>
          <w:ilvl w:val="0"/>
          <w:numId w:val="35"/>
        </w:numPr>
        <w:tabs>
          <w:tab w:val="num" w:pos="360"/>
        </w:tabs>
        <w:spacing w:beforeAutospacing="1" w:after="0" w:afterAutospacing="1" w:line="240" w:lineRule="auto"/>
        <w:jc w:val="both"/>
        <w:rPr>
          <w:rFonts w:cstheme="minorHAnsi"/>
        </w:rPr>
      </w:pPr>
      <w:r w:rsidRPr="003F264A">
        <w:rPr>
          <w:rFonts w:cstheme="minorHAnsi"/>
        </w:rPr>
        <w:t xml:space="preserve">Professional, Scientific and Technical Services; </w:t>
      </w:r>
    </w:p>
    <w:p w14:paraId="1D5A5E36" w14:textId="77777777" w:rsidR="008547A1" w:rsidRPr="003F264A" w:rsidRDefault="004B2D21" w:rsidP="000F6998">
      <w:pPr>
        <w:pStyle w:val="ListParagraph"/>
        <w:numPr>
          <w:ilvl w:val="0"/>
          <w:numId w:val="35"/>
        </w:numPr>
        <w:tabs>
          <w:tab w:val="num" w:pos="360"/>
        </w:tabs>
        <w:spacing w:beforeAutospacing="1" w:after="0" w:afterAutospacing="1" w:line="240" w:lineRule="auto"/>
        <w:jc w:val="both"/>
        <w:rPr>
          <w:rFonts w:cstheme="minorHAnsi"/>
        </w:rPr>
      </w:pPr>
      <w:r w:rsidRPr="003F264A">
        <w:rPr>
          <w:rFonts w:cstheme="minorHAnsi"/>
        </w:rPr>
        <w:t xml:space="preserve">Financial and Insurance Services; and </w:t>
      </w:r>
    </w:p>
    <w:p w14:paraId="2EDCEC86" w14:textId="77777777" w:rsidR="00380AD9" w:rsidRPr="003F264A" w:rsidRDefault="004B2D21" w:rsidP="000F6998">
      <w:pPr>
        <w:pStyle w:val="ListParagraph"/>
        <w:numPr>
          <w:ilvl w:val="0"/>
          <w:numId w:val="35"/>
        </w:numPr>
        <w:tabs>
          <w:tab w:val="num" w:pos="360"/>
        </w:tabs>
        <w:spacing w:beforeAutospacing="1" w:after="0" w:afterAutospacing="1" w:line="240" w:lineRule="auto"/>
        <w:jc w:val="both"/>
        <w:rPr>
          <w:rFonts w:cstheme="minorHAnsi"/>
        </w:rPr>
      </w:pPr>
      <w:r w:rsidRPr="003F264A">
        <w:rPr>
          <w:rFonts w:cstheme="minorHAnsi"/>
        </w:rPr>
        <w:t xml:space="preserve">Health Care and Social Assistance. </w:t>
      </w:r>
    </w:p>
    <w:p w14:paraId="17062F5E" w14:textId="77777777" w:rsidR="000F6998" w:rsidRDefault="004B2D21" w:rsidP="000F6998">
      <w:pPr>
        <w:spacing w:beforeAutospacing="1" w:after="0" w:afterAutospacing="1" w:line="240" w:lineRule="auto"/>
        <w:jc w:val="both"/>
        <w:rPr>
          <w:rFonts w:cstheme="minorHAnsi"/>
        </w:rPr>
      </w:pPr>
      <w:r w:rsidRPr="003F264A">
        <w:rPr>
          <w:rFonts w:cstheme="minorHAnsi"/>
        </w:rPr>
        <w:t xml:space="preserve">Access to gender pay gap analysis can be found on WGEA’s data explorer (accessible </w:t>
      </w:r>
      <w:hyperlink r:id="rId9" w:history="1">
        <w:r w:rsidRPr="003F264A">
          <w:rPr>
            <w:rStyle w:val="Hyperlink"/>
            <w:rFonts w:cstheme="minorHAnsi"/>
          </w:rPr>
          <w:t>here</w:t>
        </w:r>
      </w:hyperlink>
      <w:r w:rsidRPr="003F264A">
        <w:rPr>
          <w:rFonts w:cstheme="minorHAnsi"/>
        </w:rPr>
        <w:t xml:space="preserve">) and is searchable by industry. </w:t>
      </w:r>
    </w:p>
    <w:p w14:paraId="516D5563" w14:textId="5561765A" w:rsidR="00B36CEE" w:rsidRPr="003F264A" w:rsidRDefault="00B36CEE" w:rsidP="000F6998">
      <w:pPr>
        <w:spacing w:beforeAutospacing="1" w:after="0" w:afterAutospacing="1" w:line="240" w:lineRule="auto"/>
        <w:jc w:val="both"/>
        <w:rPr>
          <w:rFonts w:cstheme="minorHAnsi"/>
        </w:rPr>
      </w:pPr>
      <w:r w:rsidRPr="003F264A">
        <w:rPr>
          <w:rFonts w:cstheme="minorHAnsi"/>
        </w:rPr>
        <w:t>Women’s capacity for paid work is constrained by their disproportionate share of unpaid work.</w:t>
      </w:r>
      <w:r w:rsidRPr="003F264A">
        <w:rPr>
          <w:rStyle w:val="FootnoteReference"/>
          <w:rFonts w:cstheme="minorHAnsi"/>
        </w:rPr>
        <w:footnoteReference w:id="21"/>
      </w:r>
      <w:r w:rsidRPr="003F264A">
        <w:rPr>
          <w:rFonts w:cstheme="minorHAnsi"/>
        </w:rPr>
        <w:t xml:space="preserve"> In 2020-21, women spent </w:t>
      </w:r>
      <w:r w:rsidR="00BA4517" w:rsidRPr="003F264A">
        <w:rPr>
          <w:rFonts w:cstheme="minorHAnsi"/>
        </w:rPr>
        <w:t xml:space="preserve">on average around </w:t>
      </w:r>
      <w:r w:rsidRPr="003F264A">
        <w:rPr>
          <w:rFonts w:cstheme="minorHAnsi"/>
        </w:rPr>
        <w:t xml:space="preserve">30 hours a week on unpaid care and housework, </w:t>
      </w:r>
      <w:r w:rsidR="0084711E" w:rsidRPr="003F264A">
        <w:rPr>
          <w:rFonts w:cstheme="minorHAnsi"/>
        </w:rPr>
        <w:t>nine</w:t>
      </w:r>
      <w:r w:rsidRPr="003F264A">
        <w:rPr>
          <w:rFonts w:cstheme="minorHAnsi"/>
        </w:rPr>
        <w:t xml:space="preserve"> hours a week more than men.</w:t>
      </w:r>
      <w:r w:rsidRPr="003F264A">
        <w:rPr>
          <w:rStyle w:val="FootnoteReference"/>
          <w:rFonts w:cstheme="minorHAnsi"/>
        </w:rPr>
        <w:footnoteReference w:id="22"/>
      </w:r>
      <w:r w:rsidRPr="003F264A">
        <w:rPr>
          <w:rFonts w:cstheme="minorHAnsi"/>
        </w:rPr>
        <w:t xml:space="preserve"> </w:t>
      </w:r>
    </w:p>
    <w:p w14:paraId="6A7194B3" w14:textId="7527D0C0" w:rsidR="00B36CEE" w:rsidRPr="003F264A" w:rsidRDefault="00B36CEE" w:rsidP="000F6998">
      <w:pPr>
        <w:jc w:val="both"/>
        <w:rPr>
          <w:rFonts w:eastAsia="Times New Roman" w:cstheme="minorHAnsi"/>
          <w:color w:val="000000"/>
          <w:lang w:eastAsia="en-AU"/>
        </w:rPr>
      </w:pPr>
      <w:r w:rsidRPr="003F264A">
        <w:rPr>
          <w:rFonts w:eastAsia="Times New Roman" w:cstheme="minorHAnsi"/>
          <w:color w:val="000000"/>
          <w:lang w:eastAsia="en-AU"/>
        </w:rPr>
        <w:t xml:space="preserve">Women are more likely than men to have attained a Bachelor degree, or </w:t>
      </w:r>
      <w:r w:rsidR="00264CBF" w:rsidRPr="003F264A">
        <w:rPr>
          <w:rFonts w:eastAsia="Times New Roman" w:cstheme="minorHAnsi"/>
          <w:color w:val="000000"/>
          <w:lang w:eastAsia="en-AU"/>
        </w:rPr>
        <w:t xml:space="preserve">higher education </w:t>
      </w:r>
      <w:r w:rsidRPr="003F264A">
        <w:rPr>
          <w:rFonts w:eastAsia="Times New Roman" w:cstheme="minorHAnsi"/>
          <w:color w:val="000000"/>
          <w:lang w:eastAsia="en-AU"/>
        </w:rPr>
        <w:t>qualification.</w:t>
      </w:r>
      <w:r w:rsidRPr="003F264A">
        <w:rPr>
          <w:rStyle w:val="FootnoteReference"/>
          <w:rFonts w:eastAsia="Times New Roman" w:cstheme="minorHAnsi"/>
          <w:color w:val="000000"/>
          <w:lang w:eastAsia="en-AU"/>
        </w:rPr>
        <w:footnoteReference w:id="23"/>
      </w:r>
      <w:r w:rsidRPr="003F264A">
        <w:rPr>
          <w:rFonts w:eastAsia="Times New Roman" w:cstheme="minorHAnsi"/>
          <w:color w:val="000000"/>
          <w:lang w:eastAsia="en-AU"/>
        </w:rPr>
        <w:t xml:space="preserve"> However, despite making up almost 50 per cent of the labour force, </w:t>
      </w:r>
      <w:r w:rsidR="009F7410" w:rsidRPr="003F264A">
        <w:rPr>
          <w:rFonts w:eastAsia="Times New Roman" w:cstheme="minorHAnsi"/>
          <w:color w:val="000000"/>
          <w:lang w:eastAsia="en-AU"/>
        </w:rPr>
        <w:t>w</w:t>
      </w:r>
      <w:r w:rsidR="00CE1E73" w:rsidRPr="003F264A">
        <w:rPr>
          <w:rFonts w:eastAsia="Times New Roman" w:cstheme="minorHAnsi"/>
          <w:color w:val="000000"/>
          <w:lang w:eastAsia="en-AU"/>
        </w:rPr>
        <w:t>omen only comprise 19.4 per cent</w:t>
      </w:r>
      <w:r w:rsidR="009F7410" w:rsidRPr="003F264A">
        <w:rPr>
          <w:rFonts w:eastAsia="Times New Roman" w:cstheme="minorHAnsi"/>
          <w:color w:val="000000"/>
          <w:lang w:eastAsia="en-AU"/>
        </w:rPr>
        <w:t xml:space="preserve"> of </w:t>
      </w:r>
      <w:r w:rsidRPr="003F264A">
        <w:rPr>
          <w:rFonts w:eastAsia="Times New Roman" w:cstheme="minorHAnsi"/>
          <w:color w:val="000000"/>
          <w:lang w:eastAsia="en-AU"/>
        </w:rPr>
        <w:t>C</w:t>
      </w:r>
      <w:r w:rsidR="001B0F1A" w:rsidRPr="003F264A">
        <w:rPr>
          <w:rFonts w:eastAsia="Times New Roman" w:cstheme="minorHAnsi"/>
          <w:color w:val="000000"/>
          <w:lang w:eastAsia="en-AU"/>
        </w:rPr>
        <w:t>hief Executive Officers (C</w:t>
      </w:r>
      <w:r w:rsidRPr="003F264A">
        <w:rPr>
          <w:rFonts w:eastAsia="Times New Roman" w:cstheme="minorHAnsi"/>
          <w:color w:val="000000"/>
          <w:lang w:eastAsia="en-AU"/>
        </w:rPr>
        <w:t>EOs</w:t>
      </w:r>
      <w:r w:rsidR="001B0F1A" w:rsidRPr="003F264A">
        <w:rPr>
          <w:rFonts w:eastAsia="Times New Roman" w:cstheme="minorHAnsi"/>
          <w:color w:val="000000"/>
          <w:lang w:eastAsia="en-AU"/>
        </w:rPr>
        <w:t>)</w:t>
      </w:r>
      <w:r w:rsidRPr="003F264A">
        <w:rPr>
          <w:rFonts w:eastAsia="Times New Roman" w:cstheme="minorHAnsi"/>
          <w:color w:val="000000"/>
          <w:lang w:eastAsia="en-AU"/>
        </w:rPr>
        <w:t xml:space="preserve"> and </w:t>
      </w:r>
      <w:r w:rsidR="00CE1E73" w:rsidRPr="003F264A">
        <w:rPr>
          <w:rFonts w:eastAsia="Times New Roman" w:cstheme="minorHAnsi"/>
          <w:color w:val="000000"/>
          <w:lang w:eastAsia="en-AU"/>
        </w:rPr>
        <w:t>33 per cent of</w:t>
      </w:r>
      <w:r w:rsidRPr="003F264A">
        <w:rPr>
          <w:rFonts w:eastAsia="Times New Roman" w:cstheme="minorHAnsi"/>
          <w:color w:val="000000"/>
          <w:lang w:eastAsia="en-AU"/>
        </w:rPr>
        <w:t xml:space="preserve"> board members.</w:t>
      </w:r>
      <w:r w:rsidRPr="003F264A">
        <w:rPr>
          <w:rStyle w:val="FootnoteReference"/>
          <w:rFonts w:eastAsia="Times New Roman" w:cstheme="minorHAnsi"/>
          <w:color w:val="000000"/>
          <w:lang w:eastAsia="en-AU"/>
        </w:rPr>
        <w:footnoteReference w:id="24"/>
      </w:r>
      <w:r w:rsidRPr="003F264A">
        <w:rPr>
          <w:rFonts w:eastAsia="Times New Roman" w:cstheme="minorHAnsi"/>
          <w:color w:val="000000"/>
          <w:lang w:eastAsia="en-AU"/>
        </w:rPr>
        <w:t xml:space="preserve"> For the first time in the WGEA dataset, as of 11 February 2022, women comprised more than 41 per cent of all managers (up from 36 per cent in 2013).</w:t>
      </w:r>
      <w:r w:rsidRPr="003F264A">
        <w:rPr>
          <w:rStyle w:val="FootnoteReference"/>
          <w:rFonts w:eastAsia="Times New Roman" w:cstheme="minorHAnsi"/>
          <w:color w:val="000000"/>
          <w:lang w:eastAsia="en-AU"/>
        </w:rPr>
        <w:footnoteReference w:id="25"/>
      </w:r>
      <w:r w:rsidRPr="003F264A">
        <w:rPr>
          <w:rFonts w:eastAsia="Times New Roman" w:cstheme="minorHAnsi"/>
          <w:color w:val="000000"/>
          <w:lang w:eastAsia="en-AU"/>
        </w:rPr>
        <w:t xml:space="preserve"> </w:t>
      </w:r>
      <w:r w:rsidRPr="003F264A">
        <w:rPr>
          <w:rFonts w:cstheme="minorHAnsi"/>
        </w:rPr>
        <w:t xml:space="preserve">As at August 2022, 35.1 per cent of ASX200 </w:t>
      </w:r>
      <w:r w:rsidR="00264CBF" w:rsidRPr="003F264A">
        <w:rPr>
          <w:rFonts w:cstheme="minorHAnsi"/>
        </w:rPr>
        <w:t>B</w:t>
      </w:r>
      <w:r w:rsidRPr="003F264A">
        <w:rPr>
          <w:rFonts w:cstheme="minorHAnsi"/>
        </w:rPr>
        <w:t xml:space="preserve">oard positions were held by women, while 34.3 per cent of ASX300 </w:t>
      </w:r>
      <w:r w:rsidR="00264CBF" w:rsidRPr="003F264A">
        <w:rPr>
          <w:rFonts w:cstheme="minorHAnsi"/>
        </w:rPr>
        <w:t xml:space="preserve">Board </w:t>
      </w:r>
      <w:r w:rsidRPr="003F264A">
        <w:rPr>
          <w:rFonts w:cstheme="minorHAnsi"/>
        </w:rPr>
        <w:t>positions were held by women.</w:t>
      </w:r>
      <w:r w:rsidRPr="003F264A">
        <w:rPr>
          <w:rStyle w:val="FootnoteReference"/>
          <w:rFonts w:cstheme="minorHAnsi"/>
        </w:rPr>
        <w:footnoteReference w:id="26"/>
      </w:r>
      <w:r w:rsidRPr="003F264A">
        <w:rPr>
          <w:rFonts w:cstheme="minorHAnsi"/>
          <w:noProof/>
          <w:lang w:eastAsia="en-AU"/>
        </w:rPr>
        <w:t xml:space="preserve"> </w:t>
      </w:r>
    </w:p>
    <w:p w14:paraId="226279C9" w14:textId="77777777" w:rsidR="00F128AE" w:rsidRPr="003F264A" w:rsidRDefault="00F128AE" w:rsidP="000F6998">
      <w:pPr>
        <w:jc w:val="both"/>
        <w:rPr>
          <w:rFonts w:cstheme="minorHAnsi"/>
        </w:rPr>
      </w:pPr>
    </w:p>
    <w:p w14:paraId="36E6D6EE" w14:textId="77777777" w:rsidR="004B2D21" w:rsidRPr="003F264A" w:rsidRDefault="004B2D21" w:rsidP="000F6998">
      <w:pPr>
        <w:jc w:val="both"/>
        <w:rPr>
          <w:rFonts w:cstheme="minorHAnsi"/>
        </w:rPr>
      </w:pPr>
      <w:r w:rsidRPr="003F264A">
        <w:rPr>
          <w:rFonts w:cstheme="minorHAnsi"/>
        </w:rPr>
        <w:br w:type="page"/>
      </w:r>
    </w:p>
    <w:p w14:paraId="50D04A2B" w14:textId="77777777" w:rsidR="002B1021" w:rsidRDefault="004B2D21" w:rsidP="000F6998">
      <w:pPr>
        <w:pStyle w:val="Heading1"/>
        <w:numPr>
          <w:ilvl w:val="0"/>
          <w:numId w:val="26"/>
        </w:numPr>
        <w:jc w:val="both"/>
        <w:rPr>
          <w:rFonts w:asciiTheme="minorHAnsi" w:hAnsiTheme="minorHAnsi" w:cstheme="minorHAnsi"/>
        </w:rPr>
      </w:pPr>
      <w:bookmarkStart w:id="10" w:name="_Toc118794709"/>
      <w:bookmarkStart w:id="11" w:name="_Toc125714684"/>
      <w:r w:rsidRPr="003F264A">
        <w:rPr>
          <w:rFonts w:asciiTheme="minorHAnsi" w:hAnsiTheme="minorHAnsi" w:cstheme="minorHAnsi"/>
        </w:rPr>
        <w:t>What is the problem?</w:t>
      </w:r>
      <w:bookmarkEnd w:id="10"/>
      <w:bookmarkEnd w:id="11"/>
      <w:r w:rsidRPr="003F264A">
        <w:rPr>
          <w:rFonts w:asciiTheme="minorHAnsi" w:hAnsiTheme="minorHAnsi" w:cstheme="minorHAnsi"/>
        </w:rPr>
        <w:t xml:space="preserve"> </w:t>
      </w:r>
    </w:p>
    <w:p w14:paraId="3D9FE2DA" w14:textId="051D2DBD" w:rsidR="00A2223F" w:rsidRPr="00E10068" w:rsidRDefault="004B2D21" w:rsidP="000F6998">
      <w:pPr>
        <w:spacing w:before="240"/>
        <w:jc w:val="both"/>
        <w:rPr>
          <w:rFonts w:cstheme="minorHAnsi"/>
        </w:rPr>
      </w:pPr>
      <w:r w:rsidRPr="00E10068">
        <w:rPr>
          <w:rFonts w:cstheme="minorHAnsi"/>
        </w:rPr>
        <w:t xml:space="preserve">Workplace gender equality has not yet been achieved in Australia. Currently, Australia’s gender pay </w:t>
      </w:r>
      <w:r w:rsidR="008257EB" w:rsidRPr="00E10068">
        <w:rPr>
          <w:rFonts w:cstheme="minorHAnsi"/>
        </w:rPr>
        <w:t>gap is </w:t>
      </w:r>
      <w:r w:rsidR="00AC27DC">
        <w:rPr>
          <w:rFonts w:cstheme="minorHAnsi"/>
        </w:rPr>
        <w:t>22.8</w:t>
      </w:r>
      <w:r w:rsidR="005E6C92" w:rsidRPr="00E10068">
        <w:rPr>
          <w:rFonts w:cstheme="minorHAnsi"/>
        </w:rPr>
        <w:t xml:space="preserve"> per cent</w:t>
      </w:r>
      <w:r w:rsidRPr="00E10068">
        <w:rPr>
          <w:rFonts w:cstheme="minorHAnsi"/>
        </w:rPr>
        <w:t>.</w:t>
      </w:r>
      <w:r w:rsidR="0084711E" w:rsidRPr="00E10068">
        <w:rPr>
          <w:rStyle w:val="FootnoteReference"/>
          <w:rFonts w:cstheme="minorHAnsi"/>
        </w:rPr>
        <w:footnoteReference w:id="27"/>
      </w:r>
      <w:r w:rsidR="00A2223F" w:rsidRPr="00E10068">
        <w:t xml:space="preserve"> </w:t>
      </w:r>
      <w:r w:rsidR="00A2223F" w:rsidRPr="00E10068">
        <w:rPr>
          <w:rFonts w:cstheme="minorHAnsi"/>
        </w:rPr>
        <w:t>Estimates indicate, at the current rate of progress, it would take approximately 26 years to close the full-time gender pay gap.</w:t>
      </w:r>
      <w:r w:rsidR="00A2223F" w:rsidRPr="00E10068">
        <w:rPr>
          <w:rStyle w:val="FootnoteReference"/>
          <w:rFonts w:cstheme="minorHAnsi"/>
        </w:rPr>
        <w:footnoteReference w:id="28"/>
      </w:r>
      <w:r w:rsidR="00A2223F" w:rsidRPr="00E10068">
        <w:rPr>
          <w:rFonts w:cstheme="minorHAnsi"/>
        </w:rPr>
        <w:t xml:space="preserve">   </w:t>
      </w:r>
    </w:p>
    <w:p w14:paraId="39CE9465" w14:textId="77777777" w:rsidR="004B2D21" w:rsidRPr="003F264A" w:rsidRDefault="008257EB" w:rsidP="000F6998">
      <w:pPr>
        <w:jc w:val="both"/>
        <w:rPr>
          <w:rFonts w:cstheme="minorHAnsi"/>
        </w:rPr>
      </w:pPr>
      <w:r w:rsidRPr="00E10068">
        <w:rPr>
          <w:rFonts w:cstheme="minorHAnsi"/>
        </w:rPr>
        <w:t>As of May 2022, women’s average weekly ordinary full- time earnings across all industries and occupations was </w:t>
      </w:r>
      <w:r w:rsidRPr="00E10068">
        <w:rPr>
          <w:rFonts w:cstheme="minorHAnsi"/>
          <w:bCs/>
        </w:rPr>
        <w:t>$1,609.00</w:t>
      </w:r>
      <w:r w:rsidRPr="00E10068">
        <w:rPr>
          <w:rFonts w:cstheme="minorHAnsi"/>
        </w:rPr>
        <w:t> compared to men’s average weekly ordinary full- time earnings of </w:t>
      </w:r>
      <w:r w:rsidRPr="00E10068">
        <w:rPr>
          <w:rFonts w:cstheme="minorHAnsi"/>
          <w:bCs/>
        </w:rPr>
        <w:t>$1,872.90</w:t>
      </w:r>
      <w:r w:rsidRPr="00E10068">
        <w:rPr>
          <w:rFonts w:cstheme="minorHAnsi"/>
        </w:rPr>
        <w:t>. This means that on average, women earned </w:t>
      </w:r>
      <w:r w:rsidRPr="00E10068">
        <w:rPr>
          <w:rFonts w:cstheme="minorHAnsi"/>
          <w:bCs/>
        </w:rPr>
        <w:t>$263.90</w:t>
      </w:r>
      <w:r w:rsidRPr="00E10068">
        <w:rPr>
          <w:rFonts w:cstheme="minorHAnsi"/>
        </w:rPr>
        <w:t> less</w:t>
      </w:r>
      <w:r w:rsidRPr="003F264A">
        <w:rPr>
          <w:rFonts w:cstheme="minorHAnsi"/>
        </w:rPr>
        <w:t xml:space="preserve"> </w:t>
      </w:r>
      <w:r w:rsidR="00FE5575">
        <w:rPr>
          <w:rFonts w:cstheme="minorHAnsi"/>
        </w:rPr>
        <w:t xml:space="preserve">per week </w:t>
      </w:r>
      <w:r w:rsidRPr="003F264A">
        <w:rPr>
          <w:rFonts w:cstheme="minorHAnsi"/>
        </w:rPr>
        <w:t>than men.</w:t>
      </w:r>
      <w:r w:rsidR="00512D77" w:rsidRPr="003F264A">
        <w:rPr>
          <w:rStyle w:val="FootnoteReference"/>
          <w:rFonts w:cstheme="minorHAnsi"/>
        </w:rPr>
        <w:footnoteReference w:id="29"/>
      </w:r>
      <w:r w:rsidRPr="003F264A">
        <w:rPr>
          <w:rFonts w:cstheme="minorHAnsi"/>
          <w:color w:val="000000"/>
          <w:bdr w:val="none" w:sz="0" w:space="0" w:color="auto" w:frame="1"/>
        </w:rPr>
        <w:t> </w:t>
      </w:r>
      <w:r w:rsidR="008547A1" w:rsidRPr="003F264A">
        <w:rPr>
          <w:rFonts w:cstheme="minorHAnsi"/>
          <w:color w:val="000000"/>
          <w:bdr w:val="none" w:sz="0" w:space="0" w:color="auto" w:frame="1"/>
        </w:rPr>
        <w:t>Research by</w:t>
      </w:r>
      <w:r w:rsidR="004B2D21" w:rsidRPr="003F264A">
        <w:rPr>
          <w:rFonts w:cstheme="minorHAnsi"/>
        </w:rPr>
        <w:t xml:space="preserve"> KPMG (in partnership with</w:t>
      </w:r>
      <w:r w:rsidR="00621080">
        <w:rPr>
          <w:rFonts w:cstheme="minorHAnsi"/>
        </w:rPr>
        <w:t xml:space="preserve"> the Diversity Council of Australia (</w:t>
      </w:r>
      <w:r w:rsidR="003F264A">
        <w:rPr>
          <w:rFonts w:cstheme="minorHAnsi"/>
        </w:rPr>
        <w:t>DCA</w:t>
      </w:r>
      <w:r w:rsidR="00621080">
        <w:rPr>
          <w:rFonts w:cstheme="minorHAnsi"/>
        </w:rPr>
        <w:t>)</w:t>
      </w:r>
      <w:r w:rsidR="004B2D21" w:rsidRPr="003F264A">
        <w:rPr>
          <w:rFonts w:cstheme="minorHAnsi"/>
        </w:rPr>
        <w:t xml:space="preserve"> and WGEA) found that the gender pay gap is equivalent to $966 million per week, or </w:t>
      </w:r>
      <w:r w:rsidR="00264CBF" w:rsidRPr="003F264A">
        <w:rPr>
          <w:rFonts w:cstheme="minorHAnsi"/>
        </w:rPr>
        <w:t>around</w:t>
      </w:r>
      <w:r w:rsidR="004B2D21" w:rsidRPr="003F264A">
        <w:rPr>
          <w:rFonts w:cstheme="minorHAnsi"/>
        </w:rPr>
        <w:t xml:space="preserve"> </w:t>
      </w:r>
      <w:r w:rsidR="00264CBF" w:rsidRPr="003F264A">
        <w:rPr>
          <w:rFonts w:cstheme="minorHAnsi"/>
        </w:rPr>
        <w:t>$</w:t>
      </w:r>
      <w:r w:rsidR="004B2D21" w:rsidRPr="003F264A">
        <w:rPr>
          <w:rFonts w:cstheme="minorHAnsi"/>
        </w:rPr>
        <w:t>5</w:t>
      </w:r>
      <w:r w:rsidR="00264CBF" w:rsidRPr="003F264A">
        <w:rPr>
          <w:rFonts w:cstheme="minorHAnsi"/>
        </w:rPr>
        <w:t>2</w:t>
      </w:r>
      <w:r w:rsidR="00F50B88">
        <w:rPr>
          <w:rFonts w:cstheme="minorHAnsi"/>
        </w:rPr>
        <w:t xml:space="preserve"> billion per year.</w:t>
      </w:r>
      <w:r w:rsidR="004B2D21" w:rsidRPr="003F264A">
        <w:rPr>
          <w:rStyle w:val="FootnoteReference"/>
          <w:rFonts w:cstheme="minorHAnsi"/>
        </w:rPr>
        <w:footnoteReference w:id="30"/>
      </w:r>
      <w:r w:rsidR="004B2D21" w:rsidRPr="003F264A">
        <w:rPr>
          <w:rFonts w:cstheme="minorHAnsi"/>
        </w:rPr>
        <w:t xml:space="preserve"> </w:t>
      </w:r>
    </w:p>
    <w:p w14:paraId="451FC04E" w14:textId="77777777" w:rsidR="00633B92" w:rsidRPr="003F264A" w:rsidRDefault="00EA5B18" w:rsidP="000F6998">
      <w:pPr>
        <w:jc w:val="both"/>
        <w:rPr>
          <w:rFonts w:cstheme="minorHAnsi"/>
        </w:rPr>
      </w:pPr>
      <w:r w:rsidRPr="003F264A">
        <w:rPr>
          <w:rFonts w:cstheme="minorHAnsi"/>
        </w:rPr>
        <w:t>The gender pay gap starts when women first enter the </w:t>
      </w:r>
      <w:hyperlink r:id="rId10" w:history="1">
        <w:r w:rsidRPr="003F264A">
          <w:rPr>
            <w:rFonts w:cstheme="minorHAnsi"/>
          </w:rPr>
          <w:t>workforce</w:t>
        </w:r>
      </w:hyperlink>
      <w:r w:rsidRPr="003F264A">
        <w:rPr>
          <w:rFonts w:cstheme="minorHAnsi"/>
        </w:rPr>
        <w:t xml:space="preserve"> and increases </w:t>
      </w:r>
      <w:r w:rsidR="00733CEA" w:rsidRPr="003F264A">
        <w:rPr>
          <w:rFonts w:cstheme="minorHAnsi"/>
        </w:rPr>
        <w:t>as women progress in their careers</w:t>
      </w:r>
      <w:r w:rsidRPr="003F264A">
        <w:rPr>
          <w:rFonts w:cstheme="minorHAnsi"/>
        </w:rPr>
        <w:t>. T</w:t>
      </w:r>
      <w:r w:rsidR="00B92E8E" w:rsidRPr="003F264A">
        <w:rPr>
          <w:rFonts w:cstheme="minorHAnsi"/>
        </w:rPr>
        <w:t>he gender pay gap is 6 per cent</w:t>
      </w:r>
      <w:r w:rsidRPr="003F264A">
        <w:rPr>
          <w:rFonts w:cstheme="minorHAnsi"/>
        </w:rPr>
        <w:t xml:space="preserve"> at the start of a woman’s career but progress</w:t>
      </w:r>
      <w:r w:rsidR="0084711E" w:rsidRPr="003F264A">
        <w:rPr>
          <w:rFonts w:cstheme="minorHAnsi"/>
        </w:rPr>
        <w:t>ively</w:t>
      </w:r>
      <w:r w:rsidRPr="003F264A">
        <w:rPr>
          <w:rFonts w:cstheme="minorHAnsi"/>
        </w:rPr>
        <w:t xml:space="preserve"> increases up to 18</w:t>
      </w:r>
      <w:r w:rsidR="004C3555" w:rsidRPr="003F264A">
        <w:rPr>
          <w:rFonts w:cstheme="minorHAnsi"/>
        </w:rPr>
        <w:t> </w:t>
      </w:r>
      <w:r w:rsidRPr="003F264A">
        <w:rPr>
          <w:rFonts w:cstheme="minorHAnsi"/>
        </w:rPr>
        <w:t>per cent at top management levels.</w:t>
      </w:r>
      <w:r w:rsidR="00F50B88">
        <w:rPr>
          <w:rStyle w:val="FootnoteReference"/>
          <w:rFonts w:cstheme="minorHAnsi"/>
        </w:rPr>
        <w:footnoteReference w:id="31"/>
      </w:r>
      <w:r w:rsidRPr="003F264A">
        <w:rPr>
          <w:rFonts w:cstheme="minorHAnsi"/>
        </w:rPr>
        <w:t xml:space="preserve"> </w:t>
      </w:r>
      <w:r w:rsidR="00633B92" w:rsidRPr="003F264A">
        <w:rPr>
          <w:rFonts w:cstheme="minorHAnsi"/>
        </w:rPr>
        <w:t xml:space="preserve">At </w:t>
      </w:r>
      <w:r w:rsidR="00FE5575">
        <w:rPr>
          <w:rFonts w:cstheme="minorHAnsi"/>
        </w:rPr>
        <w:t xml:space="preserve">the </w:t>
      </w:r>
      <w:r w:rsidR="00633B92" w:rsidRPr="003F264A">
        <w:rPr>
          <w:rFonts w:cstheme="minorHAnsi"/>
        </w:rPr>
        <w:t>age</w:t>
      </w:r>
      <w:r w:rsidR="00FE5575">
        <w:rPr>
          <w:rFonts w:cstheme="minorHAnsi"/>
        </w:rPr>
        <w:t xml:space="preserve"> of</w:t>
      </w:r>
      <w:r w:rsidR="00633B92" w:rsidRPr="003F264A">
        <w:rPr>
          <w:rFonts w:cstheme="minorHAnsi"/>
        </w:rPr>
        <w:t xml:space="preserve"> 28 years, the income of women levels out to around $1,000 to $1,250 a week (on average), while male earnings steadily increase to over $2,000 a week before age 40.</w:t>
      </w:r>
      <w:r w:rsidR="00633B92" w:rsidRPr="003F264A">
        <w:rPr>
          <w:rStyle w:val="FootnoteReference"/>
          <w:rFonts w:cstheme="minorHAnsi"/>
        </w:rPr>
        <w:footnoteReference w:id="32"/>
      </w:r>
      <w:r w:rsidR="00633B92" w:rsidRPr="003F264A">
        <w:rPr>
          <w:rFonts w:cstheme="minorHAnsi"/>
        </w:rPr>
        <w:t xml:space="preserve"> </w:t>
      </w:r>
    </w:p>
    <w:p w14:paraId="6E215377" w14:textId="77777777" w:rsidR="00EA5B18" w:rsidRDefault="00EA5B18" w:rsidP="000F6998">
      <w:pPr>
        <w:jc w:val="both"/>
        <w:rPr>
          <w:rFonts w:cstheme="minorHAnsi"/>
          <w:noProof/>
          <w:lang w:eastAsia="en-AU"/>
        </w:rPr>
      </w:pPr>
      <w:r w:rsidRPr="003F264A">
        <w:rPr>
          <w:rFonts w:cstheme="minorHAnsi"/>
        </w:rPr>
        <w:t>A combination of factors affect women's lifetime economic security and make it more likely that over a lifetime, women will earn less than men, be less likely to advance their careers as far as men, and accumulate less superannuation and savings than men.</w:t>
      </w:r>
      <w:r w:rsidR="00F50B88">
        <w:rPr>
          <w:rStyle w:val="FootnoteReference"/>
          <w:rFonts w:cstheme="minorHAnsi"/>
        </w:rPr>
        <w:footnoteReference w:id="33"/>
      </w:r>
      <w:r w:rsidRPr="003F264A">
        <w:rPr>
          <w:rFonts w:cstheme="minorHAnsi"/>
        </w:rPr>
        <w:t xml:space="preserve"> These factors combine to result in women being more like</w:t>
      </w:r>
      <w:r w:rsidR="005071ED" w:rsidRPr="003F264A">
        <w:rPr>
          <w:rFonts w:cstheme="minorHAnsi"/>
        </w:rPr>
        <w:t xml:space="preserve">ly to live in poverty in </w:t>
      </w:r>
      <w:r w:rsidRPr="003F264A">
        <w:rPr>
          <w:rFonts w:cstheme="minorHAnsi"/>
        </w:rPr>
        <w:t>retirement.</w:t>
      </w:r>
      <w:r w:rsidR="00F50B88">
        <w:rPr>
          <w:rStyle w:val="FootnoteReference"/>
          <w:rFonts w:cstheme="minorHAnsi"/>
        </w:rPr>
        <w:footnoteReference w:id="34"/>
      </w:r>
      <w:r w:rsidRPr="003F264A">
        <w:rPr>
          <w:rStyle w:val="FootnoteReference"/>
          <w:rFonts w:cstheme="minorHAnsi"/>
        </w:rPr>
        <w:t xml:space="preserve"> </w:t>
      </w:r>
      <w:r w:rsidRPr="003F264A">
        <w:rPr>
          <w:rFonts w:cstheme="minorHAnsi"/>
        </w:rPr>
        <w:t>Single women, in particular, are over-represented in the population below the poverty line and more likely to be financially vulnerable than the general population.</w:t>
      </w:r>
      <w:r w:rsidR="00F50B88">
        <w:rPr>
          <w:rStyle w:val="FootnoteReference"/>
          <w:rFonts w:cstheme="minorHAnsi"/>
        </w:rPr>
        <w:footnoteReference w:id="35"/>
      </w:r>
      <w:r w:rsidRPr="003F264A">
        <w:rPr>
          <w:rFonts w:cstheme="minorHAnsi"/>
          <w:noProof/>
          <w:lang w:eastAsia="en-AU"/>
        </w:rPr>
        <w:t xml:space="preserve"> </w:t>
      </w:r>
    </w:p>
    <w:p w14:paraId="0F8BE1FD" w14:textId="4920358E" w:rsidR="00321897" w:rsidRPr="003F264A" w:rsidRDefault="00321897" w:rsidP="000F6998">
      <w:pPr>
        <w:jc w:val="both"/>
        <w:rPr>
          <w:rFonts w:cstheme="minorHAnsi"/>
        </w:rPr>
      </w:pPr>
      <w:r w:rsidRPr="003F264A">
        <w:rPr>
          <w:rFonts w:cstheme="minorHAnsi"/>
        </w:rPr>
        <w:t xml:space="preserve">This unequal playing field doesn’t just impact a woman’s financial security, but also has flow on effects to social and family life. The recent covid-19 pandemic in particular demonstrated how easy it is for progress in gender equality to slide backwards, </w:t>
      </w:r>
      <w:r w:rsidR="003A1179">
        <w:rPr>
          <w:rFonts w:cstheme="minorHAnsi"/>
        </w:rPr>
        <w:t>with</w:t>
      </w:r>
      <w:r w:rsidR="003A1179" w:rsidRPr="003F264A">
        <w:rPr>
          <w:rFonts w:cstheme="minorHAnsi"/>
        </w:rPr>
        <w:t xml:space="preserve"> </w:t>
      </w:r>
      <w:r w:rsidRPr="003F264A">
        <w:rPr>
          <w:rFonts w:cstheme="minorHAnsi"/>
        </w:rPr>
        <w:t>the gender pay gap slightly increasing and women’s workforce participation rate declining. The below graphic from WGEA demonstrates the slight increase in the gender pay gap as a result of the COVID-19 pandemic.</w:t>
      </w:r>
      <w:r w:rsidRPr="003F264A">
        <w:rPr>
          <w:rStyle w:val="FootnoteReference"/>
          <w:rFonts w:cstheme="minorHAnsi"/>
        </w:rPr>
        <w:footnoteReference w:id="36"/>
      </w:r>
      <w:r w:rsidRPr="003F264A">
        <w:rPr>
          <w:rFonts w:cstheme="minorHAnsi"/>
        </w:rPr>
        <w:t xml:space="preserve">  </w:t>
      </w:r>
    </w:p>
    <w:p w14:paraId="277A6E11" w14:textId="77777777" w:rsidR="00FE5AC3" w:rsidRDefault="004C2059" w:rsidP="000F6998">
      <w:pPr>
        <w:jc w:val="both"/>
        <w:rPr>
          <w:rFonts w:cstheme="minorHAnsi"/>
        </w:rPr>
      </w:pPr>
      <w:r w:rsidRPr="004C2059">
        <w:rPr>
          <w:rFonts w:cstheme="minorHAnsi"/>
          <w:noProof/>
          <w:lang w:eastAsia="en-AU"/>
        </w:rPr>
        <mc:AlternateContent>
          <mc:Choice Requires="wps">
            <w:drawing>
              <wp:anchor distT="45720" distB="45720" distL="114300" distR="114300" simplePos="0" relativeHeight="251658256" behindDoc="1" locked="0" layoutInCell="1" allowOverlap="1" wp14:anchorId="3D55441E" wp14:editId="158EBB38">
                <wp:simplePos x="0" y="0"/>
                <wp:positionH relativeFrom="margin">
                  <wp:posOffset>892810</wp:posOffset>
                </wp:positionH>
                <wp:positionV relativeFrom="page">
                  <wp:posOffset>4703283</wp:posOffset>
                </wp:positionV>
                <wp:extent cx="3784600" cy="276225"/>
                <wp:effectExtent l="0" t="0" r="6350" b="9525"/>
                <wp:wrapTight wrapText="bothSides">
                  <wp:wrapPolygon edited="0">
                    <wp:start x="0" y="0"/>
                    <wp:lineTo x="0" y="20855"/>
                    <wp:lineTo x="21528" y="20855"/>
                    <wp:lineTo x="2152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276225"/>
                        </a:xfrm>
                        <a:prstGeom prst="rect">
                          <a:avLst/>
                        </a:prstGeom>
                        <a:solidFill>
                          <a:srgbClr val="FFFFFF"/>
                        </a:solidFill>
                        <a:ln w="9525">
                          <a:noFill/>
                          <a:miter lim="800000"/>
                          <a:headEnd/>
                          <a:tailEnd/>
                        </a:ln>
                      </wps:spPr>
                      <wps:txbx>
                        <w:txbxContent>
                          <w:p w14:paraId="32C8797A" w14:textId="618D215D" w:rsidR="00D073EC" w:rsidRPr="00FE5AC3" w:rsidRDefault="00D073EC" w:rsidP="00FE5AC3">
                            <w:pPr>
                              <w:jc w:val="center"/>
                              <w:rPr>
                                <w:b/>
                              </w:rPr>
                            </w:pPr>
                            <w:r w:rsidRPr="00FE5AC3">
                              <w:rPr>
                                <w:b/>
                              </w:rPr>
                              <w:t>Figure 1: Australian Average Real Hourly Earnings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5441E" id="Text Box 2" o:spid="_x0000_s1028" type="#_x0000_t202" style="position:absolute;left:0;text-align:left;margin-left:70.3pt;margin-top:370.35pt;width:298pt;height:21.75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lJIgIAACQ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" stroked="f">
                <v:textbox>
                  <w:txbxContent>
                    <w:p w14:paraId="32C8797A" w14:textId="618D215D" w:rsidR="00D073EC" w:rsidRPr="00FE5AC3" w:rsidRDefault="00D073EC" w:rsidP="00FE5AC3">
                      <w:pPr>
                        <w:jc w:val="center"/>
                        <w:rPr>
                          <w:b/>
                        </w:rPr>
                      </w:pPr>
                      <w:r w:rsidRPr="00FE5AC3">
                        <w:rPr>
                          <w:b/>
                        </w:rPr>
                        <w:t>Figure 1: Australian Average Real Hourly Earnings</w:t>
                      </w:r>
                    </w:p>
                  </w:txbxContent>
                </v:textbox>
                <w10:wrap type="tight" anchorx="margin" anchory="page"/>
              </v:shape>
            </w:pict>
          </mc:Fallback>
        </mc:AlternateContent>
      </w:r>
      <w:r w:rsidR="00321897" w:rsidRPr="003F264A">
        <w:rPr>
          <w:rFonts w:cstheme="minorHAnsi"/>
          <w:noProof/>
          <w:lang w:eastAsia="en-AU"/>
        </w:rPr>
        <w:drawing>
          <wp:anchor distT="0" distB="0" distL="114300" distR="114300" simplePos="0" relativeHeight="251658259" behindDoc="0" locked="0" layoutInCell="1" allowOverlap="1" wp14:anchorId="688CA907" wp14:editId="5C9A7902">
            <wp:simplePos x="0" y="0"/>
            <wp:positionH relativeFrom="column">
              <wp:posOffset>0</wp:posOffset>
            </wp:positionH>
            <wp:positionV relativeFrom="paragraph">
              <wp:posOffset>0</wp:posOffset>
            </wp:positionV>
            <wp:extent cx="4410075" cy="3724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410075" cy="3724275"/>
                    </a:xfrm>
                    <a:prstGeom prst="rect">
                      <a:avLst/>
                    </a:prstGeom>
                  </pic:spPr>
                </pic:pic>
              </a:graphicData>
            </a:graphic>
          </wp:anchor>
        </w:drawing>
      </w:r>
    </w:p>
    <w:p w14:paraId="6A042BB6" w14:textId="77777777" w:rsidR="00FE5AC3" w:rsidRDefault="00FE5AC3" w:rsidP="000F6998">
      <w:pPr>
        <w:jc w:val="both"/>
        <w:rPr>
          <w:rFonts w:cstheme="minorHAnsi"/>
        </w:rPr>
      </w:pPr>
    </w:p>
    <w:p w14:paraId="278B6C31" w14:textId="77777777" w:rsidR="00FE5AC3" w:rsidRDefault="00FE5AC3" w:rsidP="000F6998">
      <w:pPr>
        <w:jc w:val="both"/>
        <w:rPr>
          <w:rFonts w:cstheme="minorHAnsi"/>
        </w:rPr>
      </w:pPr>
    </w:p>
    <w:p w14:paraId="0764178B" w14:textId="77777777" w:rsidR="00FE5AC3" w:rsidRDefault="00FE5AC3" w:rsidP="000F6998">
      <w:pPr>
        <w:jc w:val="both"/>
        <w:rPr>
          <w:rFonts w:cstheme="minorHAnsi"/>
        </w:rPr>
      </w:pPr>
    </w:p>
    <w:p w14:paraId="55442004" w14:textId="77777777" w:rsidR="00FE5AC3" w:rsidRDefault="00FE5AC3" w:rsidP="000F6998">
      <w:pPr>
        <w:jc w:val="both"/>
        <w:rPr>
          <w:rFonts w:cstheme="minorHAnsi"/>
        </w:rPr>
      </w:pPr>
    </w:p>
    <w:p w14:paraId="1329C446" w14:textId="77777777" w:rsidR="00FE5AC3" w:rsidRDefault="00FE5AC3" w:rsidP="000F6998">
      <w:pPr>
        <w:jc w:val="both"/>
        <w:rPr>
          <w:rFonts w:cstheme="minorHAnsi"/>
        </w:rPr>
      </w:pPr>
    </w:p>
    <w:p w14:paraId="2D990623" w14:textId="77777777" w:rsidR="00FE5AC3" w:rsidRDefault="00FE5AC3" w:rsidP="000F6998">
      <w:pPr>
        <w:jc w:val="both"/>
        <w:rPr>
          <w:rFonts w:cstheme="minorHAnsi"/>
        </w:rPr>
      </w:pPr>
    </w:p>
    <w:p w14:paraId="2260F038" w14:textId="77777777" w:rsidR="00FE5AC3" w:rsidRDefault="00FE5AC3" w:rsidP="000F6998">
      <w:pPr>
        <w:jc w:val="both"/>
        <w:rPr>
          <w:rFonts w:cstheme="minorHAnsi"/>
        </w:rPr>
      </w:pPr>
    </w:p>
    <w:p w14:paraId="7E00D668" w14:textId="77777777" w:rsidR="00FE5AC3" w:rsidRDefault="00FE5AC3" w:rsidP="000F6998">
      <w:pPr>
        <w:jc w:val="both"/>
        <w:rPr>
          <w:rFonts w:cstheme="minorHAnsi"/>
        </w:rPr>
      </w:pPr>
    </w:p>
    <w:p w14:paraId="447E59D7" w14:textId="77777777" w:rsidR="00FE5AC3" w:rsidRDefault="00FE5AC3" w:rsidP="000F6998">
      <w:pPr>
        <w:jc w:val="both"/>
        <w:rPr>
          <w:rFonts w:cstheme="minorHAnsi"/>
        </w:rPr>
      </w:pPr>
    </w:p>
    <w:p w14:paraId="5728D713" w14:textId="77777777" w:rsidR="00FE5AC3" w:rsidRDefault="00FE5AC3" w:rsidP="000F6998">
      <w:pPr>
        <w:jc w:val="both"/>
        <w:rPr>
          <w:rFonts w:cstheme="minorHAnsi"/>
        </w:rPr>
      </w:pPr>
    </w:p>
    <w:p w14:paraId="36D73F5D" w14:textId="77777777" w:rsidR="00FE5AC3" w:rsidRDefault="00FE5AC3" w:rsidP="000F6998">
      <w:pPr>
        <w:jc w:val="both"/>
        <w:rPr>
          <w:rFonts w:cstheme="minorHAnsi"/>
        </w:rPr>
      </w:pPr>
    </w:p>
    <w:p w14:paraId="48827A4A" w14:textId="77777777" w:rsidR="00FE5AC3" w:rsidRDefault="00FE5AC3" w:rsidP="000F6998">
      <w:pPr>
        <w:jc w:val="both"/>
        <w:rPr>
          <w:rFonts w:cstheme="minorHAnsi"/>
        </w:rPr>
      </w:pPr>
    </w:p>
    <w:p w14:paraId="514270E4" w14:textId="77777777" w:rsidR="00FE5AC3" w:rsidRDefault="00FE5AC3" w:rsidP="000F6998">
      <w:pPr>
        <w:jc w:val="both"/>
        <w:rPr>
          <w:rFonts w:cstheme="minorHAnsi"/>
        </w:rPr>
      </w:pPr>
    </w:p>
    <w:p w14:paraId="3C53306A" w14:textId="77777777" w:rsidR="00FE5AC3" w:rsidRDefault="00FE5AC3" w:rsidP="000F6998">
      <w:pPr>
        <w:jc w:val="both"/>
        <w:rPr>
          <w:rFonts w:cstheme="minorHAnsi"/>
        </w:rPr>
      </w:pPr>
    </w:p>
    <w:p w14:paraId="56DA6F5D" w14:textId="3934DEC6" w:rsidR="00321897" w:rsidRPr="003F264A" w:rsidRDefault="00321897" w:rsidP="000F6998">
      <w:pPr>
        <w:jc w:val="both"/>
        <w:rPr>
          <w:rFonts w:cstheme="minorHAnsi"/>
        </w:rPr>
      </w:pPr>
      <w:r w:rsidRPr="003F264A">
        <w:rPr>
          <w:rFonts w:cstheme="minorHAnsi"/>
        </w:rPr>
        <w:t>The lifetime earnings gap between men and women has flow on impacts for older women</w:t>
      </w:r>
      <w:r w:rsidR="00784A87">
        <w:rPr>
          <w:rFonts w:cstheme="minorHAnsi"/>
        </w:rPr>
        <w:t>, contributing to the increased likelihood of older women living in poverty, being reliant on the social safety net, retiring with less superannuation than men, and more likely to retire with no superannuation</w:t>
      </w:r>
      <w:r w:rsidR="00784A87" w:rsidRPr="003F264A">
        <w:rPr>
          <w:rStyle w:val="FootnoteReference"/>
          <w:rFonts w:cstheme="minorHAnsi"/>
        </w:rPr>
        <w:footnoteReference w:id="37"/>
      </w:r>
      <w:r w:rsidR="00784A87">
        <w:rPr>
          <w:rFonts w:cstheme="minorHAnsi"/>
        </w:rPr>
        <w:t xml:space="preserve">. </w:t>
      </w:r>
    </w:p>
    <w:p w14:paraId="14EF1DFA" w14:textId="77777777" w:rsidR="00405CA1" w:rsidRPr="003F264A" w:rsidRDefault="00FE5575" w:rsidP="000F6998">
      <w:pPr>
        <w:spacing w:beforeAutospacing="1" w:after="0" w:afterAutospacing="1" w:line="240" w:lineRule="auto"/>
        <w:jc w:val="both"/>
        <w:rPr>
          <w:rFonts w:cstheme="minorHAnsi"/>
        </w:rPr>
      </w:pPr>
      <w:r>
        <w:rPr>
          <w:rFonts w:cstheme="minorHAnsi"/>
        </w:rPr>
        <w:t xml:space="preserve">A number of drivers contribute to the gender pay gap in Australia. </w:t>
      </w:r>
      <w:r w:rsidR="00690CD5">
        <w:rPr>
          <w:rFonts w:cstheme="minorHAnsi"/>
        </w:rPr>
        <w:t>T</w:t>
      </w:r>
      <w:r w:rsidR="00405CA1" w:rsidRPr="003F264A">
        <w:rPr>
          <w:rFonts w:cstheme="minorHAnsi"/>
        </w:rPr>
        <w:t>hree key drivers of the gender pay gap are:</w:t>
      </w:r>
      <w:r w:rsidR="00405CA1" w:rsidRPr="003F264A">
        <w:rPr>
          <w:rStyle w:val="FootnoteReference"/>
          <w:rFonts w:cstheme="minorHAnsi"/>
        </w:rPr>
        <w:footnoteReference w:id="38"/>
      </w:r>
      <w:r w:rsidR="00405CA1" w:rsidRPr="003F264A">
        <w:rPr>
          <w:rFonts w:cstheme="minorHAnsi"/>
        </w:rPr>
        <w:t xml:space="preserve"> </w:t>
      </w:r>
    </w:p>
    <w:p w14:paraId="345DB578" w14:textId="77777777" w:rsidR="00405CA1" w:rsidRPr="003F264A" w:rsidRDefault="00405CA1" w:rsidP="000F6998">
      <w:pPr>
        <w:pStyle w:val="ListParagraph"/>
        <w:numPr>
          <w:ilvl w:val="0"/>
          <w:numId w:val="36"/>
        </w:numPr>
        <w:tabs>
          <w:tab w:val="num" w:pos="360"/>
        </w:tabs>
        <w:spacing w:before="240" w:after="100" w:afterAutospacing="1" w:line="240" w:lineRule="auto"/>
        <w:jc w:val="both"/>
        <w:rPr>
          <w:rFonts w:eastAsia="Times New Roman" w:cstheme="minorHAnsi"/>
          <w:color w:val="000000"/>
          <w:lang w:eastAsia="en-AU"/>
        </w:rPr>
      </w:pPr>
      <w:r w:rsidRPr="003F264A">
        <w:rPr>
          <w:rFonts w:eastAsia="Times New Roman" w:cstheme="minorHAnsi"/>
          <w:color w:val="000000"/>
          <w:lang w:eastAsia="en-AU"/>
        </w:rPr>
        <w:t>Gender segregation in job type;</w:t>
      </w:r>
    </w:p>
    <w:p w14:paraId="0A079889" w14:textId="77777777" w:rsidR="00405CA1" w:rsidRPr="003F264A" w:rsidRDefault="00405CA1" w:rsidP="000F6998">
      <w:pPr>
        <w:pStyle w:val="ListParagraph"/>
        <w:numPr>
          <w:ilvl w:val="0"/>
          <w:numId w:val="36"/>
        </w:numPr>
        <w:tabs>
          <w:tab w:val="num" w:pos="360"/>
        </w:tabs>
        <w:spacing w:before="240" w:after="0" w:afterAutospacing="1" w:line="240" w:lineRule="auto"/>
        <w:jc w:val="both"/>
        <w:rPr>
          <w:rFonts w:eastAsia="Times New Roman" w:cstheme="minorHAnsi"/>
          <w:color w:val="000000"/>
          <w:lang w:eastAsia="en-AU"/>
        </w:rPr>
      </w:pPr>
      <w:r w:rsidRPr="003F264A">
        <w:rPr>
          <w:rFonts w:eastAsia="Times New Roman" w:cstheme="minorHAnsi"/>
          <w:color w:val="000000"/>
          <w:lang w:eastAsia="en-AU"/>
        </w:rPr>
        <w:t xml:space="preserve">Gender discrimination; and </w:t>
      </w:r>
    </w:p>
    <w:p w14:paraId="60736E60" w14:textId="77777777" w:rsidR="00405CA1" w:rsidRPr="00FE5575" w:rsidRDefault="00405CA1" w:rsidP="000F6998">
      <w:pPr>
        <w:pStyle w:val="ListParagraph"/>
        <w:numPr>
          <w:ilvl w:val="0"/>
          <w:numId w:val="36"/>
        </w:numPr>
        <w:tabs>
          <w:tab w:val="num" w:pos="360"/>
        </w:tabs>
        <w:spacing w:before="240" w:after="0" w:afterAutospacing="1" w:line="240" w:lineRule="auto"/>
        <w:jc w:val="both"/>
        <w:rPr>
          <w:rFonts w:eastAsia="Times New Roman" w:cstheme="minorHAnsi"/>
          <w:color w:val="000000"/>
          <w:lang w:eastAsia="en-AU"/>
        </w:rPr>
      </w:pPr>
      <w:r w:rsidRPr="003F264A">
        <w:rPr>
          <w:rFonts w:eastAsia="Times New Roman" w:cstheme="minorHAnsi"/>
          <w:color w:val="000000"/>
          <w:lang w:eastAsia="en-AU"/>
        </w:rPr>
        <w:t>Care, family responsibilities and workforce participation</w:t>
      </w:r>
      <w:r w:rsidRPr="003F264A">
        <w:rPr>
          <w:rFonts w:eastAsia="Times New Roman" w:cstheme="minorHAnsi"/>
          <w:color w:val="000000"/>
          <w:sz w:val="24"/>
          <w:szCs w:val="24"/>
          <w:lang w:eastAsia="en-AU"/>
        </w:rPr>
        <w:t>.</w:t>
      </w:r>
    </w:p>
    <w:p w14:paraId="475E31F7" w14:textId="77777777" w:rsidR="00FE5575" w:rsidRPr="00FE5575" w:rsidRDefault="00FE5575" w:rsidP="000F6998">
      <w:pPr>
        <w:spacing w:before="240" w:after="0" w:afterAutospacing="1" w:line="240" w:lineRule="auto"/>
        <w:jc w:val="both"/>
        <w:rPr>
          <w:rFonts w:eastAsia="Times New Roman" w:cstheme="minorHAnsi"/>
          <w:color w:val="000000"/>
          <w:lang w:eastAsia="en-AU"/>
        </w:rPr>
      </w:pPr>
      <w:r>
        <w:rPr>
          <w:lang w:eastAsia="en-AU"/>
        </w:rPr>
        <w:t xml:space="preserve">These drivers cover a number of </w:t>
      </w:r>
      <w:r w:rsidR="00644DF5">
        <w:rPr>
          <w:lang w:eastAsia="en-AU"/>
        </w:rPr>
        <w:t>labour force challenges</w:t>
      </w:r>
      <w:r>
        <w:rPr>
          <w:lang w:eastAsia="en-AU"/>
        </w:rPr>
        <w:t>, social and cultural co</w:t>
      </w:r>
      <w:r w:rsidR="00644DF5">
        <w:rPr>
          <w:lang w:eastAsia="en-AU"/>
        </w:rPr>
        <w:t>mplexities and family dynamics. Addressing the problem of gender inequality in the workplace is a complex undertaking that requires a multi-faceted solution.</w:t>
      </w:r>
    </w:p>
    <w:p w14:paraId="03AFA973" w14:textId="77777777" w:rsidR="00EA5B18" w:rsidRPr="003F264A" w:rsidRDefault="00EA5B18" w:rsidP="000F6998">
      <w:pPr>
        <w:jc w:val="both"/>
        <w:rPr>
          <w:rFonts w:cstheme="minorHAnsi"/>
        </w:rPr>
      </w:pPr>
      <w:r w:rsidRPr="003F264A">
        <w:rPr>
          <w:rFonts w:cstheme="minorHAnsi"/>
        </w:rPr>
        <w:t>Accelerating progress on gender equality has many benefits for Australian workplaces. Businesses currently miss out on productivity enhancements, access to the best candidates and increased profits due to current levels of gender inequality.</w:t>
      </w:r>
      <w:r w:rsidR="00051FC6" w:rsidRPr="003F264A">
        <w:rPr>
          <w:rFonts w:cstheme="minorHAnsi"/>
        </w:rPr>
        <w:t xml:space="preserve"> This foregone income and productivity also has negative ramifications for the economy and government.</w:t>
      </w:r>
      <w:r w:rsidRPr="003F264A">
        <w:rPr>
          <w:rFonts w:cstheme="minorHAnsi"/>
        </w:rPr>
        <w:t xml:space="preserve"> </w:t>
      </w:r>
    </w:p>
    <w:p w14:paraId="050456A8" w14:textId="77777777" w:rsidR="00E623D4" w:rsidRPr="003F264A" w:rsidRDefault="00E623D4" w:rsidP="000F6998">
      <w:pPr>
        <w:pStyle w:val="Heading2"/>
        <w:jc w:val="both"/>
        <w:rPr>
          <w:rFonts w:asciiTheme="minorHAnsi" w:hAnsiTheme="minorHAnsi" w:cstheme="minorHAnsi"/>
        </w:rPr>
      </w:pPr>
      <w:bookmarkStart w:id="12" w:name="_Toc118794710"/>
      <w:bookmarkStart w:id="13" w:name="_Toc125714685"/>
      <w:r w:rsidRPr="003F264A">
        <w:rPr>
          <w:rFonts w:asciiTheme="minorHAnsi" w:hAnsiTheme="minorHAnsi" w:cstheme="minorHAnsi"/>
        </w:rPr>
        <w:t>3.</w:t>
      </w:r>
      <w:r w:rsidR="009D18CC" w:rsidRPr="003F264A">
        <w:rPr>
          <w:rFonts w:asciiTheme="minorHAnsi" w:hAnsiTheme="minorHAnsi" w:cstheme="minorHAnsi"/>
        </w:rPr>
        <w:t>1</w:t>
      </w:r>
      <w:r w:rsidRPr="003F264A">
        <w:rPr>
          <w:rFonts w:asciiTheme="minorHAnsi" w:hAnsiTheme="minorHAnsi" w:cstheme="minorHAnsi"/>
        </w:rPr>
        <w:t xml:space="preserve"> Current Government approach to addressing workplace gender inequality</w:t>
      </w:r>
      <w:bookmarkEnd w:id="12"/>
      <w:bookmarkEnd w:id="13"/>
    </w:p>
    <w:p w14:paraId="127D0F26" w14:textId="76E15179" w:rsidR="00E623D4" w:rsidRDefault="00E623D4" w:rsidP="000F6998">
      <w:pPr>
        <w:jc w:val="both"/>
        <w:rPr>
          <w:rFonts w:cstheme="minorHAnsi"/>
        </w:rPr>
      </w:pPr>
      <w:r w:rsidRPr="003F264A">
        <w:rPr>
          <w:rFonts w:cstheme="minorHAnsi"/>
        </w:rPr>
        <w:t xml:space="preserve">WGEA has </w:t>
      </w:r>
      <w:r w:rsidR="008A7495">
        <w:rPr>
          <w:rFonts w:cstheme="minorHAnsi"/>
        </w:rPr>
        <w:t>contributed</w:t>
      </w:r>
      <w:r w:rsidRPr="003F264A">
        <w:rPr>
          <w:rFonts w:cstheme="minorHAnsi"/>
        </w:rPr>
        <w:t xml:space="preserve"> to reducing the gender pay gap in Australia in the last decade through its work as an educator, influencer and regulator. Australia’s national gender pay gap has been slowly reducing since the establishment of WGEA in 2012 (with the gender pay gap hovering between 13 per cent and 19 per cent</w:t>
      </w:r>
      <w:r w:rsidR="004C2059">
        <w:rPr>
          <w:rFonts w:cstheme="minorHAnsi"/>
        </w:rPr>
        <w:t>, as seen in the graph below</w:t>
      </w:r>
      <w:r w:rsidRPr="003F264A">
        <w:rPr>
          <w:rFonts w:cstheme="minorHAnsi"/>
        </w:rPr>
        <w:t>).</w:t>
      </w:r>
      <w:r w:rsidRPr="003F264A">
        <w:rPr>
          <w:rStyle w:val="FootnoteReference"/>
          <w:rFonts w:cstheme="minorHAnsi"/>
        </w:rPr>
        <w:footnoteReference w:id="39"/>
      </w:r>
      <w:r w:rsidRPr="003F264A">
        <w:rPr>
          <w:rFonts w:cstheme="minorHAnsi"/>
        </w:rPr>
        <w:t xml:space="preserve"> </w:t>
      </w:r>
    </w:p>
    <w:p w14:paraId="62BAED69" w14:textId="57AA8B07" w:rsidR="007E744B" w:rsidRPr="003F264A" w:rsidRDefault="00FE5AC3" w:rsidP="000F6998">
      <w:pPr>
        <w:jc w:val="both"/>
        <w:rPr>
          <w:rFonts w:cstheme="minorHAnsi"/>
        </w:rPr>
      </w:pPr>
      <w:r>
        <w:rPr>
          <w:noProof/>
          <w:lang w:eastAsia="en-AU"/>
        </w:rPr>
        <w:drawing>
          <wp:anchor distT="0" distB="0" distL="114300" distR="114300" simplePos="0" relativeHeight="251658260" behindDoc="0" locked="0" layoutInCell="1" allowOverlap="0" wp14:anchorId="346B4350" wp14:editId="0453E968">
            <wp:simplePos x="0" y="0"/>
            <wp:positionH relativeFrom="margin">
              <wp:align>center</wp:align>
            </wp:positionH>
            <wp:positionV relativeFrom="paragraph">
              <wp:posOffset>8010</wp:posOffset>
            </wp:positionV>
            <wp:extent cx="4914000" cy="3484800"/>
            <wp:effectExtent l="0" t="0" r="127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914000" cy="348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2059">
        <w:rPr>
          <w:rFonts w:cstheme="minorHAnsi"/>
          <w:noProof/>
          <w:lang w:eastAsia="en-AU"/>
        </w:rPr>
        <mc:AlternateContent>
          <mc:Choice Requires="wps">
            <w:drawing>
              <wp:anchor distT="45720" distB="45720" distL="114300" distR="114300" simplePos="0" relativeHeight="251658257" behindDoc="1" locked="0" layoutInCell="1" allowOverlap="1" wp14:anchorId="323C6FDB" wp14:editId="3412E11D">
                <wp:simplePos x="0" y="0"/>
                <wp:positionH relativeFrom="margin">
                  <wp:posOffset>-68335</wp:posOffset>
                </wp:positionH>
                <wp:positionV relativeFrom="page">
                  <wp:posOffset>4513189</wp:posOffset>
                </wp:positionV>
                <wp:extent cx="5835015" cy="276225"/>
                <wp:effectExtent l="0" t="0" r="0" b="9525"/>
                <wp:wrapTight wrapText="bothSides">
                  <wp:wrapPolygon edited="0">
                    <wp:start x="0" y="0"/>
                    <wp:lineTo x="0" y="20855"/>
                    <wp:lineTo x="21508" y="20855"/>
                    <wp:lineTo x="21508"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76225"/>
                        </a:xfrm>
                        <a:prstGeom prst="rect">
                          <a:avLst/>
                        </a:prstGeom>
                        <a:solidFill>
                          <a:srgbClr val="FFFFFF"/>
                        </a:solidFill>
                        <a:ln w="9525">
                          <a:noFill/>
                          <a:miter lim="800000"/>
                          <a:headEnd/>
                          <a:tailEnd/>
                        </a:ln>
                      </wps:spPr>
                      <wps:txbx>
                        <w:txbxContent>
                          <w:p w14:paraId="2D606B52" w14:textId="76B6B158" w:rsidR="00D073EC" w:rsidRPr="00FE5AC3" w:rsidRDefault="00D073EC" w:rsidP="00FE5AC3">
                            <w:pPr>
                              <w:jc w:val="center"/>
                              <w:rPr>
                                <w:b/>
                              </w:rPr>
                            </w:pPr>
                            <w:r w:rsidRPr="00FE5AC3">
                              <w:rPr>
                                <w:b/>
                              </w:rPr>
                              <w:t xml:space="preserve">Figure </w:t>
                            </w:r>
                            <w:r>
                              <w:rPr>
                                <w:b/>
                              </w:rPr>
                              <w:t>2</w:t>
                            </w:r>
                            <w:r w:rsidRPr="00FE5AC3">
                              <w:rPr>
                                <w:b/>
                              </w:rPr>
                              <w:t xml:space="preserve">: </w:t>
                            </w:r>
                            <w:r>
                              <w:rPr>
                                <w:b/>
                              </w:rPr>
                              <w:t>The Australian Gender Pay Gap Over Time, May 2012 – May 2022 (seasonally adjusted) adjsadjusted)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C6FDB" id="_x0000_s1029" type="#_x0000_t202" style="position:absolute;left:0;text-align:left;margin-left:-5.4pt;margin-top:355.35pt;width:459.45pt;height:21.75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" stroked="f">
                <v:textbox>
                  <w:txbxContent>
                    <w:p w14:paraId="2D606B52" w14:textId="76B6B158" w:rsidR="00D073EC" w:rsidRPr="00FE5AC3" w:rsidRDefault="00D073EC" w:rsidP="00FE5AC3">
                      <w:pPr>
                        <w:jc w:val="center"/>
                        <w:rPr>
                          <w:b/>
                        </w:rPr>
                      </w:pPr>
                      <w:r w:rsidRPr="00FE5AC3">
                        <w:rPr>
                          <w:b/>
                        </w:rPr>
                        <w:t xml:space="preserve">Figure </w:t>
                      </w:r>
                      <w:r>
                        <w:rPr>
                          <w:b/>
                        </w:rPr>
                        <w:t>2</w:t>
                      </w:r>
                      <w:r w:rsidRPr="00FE5AC3">
                        <w:rPr>
                          <w:b/>
                        </w:rPr>
                        <w:t xml:space="preserve">: </w:t>
                      </w:r>
                      <w:r>
                        <w:rPr>
                          <w:b/>
                        </w:rPr>
                        <w:t>The Australian Gender Pay Gap Over Time, May 2012 – May 2022 (seasonally adjusted) adjsadjusted)</w:t>
                      </w:r>
                    </w:p>
                  </w:txbxContent>
                </v:textbox>
                <w10:wrap type="tight" anchorx="margin" anchory="page"/>
              </v:shape>
            </w:pict>
          </mc:Fallback>
        </mc:AlternateContent>
      </w:r>
    </w:p>
    <w:p w14:paraId="07C1A581" w14:textId="77777777" w:rsidR="00F0724B" w:rsidRDefault="00F0724B" w:rsidP="000F6998">
      <w:pPr>
        <w:jc w:val="both"/>
        <w:rPr>
          <w:rFonts w:cstheme="minorHAnsi"/>
        </w:rPr>
      </w:pPr>
    </w:p>
    <w:p w14:paraId="387E6158" w14:textId="77777777" w:rsidR="00F0724B" w:rsidRDefault="00F0724B" w:rsidP="000F6998">
      <w:pPr>
        <w:jc w:val="both"/>
        <w:rPr>
          <w:rFonts w:cstheme="minorHAnsi"/>
        </w:rPr>
      </w:pPr>
    </w:p>
    <w:p w14:paraId="5EF3B47F" w14:textId="77777777" w:rsidR="00F0724B" w:rsidRDefault="00F0724B" w:rsidP="000F6998">
      <w:pPr>
        <w:jc w:val="both"/>
        <w:rPr>
          <w:rFonts w:cstheme="minorHAnsi"/>
        </w:rPr>
      </w:pPr>
    </w:p>
    <w:p w14:paraId="3ADEC011" w14:textId="77777777" w:rsidR="00F0724B" w:rsidRDefault="00F0724B" w:rsidP="000F6998">
      <w:pPr>
        <w:jc w:val="both"/>
        <w:rPr>
          <w:rFonts w:cstheme="minorHAnsi"/>
        </w:rPr>
      </w:pPr>
    </w:p>
    <w:p w14:paraId="5D06FD89" w14:textId="77777777" w:rsidR="00F0724B" w:rsidRDefault="00F0724B" w:rsidP="000F6998">
      <w:pPr>
        <w:jc w:val="both"/>
        <w:rPr>
          <w:rFonts w:cstheme="minorHAnsi"/>
        </w:rPr>
      </w:pPr>
    </w:p>
    <w:p w14:paraId="5DB35D4F" w14:textId="77777777" w:rsidR="00F0724B" w:rsidRDefault="00F0724B" w:rsidP="000F6998">
      <w:pPr>
        <w:jc w:val="both"/>
        <w:rPr>
          <w:rFonts w:cstheme="minorHAnsi"/>
        </w:rPr>
      </w:pPr>
    </w:p>
    <w:p w14:paraId="6B4142A5" w14:textId="77777777" w:rsidR="00F0724B" w:rsidRDefault="00F0724B" w:rsidP="000F6998">
      <w:pPr>
        <w:jc w:val="both"/>
        <w:rPr>
          <w:rFonts w:cstheme="minorHAnsi"/>
        </w:rPr>
      </w:pPr>
    </w:p>
    <w:p w14:paraId="52DC2F29" w14:textId="77777777" w:rsidR="00F0724B" w:rsidRDefault="00F0724B" w:rsidP="000F6998">
      <w:pPr>
        <w:jc w:val="both"/>
        <w:rPr>
          <w:rFonts w:cstheme="minorHAnsi"/>
        </w:rPr>
      </w:pPr>
    </w:p>
    <w:p w14:paraId="378FFFC5" w14:textId="77777777" w:rsidR="00F0724B" w:rsidRDefault="00F0724B" w:rsidP="000F6998">
      <w:pPr>
        <w:jc w:val="both"/>
        <w:rPr>
          <w:rFonts w:cstheme="minorHAnsi"/>
        </w:rPr>
      </w:pPr>
    </w:p>
    <w:p w14:paraId="169F5CA2" w14:textId="77777777" w:rsidR="00F0724B" w:rsidRDefault="00F0724B" w:rsidP="000F6998">
      <w:pPr>
        <w:jc w:val="both"/>
        <w:rPr>
          <w:rFonts w:cstheme="minorHAnsi"/>
        </w:rPr>
      </w:pPr>
    </w:p>
    <w:p w14:paraId="5A1C4656" w14:textId="77777777" w:rsidR="00F0724B" w:rsidRDefault="00F0724B" w:rsidP="000F6998">
      <w:pPr>
        <w:jc w:val="both"/>
        <w:rPr>
          <w:rFonts w:cstheme="minorHAnsi"/>
        </w:rPr>
      </w:pPr>
    </w:p>
    <w:p w14:paraId="3832AF5C" w14:textId="0B5E4116" w:rsidR="00E623D4" w:rsidRPr="003F264A" w:rsidRDefault="00DA77ED" w:rsidP="000F6998">
      <w:pPr>
        <w:jc w:val="both"/>
        <w:rPr>
          <w:rFonts w:cstheme="minorHAnsi"/>
        </w:rPr>
      </w:pPr>
      <w:r>
        <w:rPr>
          <w:rFonts w:cstheme="minorHAnsi"/>
        </w:rPr>
        <w:t>W</w:t>
      </w:r>
      <w:r w:rsidRPr="00DA77ED">
        <w:rPr>
          <w:rFonts w:cstheme="minorHAnsi"/>
        </w:rPr>
        <w:t>hile there are a number of factors contributing to this decline</w:t>
      </w:r>
      <w:r>
        <w:rPr>
          <w:rFonts w:cstheme="minorHAnsi"/>
        </w:rPr>
        <w:t>, the</w:t>
      </w:r>
      <w:r w:rsidRPr="00DA77ED">
        <w:rPr>
          <w:rFonts w:cstheme="minorHAnsi"/>
        </w:rPr>
        <w:t xml:space="preserve"> </w:t>
      </w:r>
      <w:r w:rsidR="00E623D4" w:rsidRPr="003F264A">
        <w:rPr>
          <w:rFonts w:cstheme="minorHAnsi"/>
        </w:rPr>
        <w:t xml:space="preserve">WGEA dataset is world-leading and gives a high-level picture of the progress being made on gender equality in workplaces over the years. In a survey conducted by </w:t>
      </w:r>
      <w:r w:rsidR="00621080">
        <w:rPr>
          <w:rFonts w:cstheme="minorHAnsi"/>
        </w:rPr>
        <w:t>DCA</w:t>
      </w:r>
      <w:r w:rsidR="0043263F" w:rsidRPr="003F264A">
        <w:rPr>
          <w:rFonts w:cstheme="minorHAnsi"/>
        </w:rPr>
        <w:t>,</w:t>
      </w:r>
      <w:r w:rsidR="00E623D4" w:rsidRPr="003F264A">
        <w:rPr>
          <w:rFonts w:cstheme="minorHAnsi"/>
        </w:rPr>
        <w:t xml:space="preserve"> almost two thirds (65 per cent) of respondents agreed or strongly agreed that reporting to WGEA helped them to understand gender equality in their workforce.</w:t>
      </w:r>
      <w:r w:rsidR="00E623D4" w:rsidRPr="003F264A">
        <w:rPr>
          <w:rStyle w:val="FootnoteReference"/>
          <w:rFonts w:cstheme="minorHAnsi"/>
        </w:rPr>
        <w:footnoteReference w:id="40"/>
      </w:r>
      <w:r w:rsidR="005F51B9">
        <w:rPr>
          <w:rFonts w:cstheme="minorHAnsi"/>
        </w:rPr>
        <w:t xml:space="preserve"> </w:t>
      </w:r>
    </w:p>
    <w:p w14:paraId="0B7E2A93" w14:textId="010CF4A7" w:rsidR="00E623D4" w:rsidRDefault="00E623D4" w:rsidP="000F6998">
      <w:pPr>
        <w:jc w:val="both"/>
        <w:rPr>
          <w:rFonts w:cstheme="minorHAnsi"/>
        </w:rPr>
      </w:pPr>
      <w:r w:rsidRPr="003F264A">
        <w:rPr>
          <w:rFonts w:cstheme="minorHAnsi"/>
        </w:rPr>
        <w:t xml:space="preserve">WGEA’s central role in working to achieve gender equality is complemented by other Government initiatives aimed at ensuring women’s economic </w:t>
      </w:r>
      <w:r w:rsidR="004319C3">
        <w:rPr>
          <w:rFonts w:cstheme="minorHAnsi"/>
        </w:rPr>
        <w:t>equality</w:t>
      </w:r>
      <w:r w:rsidR="004319C3" w:rsidRPr="003F264A">
        <w:rPr>
          <w:rFonts w:cstheme="minorHAnsi"/>
        </w:rPr>
        <w:t xml:space="preserve"> </w:t>
      </w:r>
      <w:r w:rsidRPr="003F264A">
        <w:rPr>
          <w:rFonts w:cstheme="minorHAnsi"/>
        </w:rPr>
        <w:t>and broader wellbeing. Many of these initiatives are overseen by the Office for Women</w:t>
      </w:r>
      <w:r w:rsidR="004D64F1" w:rsidRPr="003F264A">
        <w:rPr>
          <w:rFonts w:cstheme="minorHAnsi"/>
        </w:rPr>
        <w:t xml:space="preserve"> (</w:t>
      </w:r>
      <w:r w:rsidR="004319C3" w:rsidRPr="003F264A">
        <w:rPr>
          <w:rFonts w:cstheme="minorHAnsi"/>
        </w:rPr>
        <w:t>O</w:t>
      </w:r>
      <w:r w:rsidR="004319C3">
        <w:rPr>
          <w:rFonts w:cstheme="minorHAnsi"/>
        </w:rPr>
        <w:t>F</w:t>
      </w:r>
      <w:r w:rsidR="004319C3" w:rsidRPr="003F264A">
        <w:rPr>
          <w:rFonts w:cstheme="minorHAnsi"/>
        </w:rPr>
        <w:t>W</w:t>
      </w:r>
      <w:r w:rsidR="004319C3">
        <w:rPr>
          <w:rFonts w:cstheme="minorHAnsi"/>
        </w:rPr>
        <w:t>)</w:t>
      </w:r>
      <w:r w:rsidR="007B05C1">
        <w:rPr>
          <w:rFonts w:cstheme="minorHAnsi"/>
        </w:rPr>
        <w:t xml:space="preserve"> </w:t>
      </w:r>
      <w:r w:rsidRPr="003F264A">
        <w:rPr>
          <w:rFonts w:cstheme="minorHAnsi"/>
        </w:rPr>
        <w:t xml:space="preserve">and other departments. </w:t>
      </w:r>
    </w:p>
    <w:p w14:paraId="02340E31" w14:textId="5485B354" w:rsidR="005F51B9" w:rsidRPr="005F51B9" w:rsidRDefault="005F51B9" w:rsidP="000F6998">
      <w:pPr>
        <w:jc w:val="both"/>
        <w:rPr>
          <w:rFonts w:cstheme="minorHAnsi"/>
        </w:rPr>
      </w:pPr>
      <w:r w:rsidRPr="005F51B9">
        <w:rPr>
          <w:rFonts w:cstheme="minorHAnsi"/>
        </w:rPr>
        <w:t>The Government will introduce a National Strategy to Achieve Gender Equality to guide whole of government actions to achieve gender equality and help achieve our goal of being one of the best countries in the world for equality between women and men. The National Strategy will be developed by the OFW, led by the Government and will provide the roadmap for whole-of-community action. It will also act as an authorising framework for changes to policy and budgeting systems required to drive gender equality across Australia.</w:t>
      </w:r>
      <w:r>
        <w:rPr>
          <w:rFonts w:cstheme="minorHAnsi"/>
        </w:rPr>
        <w:t xml:space="preserve"> </w:t>
      </w:r>
      <w:r w:rsidRPr="005F51B9">
        <w:rPr>
          <w:rFonts w:cstheme="minorHAnsi"/>
        </w:rPr>
        <w:t>The National Strategy will focus on women’s economic equality and independence; leadership, representation and rights; balancing family and care responsibilities; and health and wellbeing.</w:t>
      </w:r>
    </w:p>
    <w:p w14:paraId="2211178A" w14:textId="77777777" w:rsidR="00E623D4" w:rsidRPr="003F264A" w:rsidRDefault="00E623D4" w:rsidP="000F6998">
      <w:pPr>
        <w:jc w:val="both"/>
        <w:rPr>
          <w:rFonts w:cstheme="minorHAnsi"/>
        </w:rPr>
      </w:pPr>
      <w:r w:rsidRPr="003F264A">
        <w:rPr>
          <w:rFonts w:cstheme="minorHAnsi"/>
        </w:rPr>
        <w:t>In the October 2022-23 Budget, the Government committed</w:t>
      </w:r>
      <w:r w:rsidR="00CE2ED3" w:rsidRPr="003F264A">
        <w:rPr>
          <w:rFonts w:cstheme="minorHAnsi"/>
        </w:rPr>
        <w:t xml:space="preserve"> to</w:t>
      </w:r>
      <w:r w:rsidRPr="003F264A">
        <w:rPr>
          <w:rFonts w:cstheme="minorHAnsi"/>
        </w:rPr>
        <w:t xml:space="preserve"> initiatives to support women’s economic </w:t>
      </w:r>
      <w:r w:rsidR="004319C3">
        <w:rPr>
          <w:rFonts w:cstheme="minorHAnsi"/>
        </w:rPr>
        <w:t>equality</w:t>
      </w:r>
      <w:r w:rsidRPr="003F264A">
        <w:rPr>
          <w:rFonts w:cstheme="minorHAnsi"/>
        </w:rPr>
        <w:t>, including:</w:t>
      </w:r>
      <w:r w:rsidRPr="003F264A">
        <w:rPr>
          <w:rStyle w:val="FootnoteReference"/>
          <w:rFonts w:cstheme="minorHAnsi"/>
        </w:rPr>
        <w:footnoteReference w:id="41"/>
      </w:r>
    </w:p>
    <w:p w14:paraId="04C0C349" w14:textId="77777777" w:rsidR="00E623D4" w:rsidRPr="003F264A" w:rsidRDefault="00E623D4" w:rsidP="000F6998">
      <w:pPr>
        <w:pStyle w:val="ListParagraph"/>
        <w:numPr>
          <w:ilvl w:val="0"/>
          <w:numId w:val="20"/>
        </w:numPr>
        <w:jc w:val="both"/>
        <w:rPr>
          <w:rFonts w:cstheme="minorHAnsi"/>
        </w:rPr>
      </w:pPr>
      <w:r w:rsidRPr="003F264A">
        <w:rPr>
          <w:rFonts w:cstheme="minorHAnsi"/>
        </w:rPr>
        <w:t xml:space="preserve">$4.7 billion over </w:t>
      </w:r>
      <w:r w:rsidR="00CE2ED3" w:rsidRPr="003F264A">
        <w:rPr>
          <w:rFonts w:cstheme="minorHAnsi"/>
        </w:rPr>
        <w:t>four</w:t>
      </w:r>
      <w:r w:rsidRPr="003F264A">
        <w:rPr>
          <w:rFonts w:cstheme="minorHAnsi"/>
        </w:rPr>
        <w:t xml:space="preserve"> years in early childhood education and care;</w:t>
      </w:r>
    </w:p>
    <w:p w14:paraId="721069D5" w14:textId="77777777" w:rsidR="00E623D4" w:rsidRDefault="00E623D4" w:rsidP="000F6998">
      <w:pPr>
        <w:pStyle w:val="ListParagraph"/>
        <w:numPr>
          <w:ilvl w:val="0"/>
          <w:numId w:val="20"/>
        </w:numPr>
        <w:jc w:val="both"/>
        <w:rPr>
          <w:rFonts w:cstheme="minorHAnsi"/>
        </w:rPr>
      </w:pPr>
      <w:r w:rsidRPr="003F264A">
        <w:rPr>
          <w:rFonts w:cstheme="minorHAnsi"/>
        </w:rPr>
        <w:t>$531.6 million to expand the Paid Parental Leave scheme</w:t>
      </w:r>
      <w:r w:rsidR="0043263F" w:rsidRPr="003F264A">
        <w:rPr>
          <w:rFonts w:cstheme="minorHAnsi"/>
        </w:rPr>
        <w:t>.</w:t>
      </w:r>
    </w:p>
    <w:p w14:paraId="7AB917EC" w14:textId="33AD9D2D" w:rsidR="007E744B" w:rsidRPr="00CF5067" w:rsidRDefault="00152BC4" w:rsidP="000F6998">
      <w:pPr>
        <w:jc w:val="both"/>
        <w:rPr>
          <w:rFonts w:cstheme="minorHAnsi"/>
        </w:rPr>
      </w:pPr>
      <w:r>
        <w:t>These initiatives will help to close the gender pay gap and support workplace gender equality more broadly (for example, Treasury has estimated</w:t>
      </w:r>
      <w:r w:rsidRPr="00152BC4">
        <w:t xml:space="preserve"> </w:t>
      </w:r>
      <w:r>
        <w:t>the Government’s plan for Cheaper Child Care</w:t>
      </w:r>
      <w:r w:rsidRPr="00152BC4">
        <w:t xml:space="preserve"> will increase the hours worked by women with young children by </w:t>
      </w:r>
      <w:r w:rsidR="004353B9">
        <w:t>1.4 million hours per week in 2023</w:t>
      </w:r>
      <w:r w:rsidR="004353B9">
        <w:noBreakHyphen/>
      </w:r>
      <w:r w:rsidRPr="00152BC4">
        <w:t>24</w:t>
      </w:r>
      <w:r>
        <w:rPr>
          <w:rStyle w:val="FootnoteReference"/>
        </w:rPr>
        <w:footnoteReference w:id="42"/>
      </w:r>
      <w:r>
        <w:t>)</w:t>
      </w:r>
      <w:r w:rsidRPr="00152BC4">
        <w:t>.</w:t>
      </w:r>
      <w:r>
        <w:t xml:space="preserve"> However, more needs to be done</w:t>
      </w:r>
      <w:r w:rsidR="00975F1E">
        <w:t xml:space="preserve"> to </w:t>
      </w:r>
      <w:r w:rsidR="00842877">
        <w:t>achieve equality</w:t>
      </w:r>
      <w:r>
        <w:t xml:space="preserve">. </w:t>
      </w:r>
    </w:p>
    <w:p w14:paraId="29D7A934" w14:textId="77777777" w:rsidR="00E623D4" w:rsidRPr="003F264A" w:rsidRDefault="00E623D4" w:rsidP="000F6998">
      <w:pPr>
        <w:pStyle w:val="Heading2"/>
        <w:jc w:val="both"/>
        <w:rPr>
          <w:rFonts w:asciiTheme="minorHAnsi" w:hAnsiTheme="minorHAnsi" w:cstheme="minorHAnsi"/>
        </w:rPr>
      </w:pPr>
      <w:bookmarkStart w:id="14" w:name="_Toc118794711"/>
      <w:bookmarkStart w:id="15" w:name="_Toc125714686"/>
      <w:r w:rsidRPr="003F264A">
        <w:rPr>
          <w:rFonts w:asciiTheme="minorHAnsi" w:hAnsiTheme="minorHAnsi" w:cstheme="minorHAnsi"/>
        </w:rPr>
        <w:t>3.</w:t>
      </w:r>
      <w:r w:rsidR="009D18CC" w:rsidRPr="003F264A">
        <w:rPr>
          <w:rFonts w:asciiTheme="minorHAnsi" w:hAnsiTheme="minorHAnsi" w:cstheme="minorHAnsi"/>
        </w:rPr>
        <w:t>2</w:t>
      </w:r>
      <w:r w:rsidRPr="003F264A">
        <w:rPr>
          <w:rFonts w:asciiTheme="minorHAnsi" w:hAnsiTheme="minorHAnsi" w:cstheme="minorHAnsi"/>
        </w:rPr>
        <w:t xml:space="preserve"> Elements of the Problem</w:t>
      </w:r>
      <w:bookmarkEnd w:id="14"/>
      <w:bookmarkEnd w:id="15"/>
    </w:p>
    <w:p w14:paraId="5182FC18" w14:textId="77777777" w:rsidR="00FB3BDC" w:rsidRPr="003F264A" w:rsidRDefault="004B2D21" w:rsidP="000F6998">
      <w:pPr>
        <w:jc w:val="both"/>
        <w:rPr>
          <w:rFonts w:cstheme="minorHAnsi"/>
        </w:rPr>
      </w:pPr>
      <w:r w:rsidRPr="003F264A">
        <w:rPr>
          <w:rFonts w:cstheme="minorHAnsi"/>
        </w:rPr>
        <w:t>The gender pay gap not only has implications for the lives of women across Australia</w:t>
      </w:r>
      <w:r w:rsidR="005E6C92" w:rsidRPr="003F264A">
        <w:rPr>
          <w:rFonts w:cstheme="minorHAnsi"/>
        </w:rPr>
        <w:t>,</w:t>
      </w:r>
      <w:r w:rsidRPr="003F264A">
        <w:rPr>
          <w:rFonts w:cstheme="minorHAnsi"/>
        </w:rPr>
        <w:t xml:space="preserve"> but also impacts </w:t>
      </w:r>
      <w:r w:rsidR="001E3C51" w:rsidRPr="003F264A">
        <w:rPr>
          <w:rFonts w:cstheme="minorHAnsi"/>
        </w:rPr>
        <w:t xml:space="preserve">on firms and on </w:t>
      </w:r>
      <w:r w:rsidRPr="003F264A">
        <w:rPr>
          <w:rFonts w:cstheme="minorHAnsi"/>
        </w:rPr>
        <w:t>the Australian economy</w:t>
      </w:r>
      <w:r w:rsidR="001E3C51" w:rsidRPr="003F264A">
        <w:rPr>
          <w:rFonts w:cstheme="minorHAnsi"/>
        </w:rPr>
        <w:t xml:space="preserve"> more broadly</w:t>
      </w:r>
      <w:r w:rsidRPr="003F264A">
        <w:rPr>
          <w:rFonts w:cstheme="minorHAnsi"/>
        </w:rPr>
        <w:t xml:space="preserve">. </w:t>
      </w:r>
      <w:r w:rsidR="00FB3BDC" w:rsidRPr="003F264A">
        <w:rPr>
          <w:rFonts w:cstheme="minorHAnsi"/>
        </w:rPr>
        <w:t xml:space="preserve">Individual women are impacted throughout their working lives by the gender pay gap and gender inequality. WGEA and </w:t>
      </w:r>
      <w:r w:rsidR="0071132A" w:rsidRPr="003F264A">
        <w:rPr>
          <w:rFonts w:cstheme="minorHAnsi"/>
        </w:rPr>
        <w:t>ABS</w:t>
      </w:r>
      <w:r w:rsidR="00FB3BDC" w:rsidRPr="003F264A">
        <w:rPr>
          <w:rFonts w:cstheme="minorHAnsi"/>
        </w:rPr>
        <w:t xml:space="preserve"> data show a gender pay gap favouring full-time working men over full-time working women in all industries across Australia.</w:t>
      </w:r>
      <w:r w:rsidR="00FB3BDC" w:rsidRPr="003F264A">
        <w:rPr>
          <w:rStyle w:val="FootnoteReference"/>
          <w:rFonts w:cstheme="minorHAnsi"/>
        </w:rPr>
        <w:footnoteReference w:id="43"/>
      </w:r>
      <w:r w:rsidR="00FB3BDC" w:rsidRPr="003F264A">
        <w:rPr>
          <w:rFonts w:cstheme="minorHAnsi"/>
        </w:rPr>
        <w:t xml:space="preserve"> </w:t>
      </w:r>
    </w:p>
    <w:p w14:paraId="175BF79A" w14:textId="61F73238" w:rsidR="004B2D21" w:rsidRPr="003F264A" w:rsidRDefault="001E3C51" w:rsidP="000F6998">
      <w:pPr>
        <w:jc w:val="both"/>
        <w:rPr>
          <w:rFonts w:cstheme="minorHAnsi"/>
        </w:rPr>
      </w:pPr>
      <w:r w:rsidRPr="003F264A">
        <w:rPr>
          <w:rFonts w:cstheme="minorHAnsi"/>
        </w:rPr>
        <w:t xml:space="preserve">Closing the gender pay gap provides opportunities for firms to attract and retain </w:t>
      </w:r>
      <w:r w:rsidR="00CE2ED3" w:rsidRPr="003F264A">
        <w:rPr>
          <w:rFonts w:cstheme="minorHAnsi"/>
        </w:rPr>
        <w:t>productive</w:t>
      </w:r>
      <w:r w:rsidRPr="003F264A">
        <w:rPr>
          <w:rFonts w:cstheme="minorHAnsi"/>
        </w:rPr>
        <w:t xml:space="preserve"> employees, save on recruitment </w:t>
      </w:r>
      <w:r w:rsidR="00CE2ED3" w:rsidRPr="003F264A">
        <w:rPr>
          <w:rFonts w:cstheme="minorHAnsi"/>
        </w:rPr>
        <w:t xml:space="preserve">costs </w:t>
      </w:r>
      <w:r w:rsidRPr="003F264A">
        <w:rPr>
          <w:rFonts w:cstheme="minorHAnsi"/>
        </w:rPr>
        <w:t>due to higher retention, enable a more flexible and efficient workforce and realise benefits associated with good corporate citizenship</w:t>
      </w:r>
      <w:r w:rsidR="005B7A6B" w:rsidRPr="003F264A">
        <w:rPr>
          <w:rFonts w:cstheme="minorHAnsi"/>
        </w:rPr>
        <w:t>.</w:t>
      </w:r>
      <w:r w:rsidRPr="003F264A">
        <w:rPr>
          <w:rFonts w:cstheme="minorHAnsi"/>
        </w:rPr>
        <w:t xml:space="preserve"> </w:t>
      </w:r>
      <w:r w:rsidR="005B7A6B" w:rsidRPr="003F264A">
        <w:rPr>
          <w:rFonts w:cstheme="minorHAnsi"/>
        </w:rPr>
        <w:t>A</w:t>
      </w:r>
      <w:r w:rsidRPr="003F264A">
        <w:rPr>
          <w:rFonts w:cstheme="minorHAnsi"/>
        </w:rPr>
        <w:t xml:space="preserve">cross the economy closing the gender pay gap can </w:t>
      </w:r>
      <w:r w:rsidR="004649C7" w:rsidRPr="003F264A">
        <w:rPr>
          <w:rFonts w:cstheme="minorHAnsi"/>
        </w:rPr>
        <w:t>deliver</w:t>
      </w:r>
      <w:r w:rsidRPr="003F264A">
        <w:rPr>
          <w:rFonts w:cstheme="minorHAnsi"/>
        </w:rPr>
        <w:t xml:space="preserve"> </w:t>
      </w:r>
      <w:r w:rsidR="00CE2ED3" w:rsidRPr="003F264A">
        <w:rPr>
          <w:rFonts w:cstheme="minorHAnsi"/>
        </w:rPr>
        <w:t xml:space="preserve">higher participation rates and </w:t>
      </w:r>
      <w:r w:rsidRPr="003F264A">
        <w:rPr>
          <w:rFonts w:cstheme="minorHAnsi"/>
        </w:rPr>
        <w:t>increased employment, improved productivity</w:t>
      </w:r>
      <w:r w:rsidR="005B7A6B" w:rsidRPr="003F264A">
        <w:rPr>
          <w:rFonts w:cstheme="minorHAnsi"/>
        </w:rPr>
        <w:t>,</w:t>
      </w:r>
      <w:r w:rsidRPr="003F264A">
        <w:rPr>
          <w:rFonts w:cstheme="minorHAnsi"/>
        </w:rPr>
        <w:t xml:space="preserve"> and reduce </w:t>
      </w:r>
      <w:r w:rsidR="00CE2ED3" w:rsidRPr="003F264A">
        <w:rPr>
          <w:rFonts w:cstheme="minorHAnsi"/>
        </w:rPr>
        <w:t xml:space="preserve">the number of people dependent on </w:t>
      </w:r>
      <w:r w:rsidRPr="003F264A">
        <w:rPr>
          <w:rFonts w:cstheme="minorHAnsi"/>
        </w:rPr>
        <w:t xml:space="preserve">welfare payments. </w:t>
      </w:r>
      <w:r w:rsidR="00733CEA" w:rsidRPr="003F264A">
        <w:rPr>
          <w:rFonts w:cstheme="minorHAnsi"/>
          <w:noProof/>
          <w:lang w:eastAsia="en-AU"/>
        </w:rPr>
        <w:drawing>
          <wp:anchor distT="0" distB="0" distL="114300" distR="114300" simplePos="0" relativeHeight="251658253" behindDoc="1" locked="0" layoutInCell="1" allowOverlap="1" wp14:anchorId="598B7F77" wp14:editId="57A5CE06">
            <wp:simplePos x="0" y="0"/>
            <wp:positionH relativeFrom="margin">
              <wp:posOffset>4134485</wp:posOffset>
            </wp:positionH>
            <wp:positionV relativeFrom="paragraph">
              <wp:posOffset>0</wp:posOffset>
            </wp:positionV>
            <wp:extent cx="2230755" cy="2621280"/>
            <wp:effectExtent l="0" t="0" r="0" b="7620"/>
            <wp:wrapTight wrapText="bothSides">
              <wp:wrapPolygon edited="0">
                <wp:start x="0" y="0"/>
                <wp:lineTo x="0" y="21506"/>
                <wp:lineTo x="21397" y="21506"/>
                <wp:lineTo x="213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30755" cy="2621280"/>
                    </a:xfrm>
                    <a:prstGeom prst="rect">
                      <a:avLst/>
                    </a:prstGeom>
                  </pic:spPr>
                </pic:pic>
              </a:graphicData>
            </a:graphic>
            <wp14:sizeRelH relativeFrom="page">
              <wp14:pctWidth>0</wp14:pctWidth>
            </wp14:sizeRelH>
            <wp14:sizeRelV relativeFrom="page">
              <wp14:pctHeight>0</wp14:pctHeight>
            </wp14:sizeRelV>
          </wp:anchor>
        </w:drawing>
      </w:r>
      <w:r w:rsidR="00733CEA" w:rsidRPr="003F264A">
        <w:rPr>
          <w:rFonts w:cstheme="minorHAnsi"/>
        </w:rPr>
        <w:t xml:space="preserve">While </w:t>
      </w:r>
      <w:r w:rsidR="004B2D21" w:rsidRPr="003F264A">
        <w:rPr>
          <w:rFonts w:cstheme="minorHAnsi"/>
        </w:rPr>
        <w:t xml:space="preserve">the current regulatory framework, </w:t>
      </w:r>
      <w:r w:rsidR="004319C3">
        <w:rPr>
          <w:rFonts w:cstheme="minorHAnsi"/>
        </w:rPr>
        <w:t xml:space="preserve">which </w:t>
      </w:r>
      <w:r w:rsidR="004B2D21" w:rsidRPr="003F264A">
        <w:rPr>
          <w:rFonts w:cstheme="minorHAnsi"/>
        </w:rPr>
        <w:t>centre</w:t>
      </w:r>
      <w:r w:rsidR="009D18CC" w:rsidRPr="003F264A">
        <w:rPr>
          <w:rFonts w:cstheme="minorHAnsi"/>
        </w:rPr>
        <w:t>s</w:t>
      </w:r>
      <w:r w:rsidR="004B2D21" w:rsidRPr="003F264A">
        <w:rPr>
          <w:rFonts w:cstheme="minorHAnsi"/>
        </w:rPr>
        <w:t xml:space="preserve"> </w:t>
      </w:r>
      <w:r w:rsidR="004319C3" w:rsidRPr="003F264A">
        <w:rPr>
          <w:rFonts w:cstheme="minorHAnsi"/>
        </w:rPr>
        <w:t>on</w:t>
      </w:r>
      <w:r w:rsidR="004B2D21" w:rsidRPr="003F264A">
        <w:rPr>
          <w:rFonts w:cstheme="minorHAnsi"/>
        </w:rPr>
        <w:t xml:space="preserve"> the WGE Act and WGEA, has resulted in a narrowing of the gender pay gap, more targeted interventions are needed to accelerate progress on gender equality in Australia. </w:t>
      </w:r>
    </w:p>
    <w:p w14:paraId="3E367F59" w14:textId="77777777" w:rsidR="00F128AE" w:rsidRPr="00E10068" w:rsidRDefault="00F128AE" w:rsidP="000F6998">
      <w:pPr>
        <w:jc w:val="both"/>
        <w:rPr>
          <w:rFonts w:cstheme="minorHAnsi"/>
        </w:rPr>
      </w:pPr>
      <w:r w:rsidRPr="00E10068">
        <w:rPr>
          <w:rFonts w:cstheme="minorHAnsi"/>
        </w:rPr>
        <w:t xml:space="preserve">The WGEA Review found that the current system and legislation should be streamlined and updated to address three </w:t>
      </w:r>
      <w:r w:rsidR="000C2155" w:rsidRPr="00E10068">
        <w:rPr>
          <w:rFonts w:cstheme="minorHAnsi"/>
        </w:rPr>
        <w:t>aspects of the problem of workplace gender inequality</w:t>
      </w:r>
      <w:r w:rsidRPr="00E10068">
        <w:rPr>
          <w:rFonts w:cstheme="minorHAnsi"/>
        </w:rPr>
        <w:t>:</w:t>
      </w:r>
      <w:r w:rsidRPr="00E10068">
        <w:rPr>
          <w:rStyle w:val="FootnoteReference"/>
          <w:rFonts w:cstheme="minorHAnsi"/>
        </w:rPr>
        <w:footnoteReference w:id="44"/>
      </w:r>
      <w:r w:rsidRPr="00E10068">
        <w:rPr>
          <w:rFonts w:cstheme="minorHAnsi"/>
        </w:rPr>
        <w:t xml:space="preserve">  </w:t>
      </w:r>
    </w:p>
    <w:p w14:paraId="4BC06035" w14:textId="77777777" w:rsidR="00F128AE" w:rsidRPr="003F264A" w:rsidRDefault="00F128AE" w:rsidP="000F6998">
      <w:pPr>
        <w:pStyle w:val="ListParagraph"/>
        <w:numPr>
          <w:ilvl w:val="0"/>
          <w:numId w:val="5"/>
        </w:numPr>
        <w:jc w:val="both"/>
        <w:rPr>
          <w:rFonts w:cstheme="minorHAnsi"/>
        </w:rPr>
      </w:pPr>
      <w:r w:rsidRPr="003F264A">
        <w:rPr>
          <w:rFonts w:cstheme="minorHAnsi"/>
        </w:rPr>
        <w:t xml:space="preserve">Gaps exist in the current dataset; </w:t>
      </w:r>
    </w:p>
    <w:p w14:paraId="2E37BA28" w14:textId="77777777" w:rsidR="00F128AE" w:rsidRPr="003F264A" w:rsidRDefault="00F128AE" w:rsidP="000F6998">
      <w:pPr>
        <w:pStyle w:val="ListParagraph"/>
        <w:numPr>
          <w:ilvl w:val="0"/>
          <w:numId w:val="5"/>
        </w:numPr>
        <w:jc w:val="both"/>
        <w:rPr>
          <w:rFonts w:cstheme="minorHAnsi"/>
        </w:rPr>
      </w:pPr>
      <w:r w:rsidRPr="003F264A">
        <w:rPr>
          <w:rFonts w:cstheme="minorHAnsi"/>
        </w:rPr>
        <w:t>Certain elements of reporting are burdensome on businesses; and</w:t>
      </w:r>
    </w:p>
    <w:p w14:paraId="2AED4F66" w14:textId="77777777" w:rsidR="00F128AE" w:rsidRPr="000C2155" w:rsidRDefault="00F128AE" w:rsidP="000F6998">
      <w:pPr>
        <w:pStyle w:val="ListParagraph"/>
        <w:numPr>
          <w:ilvl w:val="0"/>
          <w:numId w:val="5"/>
        </w:numPr>
        <w:jc w:val="both"/>
        <w:rPr>
          <w:rFonts w:cstheme="minorHAnsi"/>
        </w:rPr>
      </w:pPr>
      <w:r w:rsidRPr="003F264A">
        <w:rPr>
          <w:rFonts w:cstheme="minorHAnsi"/>
        </w:rPr>
        <w:t>Current regulation is not ambitious enough to drive change in gender inequality</w:t>
      </w:r>
      <w:r w:rsidR="005B7A6B" w:rsidRPr="003F264A">
        <w:rPr>
          <w:rFonts w:cstheme="minorHAnsi"/>
        </w:rPr>
        <w:t>.</w:t>
      </w:r>
      <w:r w:rsidRPr="003F264A">
        <w:rPr>
          <w:rFonts w:cstheme="minorHAnsi"/>
        </w:rPr>
        <w:t xml:space="preserve"> </w:t>
      </w:r>
    </w:p>
    <w:p w14:paraId="6D0BBEBD" w14:textId="77777777" w:rsidR="004B2D21" w:rsidRPr="003F264A" w:rsidRDefault="004B2D21" w:rsidP="000F6998">
      <w:pPr>
        <w:pStyle w:val="Heading2"/>
        <w:jc w:val="both"/>
        <w:rPr>
          <w:rFonts w:asciiTheme="minorHAnsi" w:hAnsiTheme="minorHAnsi" w:cstheme="minorHAnsi"/>
        </w:rPr>
      </w:pPr>
      <w:bookmarkStart w:id="16" w:name="_Toc118794712"/>
      <w:bookmarkStart w:id="17" w:name="_Toc125714687"/>
      <w:r w:rsidRPr="003F264A">
        <w:rPr>
          <w:rFonts w:asciiTheme="minorHAnsi" w:hAnsiTheme="minorHAnsi" w:cstheme="minorHAnsi"/>
        </w:rPr>
        <w:t>3.3 Gaps exist in the current dataset</w:t>
      </w:r>
      <w:bookmarkEnd w:id="16"/>
      <w:bookmarkEnd w:id="17"/>
      <w:r w:rsidRPr="003F264A">
        <w:rPr>
          <w:rFonts w:asciiTheme="minorHAnsi" w:hAnsiTheme="minorHAnsi" w:cstheme="minorHAnsi"/>
        </w:rPr>
        <w:t xml:space="preserve"> </w:t>
      </w:r>
    </w:p>
    <w:p w14:paraId="76A14BD2" w14:textId="77777777" w:rsidR="00656766" w:rsidRPr="003F264A" w:rsidRDefault="000C2155" w:rsidP="000F6998">
      <w:pPr>
        <w:jc w:val="both"/>
        <w:rPr>
          <w:rFonts w:cstheme="minorHAnsi"/>
        </w:rPr>
      </w:pPr>
      <w:r w:rsidRPr="003F264A">
        <w:rPr>
          <w:rFonts w:cstheme="minorHAnsi"/>
          <w:noProof/>
          <w:lang w:eastAsia="en-AU"/>
        </w:rPr>
        <w:drawing>
          <wp:anchor distT="0" distB="0" distL="114300" distR="114300" simplePos="0" relativeHeight="251658254" behindDoc="1" locked="0" layoutInCell="1" allowOverlap="1" wp14:anchorId="0EDD9533" wp14:editId="65B170E9">
            <wp:simplePos x="0" y="0"/>
            <wp:positionH relativeFrom="margin">
              <wp:align>left</wp:align>
            </wp:positionH>
            <wp:positionV relativeFrom="paragraph">
              <wp:posOffset>273050</wp:posOffset>
            </wp:positionV>
            <wp:extent cx="1805401" cy="1842579"/>
            <wp:effectExtent l="0" t="0" r="4445" b="5715"/>
            <wp:wrapTight wrapText="bothSides">
              <wp:wrapPolygon edited="0">
                <wp:start x="0" y="0"/>
                <wp:lineTo x="0" y="21444"/>
                <wp:lineTo x="21425" y="21444"/>
                <wp:lineTo x="2142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5401" cy="1842579"/>
                    </a:xfrm>
                    <a:prstGeom prst="rect">
                      <a:avLst/>
                    </a:prstGeom>
                  </pic:spPr>
                </pic:pic>
              </a:graphicData>
            </a:graphic>
            <wp14:sizeRelH relativeFrom="page">
              <wp14:pctWidth>0</wp14:pctWidth>
            </wp14:sizeRelH>
            <wp14:sizeRelV relativeFrom="page">
              <wp14:pctHeight>0</wp14:pctHeight>
            </wp14:sizeRelV>
          </wp:anchor>
        </w:drawing>
      </w:r>
      <w:r w:rsidR="004B2D21" w:rsidRPr="003F264A">
        <w:rPr>
          <w:rFonts w:cstheme="minorHAnsi"/>
        </w:rPr>
        <w:t xml:space="preserve">Existing gaps in the WGEA dataset mean that the true state of gender </w:t>
      </w:r>
      <w:r w:rsidR="00917846" w:rsidRPr="003F264A">
        <w:rPr>
          <w:rFonts w:cstheme="minorHAnsi"/>
        </w:rPr>
        <w:t>in</w:t>
      </w:r>
      <w:r w:rsidR="004B2D21" w:rsidRPr="003F264A">
        <w:rPr>
          <w:rFonts w:cstheme="minorHAnsi"/>
        </w:rPr>
        <w:t xml:space="preserve">equality across Australian workplaces is not being </w:t>
      </w:r>
      <w:r w:rsidR="00F041D7" w:rsidRPr="003F264A">
        <w:rPr>
          <w:rFonts w:cstheme="minorHAnsi"/>
        </w:rPr>
        <w:t>measured</w:t>
      </w:r>
      <w:r w:rsidR="004B2D21" w:rsidRPr="003F264A">
        <w:rPr>
          <w:rFonts w:cstheme="minorHAnsi"/>
        </w:rPr>
        <w:t>.</w:t>
      </w:r>
    </w:p>
    <w:p w14:paraId="24E6BE89" w14:textId="77777777" w:rsidR="00EC1FAC" w:rsidRPr="003F264A" w:rsidRDefault="00EC1FAC" w:rsidP="000F6998">
      <w:pPr>
        <w:jc w:val="both"/>
        <w:rPr>
          <w:rFonts w:cstheme="minorHAnsi"/>
        </w:rPr>
      </w:pPr>
      <w:r w:rsidRPr="003F264A">
        <w:rPr>
          <w:rFonts w:cstheme="minorHAnsi"/>
        </w:rPr>
        <w:t xml:space="preserve">The </w:t>
      </w:r>
      <w:r w:rsidR="000C2155">
        <w:rPr>
          <w:rFonts w:cstheme="minorHAnsi"/>
        </w:rPr>
        <w:t xml:space="preserve">below </w:t>
      </w:r>
      <w:r w:rsidRPr="003F264A">
        <w:rPr>
          <w:rFonts w:cstheme="minorHAnsi"/>
        </w:rPr>
        <w:t xml:space="preserve">key data points recognised as having a significant impact on the gender pay gap </w:t>
      </w:r>
      <w:r w:rsidR="000C2155">
        <w:rPr>
          <w:rFonts w:cstheme="minorHAnsi"/>
        </w:rPr>
        <w:t>are currently not being collected by WGEA</w:t>
      </w:r>
      <w:r w:rsidRPr="003F264A">
        <w:rPr>
          <w:rFonts w:cstheme="minorHAnsi"/>
        </w:rPr>
        <w:t xml:space="preserve">: </w:t>
      </w:r>
    </w:p>
    <w:p w14:paraId="4328625D" w14:textId="77777777" w:rsidR="00EC1FAC" w:rsidRPr="003F264A" w:rsidRDefault="00EC1FAC" w:rsidP="000F6998">
      <w:pPr>
        <w:pStyle w:val="Default"/>
        <w:numPr>
          <w:ilvl w:val="0"/>
          <w:numId w:val="37"/>
        </w:numPr>
        <w:tabs>
          <w:tab w:val="num" w:pos="360"/>
        </w:tabs>
        <w:jc w:val="both"/>
        <w:rPr>
          <w:rFonts w:asciiTheme="minorHAnsi" w:hAnsiTheme="minorHAnsi" w:cstheme="minorHAnsi"/>
          <w:sz w:val="22"/>
          <w:szCs w:val="22"/>
        </w:rPr>
      </w:pPr>
      <w:r w:rsidRPr="003F264A">
        <w:rPr>
          <w:rFonts w:asciiTheme="minorHAnsi" w:hAnsiTheme="minorHAnsi" w:cstheme="minorHAnsi"/>
          <w:sz w:val="22"/>
          <w:szCs w:val="22"/>
        </w:rPr>
        <w:t>age of employees;</w:t>
      </w:r>
    </w:p>
    <w:p w14:paraId="7F526665" w14:textId="77777777" w:rsidR="00EC1FAC" w:rsidRPr="003F264A" w:rsidRDefault="00EC1FAC" w:rsidP="000F6998">
      <w:pPr>
        <w:pStyle w:val="Default"/>
        <w:numPr>
          <w:ilvl w:val="0"/>
          <w:numId w:val="37"/>
        </w:numPr>
        <w:tabs>
          <w:tab w:val="num" w:pos="360"/>
        </w:tabs>
        <w:jc w:val="both"/>
        <w:rPr>
          <w:rFonts w:asciiTheme="minorHAnsi" w:hAnsiTheme="minorHAnsi" w:cstheme="minorHAnsi"/>
          <w:sz w:val="22"/>
          <w:szCs w:val="22"/>
        </w:rPr>
      </w:pPr>
      <w:r w:rsidRPr="003F264A">
        <w:rPr>
          <w:rFonts w:asciiTheme="minorHAnsi" w:hAnsiTheme="minorHAnsi" w:cstheme="minorHAnsi"/>
          <w:sz w:val="22"/>
          <w:szCs w:val="22"/>
        </w:rPr>
        <w:t>location of primary workplace;</w:t>
      </w:r>
    </w:p>
    <w:p w14:paraId="172F1E04" w14:textId="77777777" w:rsidR="00EC1FAC" w:rsidRPr="003F264A" w:rsidRDefault="00EC1FAC" w:rsidP="000F6998">
      <w:pPr>
        <w:pStyle w:val="Default"/>
        <w:numPr>
          <w:ilvl w:val="0"/>
          <w:numId w:val="37"/>
        </w:numPr>
        <w:tabs>
          <w:tab w:val="num" w:pos="360"/>
        </w:tabs>
        <w:jc w:val="both"/>
        <w:rPr>
          <w:rFonts w:asciiTheme="minorHAnsi" w:hAnsiTheme="minorHAnsi" w:cstheme="minorHAnsi"/>
          <w:sz w:val="22"/>
          <w:szCs w:val="22"/>
        </w:rPr>
      </w:pPr>
      <w:r w:rsidRPr="003F264A">
        <w:rPr>
          <w:rFonts w:asciiTheme="minorHAnsi" w:hAnsiTheme="minorHAnsi" w:cstheme="minorHAnsi"/>
          <w:sz w:val="22"/>
          <w:szCs w:val="22"/>
        </w:rPr>
        <w:t xml:space="preserve">superannuation data; </w:t>
      </w:r>
    </w:p>
    <w:p w14:paraId="059F3388" w14:textId="77777777" w:rsidR="00656766" w:rsidRPr="003F264A" w:rsidRDefault="00EC1FAC" w:rsidP="000F6998">
      <w:pPr>
        <w:pStyle w:val="Default"/>
        <w:numPr>
          <w:ilvl w:val="0"/>
          <w:numId w:val="37"/>
        </w:numPr>
        <w:tabs>
          <w:tab w:val="num" w:pos="360"/>
        </w:tabs>
        <w:jc w:val="both"/>
        <w:rPr>
          <w:rFonts w:asciiTheme="minorHAnsi" w:hAnsiTheme="minorHAnsi" w:cstheme="minorHAnsi"/>
          <w:sz w:val="22"/>
          <w:szCs w:val="22"/>
        </w:rPr>
      </w:pPr>
      <w:r w:rsidRPr="003F264A">
        <w:rPr>
          <w:rFonts w:asciiTheme="minorHAnsi" w:hAnsiTheme="minorHAnsi" w:cstheme="minorHAnsi"/>
          <w:sz w:val="22"/>
          <w:szCs w:val="22"/>
        </w:rPr>
        <w:t>CEO remuneration</w:t>
      </w:r>
      <w:r w:rsidR="006A354E" w:rsidRPr="003F264A">
        <w:rPr>
          <w:rFonts w:asciiTheme="minorHAnsi" w:hAnsiTheme="minorHAnsi" w:cstheme="minorHAnsi"/>
          <w:sz w:val="22"/>
          <w:szCs w:val="22"/>
        </w:rPr>
        <w:t>;</w:t>
      </w:r>
      <w:r w:rsidR="005B7A6B" w:rsidRPr="003F264A">
        <w:rPr>
          <w:rFonts w:asciiTheme="minorHAnsi" w:hAnsiTheme="minorHAnsi" w:cstheme="minorHAnsi"/>
          <w:sz w:val="22"/>
          <w:szCs w:val="22"/>
        </w:rPr>
        <w:t xml:space="preserve"> and</w:t>
      </w:r>
    </w:p>
    <w:p w14:paraId="4788A519" w14:textId="77777777" w:rsidR="006A354E" w:rsidRPr="003F264A" w:rsidRDefault="000C2155" w:rsidP="000F6998">
      <w:pPr>
        <w:pStyle w:val="Default"/>
        <w:numPr>
          <w:ilvl w:val="0"/>
          <w:numId w:val="37"/>
        </w:numPr>
        <w:tabs>
          <w:tab w:val="num" w:pos="360"/>
        </w:tabs>
        <w:jc w:val="both"/>
        <w:rPr>
          <w:rFonts w:asciiTheme="minorHAnsi" w:hAnsiTheme="minorHAnsi" w:cstheme="minorHAnsi"/>
          <w:sz w:val="22"/>
          <w:szCs w:val="22"/>
        </w:rPr>
      </w:pPr>
      <w:r>
        <w:rPr>
          <w:rFonts w:asciiTheme="minorHAnsi" w:hAnsiTheme="minorHAnsi" w:cstheme="minorHAnsi"/>
          <w:sz w:val="22"/>
          <w:szCs w:val="22"/>
        </w:rPr>
        <w:t>manager</w:t>
      </w:r>
      <w:r w:rsidR="006A354E" w:rsidRPr="003F264A">
        <w:rPr>
          <w:rFonts w:asciiTheme="minorHAnsi" w:hAnsiTheme="minorHAnsi" w:cstheme="minorHAnsi"/>
          <w:sz w:val="22"/>
          <w:szCs w:val="22"/>
        </w:rPr>
        <w:t xml:space="preserve"> data for</w:t>
      </w:r>
      <w:r>
        <w:rPr>
          <w:rFonts w:asciiTheme="minorHAnsi" w:hAnsiTheme="minorHAnsi" w:cstheme="minorHAnsi"/>
          <w:sz w:val="22"/>
          <w:szCs w:val="22"/>
        </w:rPr>
        <w:t xml:space="preserve"> entities in</w:t>
      </w:r>
      <w:r w:rsidR="006A354E" w:rsidRPr="003F264A">
        <w:rPr>
          <w:rFonts w:asciiTheme="minorHAnsi" w:hAnsiTheme="minorHAnsi" w:cstheme="minorHAnsi"/>
          <w:sz w:val="22"/>
          <w:szCs w:val="22"/>
        </w:rPr>
        <w:t xml:space="preserve"> corporate structures.</w:t>
      </w:r>
    </w:p>
    <w:p w14:paraId="60328EDD" w14:textId="77777777" w:rsidR="00656766" w:rsidRPr="003F264A" w:rsidRDefault="00656766" w:rsidP="000F6998">
      <w:pPr>
        <w:pStyle w:val="Default"/>
        <w:jc w:val="both"/>
        <w:rPr>
          <w:rFonts w:asciiTheme="minorHAnsi" w:hAnsiTheme="minorHAnsi" w:cstheme="minorHAnsi"/>
          <w:color w:val="auto"/>
          <w:sz w:val="22"/>
          <w:szCs w:val="22"/>
        </w:rPr>
      </w:pPr>
    </w:p>
    <w:p w14:paraId="0E9FABE0" w14:textId="77777777" w:rsidR="004B2D21" w:rsidRPr="003F264A" w:rsidRDefault="00EC1FAC" w:rsidP="000F6998">
      <w:pPr>
        <w:jc w:val="both"/>
        <w:rPr>
          <w:rFonts w:cstheme="minorHAnsi"/>
        </w:rPr>
      </w:pPr>
      <w:r w:rsidRPr="003F264A">
        <w:rPr>
          <w:rFonts w:cstheme="minorHAnsi"/>
        </w:rPr>
        <w:t>Obtaining this data</w:t>
      </w:r>
      <w:r w:rsidR="008A3110" w:rsidRPr="003F264A">
        <w:rPr>
          <w:rFonts w:cstheme="minorHAnsi"/>
        </w:rPr>
        <w:t xml:space="preserve"> </w:t>
      </w:r>
      <w:r w:rsidR="008D3C39">
        <w:rPr>
          <w:rFonts w:cstheme="minorHAnsi"/>
        </w:rPr>
        <w:t>will</w:t>
      </w:r>
      <w:r w:rsidR="004B2D21" w:rsidRPr="003F264A">
        <w:rPr>
          <w:rFonts w:cstheme="minorHAnsi"/>
        </w:rPr>
        <w:t xml:space="preserve"> allow WGEA (and </w:t>
      </w:r>
      <w:r w:rsidR="00AF437A" w:rsidRPr="003F264A">
        <w:rPr>
          <w:rFonts w:cstheme="minorHAnsi"/>
        </w:rPr>
        <w:t>g</w:t>
      </w:r>
      <w:r w:rsidR="004B2D21" w:rsidRPr="003F264A">
        <w:rPr>
          <w:rFonts w:cstheme="minorHAnsi"/>
        </w:rPr>
        <w:t xml:space="preserve">overnment more broadly) to drive targeted action for the benefit of Australian individuals, community organisations and businesses.  </w:t>
      </w:r>
    </w:p>
    <w:p w14:paraId="1E915FF5" w14:textId="77777777" w:rsidR="004B2D21" w:rsidRPr="003F264A" w:rsidRDefault="004B2D21" w:rsidP="000F6998">
      <w:pPr>
        <w:jc w:val="both"/>
      </w:pPr>
      <w:r w:rsidRPr="003F264A">
        <w:rPr>
          <w:rFonts w:cstheme="minorHAnsi"/>
        </w:rPr>
        <w:t xml:space="preserve">Key stakeholders from both the women’s sector and the business sector expressed support </w:t>
      </w:r>
      <w:r w:rsidR="00E727C5" w:rsidRPr="003F264A">
        <w:rPr>
          <w:rFonts w:cstheme="minorHAnsi"/>
        </w:rPr>
        <w:t xml:space="preserve">for </w:t>
      </w:r>
      <w:r w:rsidRPr="003F264A">
        <w:rPr>
          <w:rFonts w:cstheme="minorHAnsi"/>
        </w:rPr>
        <w:t xml:space="preserve">collecting additional </w:t>
      </w:r>
      <w:r w:rsidR="00E727C5" w:rsidRPr="003F264A">
        <w:rPr>
          <w:rFonts w:cstheme="minorHAnsi"/>
        </w:rPr>
        <w:t xml:space="preserve">data </w:t>
      </w:r>
      <w:r w:rsidRPr="003F264A">
        <w:rPr>
          <w:rFonts w:cstheme="minorHAnsi"/>
        </w:rPr>
        <w:t xml:space="preserve">within the </w:t>
      </w:r>
      <w:r w:rsidR="004319C3">
        <w:rPr>
          <w:rFonts w:cstheme="minorHAnsi"/>
        </w:rPr>
        <w:t>Gender Equality Indicators (</w:t>
      </w:r>
      <w:r w:rsidRPr="003F264A">
        <w:rPr>
          <w:rFonts w:cstheme="minorHAnsi"/>
        </w:rPr>
        <w:t>GEIs</w:t>
      </w:r>
      <w:r w:rsidR="004319C3">
        <w:rPr>
          <w:rFonts w:cstheme="minorHAnsi"/>
        </w:rPr>
        <w:t>)</w:t>
      </w:r>
      <w:r w:rsidRPr="003F264A">
        <w:rPr>
          <w:rFonts w:cstheme="minorHAnsi"/>
        </w:rPr>
        <w:t xml:space="preserve"> to produce a more detailed picture of gender equality in the workplace, including employee age and location and whether superannuation is paid on parental leave. DCA’s submission to the Review </w:t>
      </w:r>
      <w:r w:rsidR="00E727C5" w:rsidRPr="003F264A">
        <w:rPr>
          <w:rFonts w:cstheme="minorHAnsi"/>
        </w:rPr>
        <w:t>stated</w:t>
      </w:r>
      <w:r w:rsidRPr="003F264A">
        <w:rPr>
          <w:rFonts w:cstheme="minorHAnsi"/>
        </w:rPr>
        <w:t xml:space="preserve"> that </w:t>
      </w:r>
      <w:r w:rsidR="00E727C5" w:rsidRPr="003F264A">
        <w:rPr>
          <w:rFonts w:cstheme="minorHAnsi"/>
        </w:rPr>
        <w:t xml:space="preserve">while </w:t>
      </w:r>
      <w:r w:rsidRPr="003F264A">
        <w:rPr>
          <w:rFonts w:cstheme="minorHAnsi"/>
        </w:rPr>
        <w:t>the WGE Act ‘has been a critical tool in Australia’s approach to addressing workplace gender equality… there are opportunities to strengthen it through the collection of more nuanced and intersectional data’.</w:t>
      </w:r>
      <w:r w:rsidRPr="003F264A">
        <w:rPr>
          <w:rStyle w:val="FootnoteReference"/>
          <w:rFonts w:cstheme="minorHAnsi"/>
        </w:rPr>
        <w:footnoteReference w:id="45"/>
      </w:r>
      <w:r w:rsidRPr="003F264A">
        <w:rPr>
          <w:rFonts w:cstheme="minorHAnsi"/>
        </w:rPr>
        <w:t xml:space="preserve"> Further additional GEIs were proposed by certain stakeholders in Review submissions, however due to the already high voluntary employer reporting of employee age, location and superannuation paid on parental leave</w:t>
      </w:r>
      <w:r w:rsidR="009762A7" w:rsidRPr="003F264A">
        <w:rPr>
          <w:rFonts w:cstheme="minorHAnsi"/>
        </w:rPr>
        <w:t>,</w:t>
      </w:r>
      <w:r w:rsidRPr="003F264A">
        <w:rPr>
          <w:rFonts w:cstheme="minorHAnsi"/>
        </w:rPr>
        <w:t xml:space="preserve"> it was recommended that only these matters </w:t>
      </w:r>
      <w:r w:rsidR="009762A7" w:rsidRPr="003F264A">
        <w:rPr>
          <w:rFonts w:cstheme="minorHAnsi"/>
        </w:rPr>
        <w:t>be</w:t>
      </w:r>
      <w:r w:rsidRPr="003F264A">
        <w:rPr>
          <w:rFonts w:cstheme="minorHAnsi"/>
        </w:rPr>
        <w:t xml:space="preserve"> added to the GEIs in order to </w:t>
      </w:r>
      <w:r w:rsidR="00E727C5" w:rsidRPr="003F264A">
        <w:rPr>
          <w:rFonts w:cstheme="minorHAnsi"/>
        </w:rPr>
        <w:t>minimise</w:t>
      </w:r>
      <w:r w:rsidRPr="003F264A">
        <w:rPr>
          <w:rFonts w:cstheme="minorHAnsi"/>
        </w:rPr>
        <w:t xml:space="preserve"> regulatory burden on employers. Adding in these extra data points will address a key theme of stakeholder feedback: the desire for more intersectional data. </w:t>
      </w:r>
    </w:p>
    <w:p w14:paraId="4A1AFA98" w14:textId="77777777" w:rsidR="004B2D21" w:rsidRPr="003F264A" w:rsidRDefault="004B2D21" w:rsidP="000F6998">
      <w:pPr>
        <w:jc w:val="both"/>
        <w:rPr>
          <w:rFonts w:cstheme="minorHAnsi"/>
          <w:b/>
        </w:rPr>
      </w:pPr>
      <w:r w:rsidRPr="003F264A">
        <w:rPr>
          <w:rFonts w:cstheme="minorHAnsi"/>
          <w:b/>
        </w:rPr>
        <w:t xml:space="preserve">Age of employees </w:t>
      </w:r>
    </w:p>
    <w:p w14:paraId="58A1B805" w14:textId="390068C4" w:rsidR="00F0724B" w:rsidRDefault="004B2D21" w:rsidP="000F6998">
      <w:pPr>
        <w:jc w:val="both"/>
        <w:rPr>
          <w:rFonts w:cstheme="minorHAnsi"/>
          <w:b/>
        </w:rPr>
      </w:pPr>
      <w:r w:rsidRPr="003F264A">
        <w:rPr>
          <w:rFonts w:cstheme="minorHAnsi"/>
        </w:rPr>
        <w:t>KPMG research has identified age as one of the drivers of the gender pay gap</w:t>
      </w:r>
      <w:r w:rsidR="005B7A6B" w:rsidRPr="003F264A">
        <w:rPr>
          <w:rFonts w:cstheme="minorHAnsi"/>
        </w:rPr>
        <w:t>;</w:t>
      </w:r>
      <w:r w:rsidRPr="003F264A">
        <w:rPr>
          <w:rFonts w:cstheme="minorHAnsi"/>
        </w:rPr>
        <w:t xml:space="preserve"> ‘the gender pay gap is at its widest for the 45 to 54 years age group</w:t>
      </w:r>
      <w:r w:rsidR="00B92E8E" w:rsidRPr="003F264A">
        <w:rPr>
          <w:rFonts w:cstheme="minorHAnsi"/>
        </w:rPr>
        <w:t>’</w:t>
      </w:r>
      <w:r w:rsidRPr="003F264A">
        <w:rPr>
          <w:rFonts w:cstheme="minorHAnsi"/>
        </w:rPr>
        <w:t>.</w:t>
      </w:r>
      <w:r w:rsidRPr="003F264A">
        <w:rPr>
          <w:rStyle w:val="FootnoteReference"/>
          <w:rFonts w:cstheme="minorHAnsi"/>
        </w:rPr>
        <w:footnoteReference w:id="46"/>
      </w:r>
      <w:r w:rsidRPr="003F264A">
        <w:rPr>
          <w:rFonts w:cstheme="minorHAnsi"/>
        </w:rPr>
        <w:t xml:space="preserve"> Women from this age group are more likely than men to have spent time out of the </w:t>
      </w:r>
      <w:r w:rsidR="00D065BF" w:rsidRPr="003F264A">
        <w:rPr>
          <w:rFonts w:cstheme="minorHAnsi"/>
        </w:rPr>
        <w:t xml:space="preserve">labour force </w:t>
      </w:r>
      <w:r w:rsidRPr="003F264A">
        <w:rPr>
          <w:rFonts w:cstheme="minorHAnsi"/>
        </w:rPr>
        <w:t>to care for children.</w:t>
      </w:r>
      <w:r w:rsidRPr="003F264A">
        <w:rPr>
          <w:rStyle w:val="FootnoteReference"/>
          <w:rFonts w:cstheme="minorHAnsi"/>
        </w:rPr>
        <w:footnoteReference w:id="47"/>
      </w:r>
      <w:r w:rsidRPr="003F264A">
        <w:rPr>
          <w:rFonts w:cstheme="minorHAnsi"/>
        </w:rPr>
        <w:t xml:space="preserve"> As a result of </w:t>
      </w:r>
      <w:r w:rsidR="009762A7" w:rsidRPr="003F264A">
        <w:rPr>
          <w:rFonts w:cstheme="minorHAnsi"/>
        </w:rPr>
        <w:t xml:space="preserve">the </w:t>
      </w:r>
      <w:r w:rsidRPr="003F264A">
        <w:rPr>
          <w:rFonts w:cstheme="minorHAnsi"/>
        </w:rPr>
        <w:t xml:space="preserve">extra time women spend </w:t>
      </w:r>
      <w:r w:rsidR="005B7A6B" w:rsidRPr="003F264A">
        <w:rPr>
          <w:rFonts w:cstheme="minorHAnsi"/>
        </w:rPr>
        <w:t>o</w:t>
      </w:r>
      <w:r w:rsidRPr="003F264A">
        <w:rPr>
          <w:rFonts w:cstheme="minorHAnsi"/>
        </w:rPr>
        <w:t>n unpaid care work</w:t>
      </w:r>
      <w:r w:rsidR="005B7A6B" w:rsidRPr="003F264A">
        <w:rPr>
          <w:rFonts w:cstheme="minorHAnsi"/>
        </w:rPr>
        <w:t xml:space="preserve"> (compared to men)</w:t>
      </w:r>
      <w:r w:rsidRPr="003F264A">
        <w:rPr>
          <w:rFonts w:cstheme="minorHAnsi"/>
        </w:rPr>
        <w:t>, they have few</w:t>
      </w:r>
      <w:r w:rsidR="005B7A6B" w:rsidRPr="003F264A">
        <w:rPr>
          <w:rFonts w:cstheme="minorHAnsi"/>
        </w:rPr>
        <w:t>er</w:t>
      </w:r>
      <w:r w:rsidRPr="003F264A">
        <w:rPr>
          <w:rFonts w:cstheme="minorHAnsi"/>
        </w:rPr>
        <w:t xml:space="preserve"> promotion opportunities and are less likely than men to hold highly compensated job</w:t>
      </w:r>
      <w:r w:rsidR="005B7A6B" w:rsidRPr="003F264A">
        <w:rPr>
          <w:rFonts w:cstheme="minorHAnsi"/>
        </w:rPr>
        <w:t>s</w:t>
      </w:r>
      <w:r w:rsidRPr="003F264A">
        <w:rPr>
          <w:rFonts w:cstheme="minorHAnsi"/>
        </w:rPr>
        <w:t>.</w:t>
      </w:r>
      <w:r w:rsidRPr="003F264A">
        <w:rPr>
          <w:rStyle w:val="FootnoteReference"/>
          <w:rFonts w:cstheme="minorHAnsi"/>
        </w:rPr>
        <w:footnoteReference w:id="48"/>
      </w:r>
      <w:r w:rsidRPr="003F264A">
        <w:rPr>
          <w:rFonts w:cstheme="minorHAnsi"/>
        </w:rPr>
        <w:t xml:space="preserve">  </w:t>
      </w:r>
      <w:r w:rsidR="000C2155">
        <w:rPr>
          <w:rFonts w:cstheme="minorHAnsi"/>
        </w:rPr>
        <w:t>WGEA have already</w:t>
      </w:r>
      <w:r w:rsidR="00872B4A">
        <w:rPr>
          <w:rFonts w:cstheme="minorHAnsi"/>
        </w:rPr>
        <w:t xml:space="preserve"> been able to draw </w:t>
      </w:r>
      <w:r w:rsidR="00907A87">
        <w:rPr>
          <w:rFonts w:cstheme="minorHAnsi"/>
        </w:rPr>
        <w:t xml:space="preserve">insightful </w:t>
      </w:r>
      <w:r w:rsidR="00872B4A">
        <w:rPr>
          <w:rFonts w:cstheme="minorHAnsi"/>
        </w:rPr>
        <w:t>analysis from voluntary data collected</w:t>
      </w:r>
      <w:r w:rsidR="00907A87">
        <w:rPr>
          <w:rFonts w:cstheme="minorHAnsi"/>
        </w:rPr>
        <w:t xml:space="preserve"> on age</w:t>
      </w:r>
      <w:r w:rsidR="00872B4A">
        <w:rPr>
          <w:rFonts w:cstheme="minorHAnsi"/>
        </w:rPr>
        <w:t xml:space="preserve"> (</w:t>
      </w:r>
      <w:r w:rsidR="00907A87">
        <w:rPr>
          <w:rFonts w:cstheme="minorHAnsi"/>
        </w:rPr>
        <w:t xml:space="preserve">see </w:t>
      </w:r>
      <w:hyperlink r:id="rId15" w:history="1">
        <w:r w:rsidR="00907A87" w:rsidRPr="00907A87">
          <w:rPr>
            <w:rStyle w:val="Hyperlink"/>
            <w:rFonts w:cstheme="minorHAnsi"/>
          </w:rPr>
          <w:t>here</w:t>
        </w:r>
      </w:hyperlink>
      <w:r w:rsidR="00907A87">
        <w:rPr>
          <w:rFonts w:cstheme="minorHAnsi"/>
        </w:rPr>
        <w:t xml:space="preserve">). With </w:t>
      </w:r>
      <w:r w:rsidRPr="003F264A">
        <w:rPr>
          <w:rFonts w:cstheme="minorHAnsi"/>
        </w:rPr>
        <w:t>complete data on age, WGEA will be able to increase the accuracy of reports on the interactions between age and the gender pay gap</w:t>
      </w:r>
      <w:r w:rsidR="00DA77ED">
        <w:rPr>
          <w:rFonts w:cstheme="minorHAnsi"/>
        </w:rPr>
        <w:t>, thereby informing policy for particularly disadvantaged women</w:t>
      </w:r>
      <w:r w:rsidRPr="003F264A">
        <w:rPr>
          <w:rFonts w:cstheme="minorHAnsi"/>
        </w:rPr>
        <w:t>.</w:t>
      </w:r>
      <w:r w:rsidRPr="003F264A">
        <w:rPr>
          <w:rStyle w:val="FootnoteReference"/>
          <w:rFonts w:cstheme="minorHAnsi"/>
        </w:rPr>
        <w:footnoteReference w:id="49"/>
      </w:r>
      <w:r w:rsidRPr="003F264A">
        <w:rPr>
          <w:rFonts w:cstheme="minorHAnsi"/>
        </w:rPr>
        <w:t xml:space="preserve"> </w:t>
      </w:r>
    </w:p>
    <w:p w14:paraId="5E343450" w14:textId="7A7AEB4C" w:rsidR="004B2D21" w:rsidRPr="003F264A" w:rsidRDefault="004B2D21" w:rsidP="000F6998">
      <w:pPr>
        <w:jc w:val="both"/>
        <w:rPr>
          <w:rFonts w:cstheme="minorHAnsi"/>
          <w:b/>
        </w:rPr>
      </w:pPr>
      <w:r w:rsidRPr="003F264A">
        <w:rPr>
          <w:rFonts w:cstheme="minorHAnsi"/>
          <w:b/>
        </w:rPr>
        <w:t>Location of employee’s primary workplace</w:t>
      </w:r>
    </w:p>
    <w:p w14:paraId="13C7CA7D" w14:textId="77777777" w:rsidR="004B2D21" w:rsidRPr="003F264A" w:rsidRDefault="004B2D21" w:rsidP="000F6998">
      <w:pPr>
        <w:jc w:val="both"/>
        <w:rPr>
          <w:rFonts w:cstheme="minorHAnsi"/>
        </w:rPr>
      </w:pPr>
      <w:r w:rsidRPr="003F264A">
        <w:rPr>
          <w:rFonts w:cstheme="minorHAnsi"/>
        </w:rPr>
        <w:t xml:space="preserve">Location has a significant impact on women’s and men’s interaction with the workforce. In 2017, a report released by the Australian Human Rights </w:t>
      </w:r>
      <w:r w:rsidR="00D065BF" w:rsidRPr="003F264A">
        <w:rPr>
          <w:rFonts w:cstheme="minorHAnsi"/>
        </w:rPr>
        <w:t>C</w:t>
      </w:r>
      <w:r w:rsidRPr="003F264A">
        <w:rPr>
          <w:rFonts w:cstheme="minorHAnsi"/>
        </w:rPr>
        <w:t>ommission found that women in rural and regional workplaces were more likely to experience workplace harassment and discrimination</w:t>
      </w:r>
      <w:r w:rsidR="00F56BF6" w:rsidRPr="003F264A">
        <w:rPr>
          <w:rFonts w:cstheme="minorHAnsi"/>
        </w:rPr>
        <w:t>,</w:t>
      </w:r>
      <w:r w:rsidRPr="003F264A">
        <w:rPr>
          <w:rFonts w:cstheme="minorHAnsi"/>
        </w:rPr>
        <w:t xml:space="preserve"> more barriers</w:t>
      </w:r>
      <w:r w:rsidR="00F56BF6" w:rsidRPr="003F264A">
        <w:rPr>
          <w:rFonts w:cstheme="minorHAnsi"/>
        </w:rPr>
        <w:t>,</w:t>
      </w:r>
      <w:r w:rsidRPr="003F264A">
        <w:rPr>
          <w:rFonts w:cstheme="minorHAnsi"/>
        </w:rPr>
        <w:t xml:space="preserve"> and hardship.</w:t>
      </w:r>
      <w:r w:rsidRPr="003F264A">
        <w:rPr>
          <w:rStyle w:val="FootnoteReference"/>
          <w:rFonts w:cstheme="minorHAnsi"/>
        </w:rPr>
        <w:footnoteReference w:id="50"/>
      </w:r>
      <w:r w:rsidRPr="003F264A">
        <w:rPr>
          <w:rFonts w:cstheme="minorHAnsi"/>
        </w:rPr>
        <w:t xml:space="preserve"> </w:t>
      </w:r>
      <w:r w:rsidR="000C7B79">
        <w:rPr>
          <w:rFonts w:cstheme="minorHAnsi"/>
        </w:rPr>
        <w:t xml:space="preserve">A recent WGEA and </w:t>
      </w:r>
      <w:r w:rsidR="000C7B79" w:rsidRPr="003F264A">
        <w:rPr>
          <w:rFonts w:cstheme="minorHAnsi"/>
        </w:rPr>
        <w:t xml:space="preserve">Bank West Curtin Economics Centre </w:t>
      </w:r>
      <w:r w:rsidR="000C7B79">
        <w:rPr>
          <w:rFonts w:cstheme="minorHAnsi"/>
        </w:rPr>
        <w:t>based on voluntary data collected found</w:t>
      </w:r>
      <w:r w:rsidR="000C7B79" w:rsidRPr="003F264A">
        <w:rPr>
          <w:rFonts w:cstheme="minorHAnsi"/>
        </w:rPr>
        <w:t xml:space="preserve"> that women face a significant remoteness penalty of around $17,800.</w:t>
      </w:r>
      <w:r w:rsidR="000C7B79" w:rsidRPr="003F264A">
        <w:rPr>
          <w:rStyle w:val="FootnoteReference"/>
          <w:rFonts w:cstheme="minorHAnsi"/>
        </w:rPr>
        <w:footnoteReference w:id="51"/>
      </w:r>
      <w:r w:rsidR="000C7B79">
        <w:rPr>
          <w:rFonts w:cstheme="minorHAnsi"/>
        </w:rPr>
        <w:t xml:space="preserve"> H</w:t>
      </w:r>
      <w:r w:rsidRPr="003F264A">
        <w:rPr>
          <w:rFonts w:cstheme="minorHAnsi"/>
        </w:rPr>
        <w:t>owever</w:t>
      </w:r>
      <w:r w:rsidR="00F56BF6" w:rsidRPr="003F264A">
        <w:rPr>
          <w:rFonts w:cstheme="minorHAnsi"/>
        </w:rPr>
        <w:t>,</w:t>
      </w:r>
      <w:r w:rsidRPr="003F264A">
        <w:rPr>
          <w:rFonts w:cstheme="minorHAnsi"/>
        </w:rPr>
        <w:t xml:space="preserve"> currently </w:t>
      </w:r>
      <w:r w:rsidRPr="000C7B79">
        <w:rPr>
          <w:rFonts w:cstheme="minorHAnsi"/>
        </w:rPr>
        <w:t xml:space="preserve">WGEA is not able to calculate </w:t>
      </w:r>
      <w:r w:rsidR="000C7B79" w:rsidRPr="000C7B79">
        <w:rPr>
          <w:rFonts w:cstheme="minorHAnsi"/>
        </w:rPr>
        <w:t>a comprehensive</w:t>
      </w:r>
      <w:r w:rsidRPr="000C7B79">
        <w:rPr>
          <w:rFonts w:cstheme="minorHAnsi"/>
        </w:rPr>
        <w:t xml:space="preserve"> regional gender pay gap as this data is not collected mandatorily.</w:t>
      </w:r>
      <w:r w:rsidRPr="003F264A">
        <w:rPr>
          <w:rFonts w:cstheme="minorHAnsi"/>
        </w:rPr>
        <w:t xml:space="preserve"> </w:t>
      </w:r>
      <w:r w:rsidR="00901663" w:rsidRPr="003F264A">
        <w:rPr>
          <w:rFonts w:cstheme="minorHAnsi"/>
        </w:rPr>
        <w:t xml:space="preserve"> For the 2020-2021 WGEA dataset, 70 per cent of employees provided location data voluntarily and it revealed tha</w:t>
      </w:r>
      <w:r w:rsidR="00737204" w:rsidRPr="003F264A">
        <w:rPr>
          <w:rFonts w:cstheme="minorHAnsi"/>
        </w:rPr>
        <w:t xml:space="preserve">t location was very important </w:t>
      </w:r>
      <w:r w:rsidR="00901663" w:rsidRPr="003F264A">
        <w:rPr>
          <w:rFonts w:cstheme="minorHAnsi"/>
        </w:rPr>
        <w:t xml:space="preserve">understanding gender pay gaps in different states and territories and industries. </w:t>
      </w:r>
      <w:r w:rsidRPr="003F264A">
        <w:rPr>
          <w:rFonts w:cstheme="minorHAnsi"/>
        </w:rPr>
        <w:t xml:space="preserve">Collecting data on an employee’s primary workplace location </w:t>
      </w:r>
      <w:r w:rsidR="00F56BF6" w:rsidRPr="003F264A">
        <w:rPr>
          <w:rFonts w:cstheme="minorHAnsi"/>
        </w:rPr>
        <w:t xml:space="preserve">will </w:t>
      </w:r>
      <w:r w:rsidRPr="003F264A">
        <w:rPr>
          <w:rFonts w:cstheme="minorHAnsi"/>
        </w:rPr>
        <w:t xml:space="preserve">enable a deeper understanding of gender equality outcomes for urban, regional and rural employers </w:t>
      </w:r>
      <w:r w:rsidR="00F56BF6" w:rsidRPr="003F264A">
        <w:rPr>
          <w:rFonts w:cstheme="minorHAnsi"/>
        </w:rPr>
        <w:t>and enable</w:t>
      </w:r>
      <w:r w:rsidRPr="003F264A">
        <w:rPr>
          <w:rFonts w:cstheme="minorHAnsi"/>
        </w:rPr>
        <w:t xml:space="preserve"> WGEA to drive further targeted approaches to support employers in addressing elements of the gender pay gap related to location.</w:t>
      </w:r>
      <w:r w:rsidRPr="003F264A">
        <w:rPr>
          <w:rFonts w:cstheme="minorHAnsi"/>
          <w:sz w:val="18"/>
          <w:szCs w:val="18"/>
        </w:rPr>
        <w:t xml:space="preserve"> </w:t>
      </w:r>
      <w:r w:rsidRPr="003F264A">
        <w:rPr>
          <w:rFonts w:cstheme="minorHAnsi"/>
        </w:rPr>
        <w:t xml:space="preserve"> </w:t>
      </w:r>
    </w:p>
    <w:p w14:paraId="72AFE6B0" w14:textId="77777777" w:rsidR="004B2D21" w:rsidRPr="003F264A" w:rsidRDefault="00B62951" w:rsidP="000F6998">
      <w:pPr>
        <w:jc w:val="both"/>
        <w:rPr>
          <w:rFonts w:cstheme="minorHAnsi"/>
          <w:b/>
        </w:rPr>
      </w:pPr>
      <w:r w:rsidRPr="003F264A">
        <w:rPr>
          <w:rFonts w:cstheme="minorHAnsi"/>
          <w:noProof/>
          <w:lang w:eastAsia="en-AU"/>
        </w:rPr>
        <w:drawing>
          <wp:anchor distT="0" distB="0" distL="114300" distR="114300" simplePos="0" relativeHeight="251658249" behindDoc="1" locked="0" layoutInCell="1" allowOverlap="1" wp14:anchorId="63457B00" wp14:editId="7B8C9F77">
            <wp:simplePos x="0" y="0"/>
            <wp:positionH relativeFrom="column">
              <wp:posOffset>3020695</wp:posOffset>
            </wp:positionH>
            <wp:positionV relativeFrom="paragraph">
              <wp:posOffset>6350</wp:posOffset>
            </wp:positionV>
            <wp:extent cx="2905125" cy="2172335"/>
            <wp:effectExtent l="0" t="0" r="9525" b="0"/>
            <wp:wrapTight wrapText="bothSides">
              <wp:wrapPolygon edited="0">
                <wp:start x="0" y="0"/>
                <wp:lineTo x="0" y="21404"/>
                <wp:lineTo x="21529" y="21404"/>
                <wp:lineTo x="2152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05125" cy="2172335"/>
                    </a:xfrm>
                    <a:prstGeom prst="rect">
                      <a:avLst/>
                    </a:prstGeom>
                  </pic:spPr>
                </pic:pic>
              </a:graphicData>
            </a:graphic>
            <wp14:sizeRelH relativeFrom="margin">
              <wp14:pctWidth>0</wp14:pctWidth>
            </wp14:sizeRelH>
            <wp14:sizeRelV relativeFrom="margin">
              <wp14:pctHeight>0</wp14:pctHeight>
            </wp14:sizeRelV>
          </wp:anchor>
        </w:drawing>
      </w:r>
      <w:r w:rsidR="004B2D21" w:rsidRPr="003F264A">
        <w:rPr>
          <w:rFonts w:cstheme="minorHAnsi"/>
          <w:b/>
        </w:rPr>
        <w:t xml:space="preserve">Superannuation data </w:t>
      </w:r>
    </w:p>
    <w:p w14:paraId="6131E080" w14:textId="056F89F0" w:rsidR="00D40B96" w:rsidRPr="003F264A" w:rsidRDefault="004B2D21" w:rsidP="000F6998">
      <w:pPr>
        <w:jc w:val="both"/>
        <w:rPr>
          <w:rFonts w:cstheme="minorHAnsi"/>
        </w:rPr>
      </w:pPr>
      <w:r w:rsidRPr="003F264A">
        <w:rPr>
          <w:rFonts w:cstheme="minorHAnsi"/>
        </w:rPr>
        <w:t xml:space="preserve">Narrowing the superannuation gap is important </w:t>
      </w:r>
      <w:r w:rsidR="00737204" w:rsidRPr="003F264A">
        <w:rPr>
          <w:rFonts w:cstheme="minorHAnsi"/>
        </w:rPr>
        <w:t xml:space="preserve">outcome of </w:t>
      </w:r>
      <w:r w:rsidRPr="003F264A">
        <w:rPr>
          <w:rFonts w:cstheme="minorHAnsi"/>
        </w:rPr>
        <w:t xml:space="preserve">closing gender </w:t>
      </w:r>
      <w:r w:rsidR="00737204" w:rsidRPr="003F264A">
        <w:rPr>
          <w:rFonts w:cstheme="minorHAnsi"/>
        </w:rPr>
        <w:t xml:space="preserve">pay </w:t>
      </w:r>
      <w:r w:rsidR="00737204">
        <w:rPr>
          <w:rFonts w:cstheme="minorHAnsi"/>
        </w:rPr>
        <w:t>gap</w:t>
      </w:r>
      <w:r w:rsidRPr="0096130A">
        <w:rPr>
          <w:rFonts w:cstheme="minorHAnsi"/>
        </w:rPr>
        <w:t>.</w:t>
      </w:r>
      <w:r w:rsidR="00D40B96" w:rsidRPr="003F264A">
        <w:rPr>
          <w:rFonts w:cstheme="minorHAnsi"/>
        </w:rPr>
        <w:t xml:space="preserve"> The Australian Tax Office (ATO), reports a consistently higher superannuation balance for men across ages and states and territories for the 2019-20 financial year</w:t>
      </w:r>
      <w:r w:rsidR="009C60FA">
        <w:rPr>
          <w:rFonts w:cstheme="minorHAnsi"/>
        </w:rPr>
        <w:t xml:space="preserve"> (see Charts</w:t>
      </w:r>
      <w:r w:rsidR="00F56BF6" w:rsidRPr="003F264A">
        <w:rPr>
          <w:rFonts w:cstheme="minorHAnsi"/>
        </w:rPr>
        <w:t xml:space="preserve"> </w:t>
      </w:r>
      <w:r w:rsidR="007B05C1" w:rsidRPr="009C60FA">
        <w:rPr>
          <w:rFonts w:cstheme="minorHAnsi"/>
        </w:rPr>
        <w:t>12</w:t>
      </w:r>
      <w:r w:rsidR="00F56BF6" w:rsidRPr="009C60FA">
        <w:rPr>
          <w:rFonts w:cstheme="minorHAnsi"/>
        </w:rPr>
        <w:t xml:space="preserve"> and </w:t>
      </w:r>
      <w:r w:rsidR="007B05C1" w:rsidRPr="009C60FA">
        <w:rPr>
          <w:rFonts w:cstheme="minorHAnsi"/>
        </w:rPr>
        <w:t>13</w:t>
      </w:r>
      <w:r w:rsidR="00F56BF6" w:rsidRPr="003F264A">
        <w:rPr>
          <w:rFonts w:cstheme="minorHAnsi"/>
        </w:rPr>
        <w:t>)</w:t>
      </w:r>
      <w:r w:rsidR="00D40B96" w:rsidRPr="003F264A">
        <w:rPr>
          <w:rFonts w:cstheme="minorHAnsi"/>
        </w:rPr>
        <w:t xml:space="preserve">. </w:t>
      </w:r>
      <w:r w:rsidR="000C7B79">
        <w:rPr>
          <w:rFonts w:cstheme="minorHAnsi"/>
        </w:rPr>
        <w:t xml:space="preserve">Currently WGEA does not collect data on whether employers </w:t>
      </w:r>
      <w:r w:rsidR="00242EC8">
        <w:rPr>
          <w:rFonts w:cstheme="minorHAnsi"/>
        </w:rPr>
        <w:t>are paying superannuation while</w:t>
      </w:r>
      <w:r w:rsidR="000C7B79">
        <w:rPr>
          <w:rFonts w:cstheme="minorHAnsi"/>
        </w:rPr>
        <w:t xml:space="preserve"> women are on parental leave. This is important as women are more likely to take more extended periods of parental leave than men which contributes to the gender pay gap.</w:t>
      </w:r>
    </w:p>
    <w:p w14:paraId="517E845D" w14:textId="3F7F2F34" w:rsidR="004B2D21" w:rsidRPr="003F264A" w:rsidRDefault="004B2D21" w:rsidP="000F6998">
      <w:pPr>
        <w:jc w:val="both"/>
        <w:rPr>
          <w:rFonts w:cstheme="minorHAnsi"/>
        </w:rPr>
      </w:pPr>
      <w:r w:rsidRPr="003F264A">
        <w:rPr>
          <w:rFonts w:cstheme="minorHAnsi"/>
        </w:rPr>
        <w:t xml:space="preserve">Research by Australian Super </w:t>
      </w:r>
      <w:r w:rsidR="00E74DA3" w:rsidRPr="003F264A">
        <w:rPr>
          <w:rFonts w:cstheme="minorHAnsi"/>
        </w:rPr>
        <w:t>demonstrates that collecting superannuation data is an important indicator of gender equality and therefore, equality of superannuation will be reflective of a smaller gender pay gap</w:t>
      </w:r>
      <w:r w:rsidR="00E74DA3" w:rsidRPr="003F264A" w:rsidDel="00737204">
        <w:rPr>
          <w:rFonts w:cstheme="minorHAnsi"/>
        </w:rPr>
        <w:t>.</w:t>
      </w:r>
      <w:r w:rsidRPr="003F264A">
        <w:rPr>
          <w:rStyle w:val="FootnoteReference"/>
          <w:rFonts w:cstheme="minorHAnsi"/>
        </w:rPr>
        <w:footnoteReference w:id="52"/>
      </w:r>
      <w:r w:rsidRPr="003F264A">
        <w:rPr>
          <w:rFonts w:cstheme="minorHAnsi"/>
        </w:rPr>
        <w:t xml:space="preserve"> Research by one super</w:t>
      </w:r>
      <w:r w:rsidR="00842877">
        <w:rPr>
          <w:rFonts w:cstheme="minorHAnsi"/>
        </w:rPr>
        <w:t xml:space="preserve"> </w:t>
      </w:r>
      <w:r w:rsidRPr="003F264A">
        <w:rPr>
          <w:rFonts w:cstheme="minorHAnsi"/>
        </w:rPr>
        <w:t xml:space="preserve">fund found that </w:t>
      </w:r>
      <w:r w:rsidR="00F56BF6" w:rsidRPr="003F264A">
        <w:rPr>
          <w:rFonts w:cstheme="minorHAnsi"/>
        </w:rPr>
        <w:t>male members between the</w:t>
      </w:r>
      <w:r w:rsidR="00D473FA" w:rsidRPr="003F264A">
        <w:rPr>
          <w:rFonts w:cstheme="minorHAnsi"/>
        </w:rPr>
        <w:t xml:space="preserve"> </w:t>
      </w:r>
      <w:r w:rsidR="009762A7" w:rsidRPr="003F264A">
        <w:rPr>
          <w:rFonts w:cstheme="minorHAnsi"/>
        </w:rPr>
        <w:t>age</w:t>
      </w:r>
      <w:r w:rsidR="00F56BF6" w:rsidRPr="003F264A">
        <w:rPr>
          <w:rFonts w:cstheme="minorHAnsi"/>
        </w:rPr>
        <w:t>s of</w:t>
      </w:r>
      <w:r w:rsidR="009762A7" w:rsidRPr="003F264A">
        <w:rPr>
          <w:rFonts w:cstheme="minorHAnsi"/>
        </w:rPr>
        <w:t xml:space="preserve"> </w:t>
      </w:r>
      <w:r w:rsidRPr="003F264A">
        <w:rPr>
          <w:rFonts w:cstheme="minorHAnsi"/>
        </w:rPr>
        <w:t>19-29 year</w:t>
      </w:r>
      <w:r w:rsidR="00F56BF6" w:rsidRPr="003F264A">
        <w:rPr>
          <w:rFonts w:cstheme="minorHAnsi"/>
        </w:rPr>
        <w:t>s</w:t>
      </w:r>
      <w:r w:rsidRPr="003F264A">
        <w:rPr>
          <w:rFonts w:cstheme="minorHAnsi"/>
        </w:rPr>
        <w:t xml:space="preserve"> have an average balance of $10,166 while women average $8</w:t>
      </w:r>
      <w:r w:rsidR="009762A7" w:rsidRPr="003F264A">
        <w:rPr>
          <w:rFonts w:cstheme="minorHAnsi"/>
        </w:rPr>
        <w:t>,</w:t>
      </w:r>
      <w:r w:rsidRPr="003F264A">
        <w:rPr>
          <w:rFonts w:cstheme="minorHAnsi"/>
        </w:rPr>
        <w:t>408.</w:t>
      </w:r>
      <w:r w:rsidRPr="003F264A">
        <w:rPr>
          <w:rStyle w:val="FootnoteReference"/>
          <w:rFonts w:cstheme="minorHAnsi"/>
        </w:rPr>
        <w:footnoteReference w:id="53"/>
      </w:r>
      <w:r w:rsidRPr="003F264A">
        <w:rPr>
          <w:rFonts w:cstheme="minorHAnsi"/>
        </w:rPr>
        <w:t xml:space="preserve"> </w:t>
      </w:r>
      <w:r w:rsidR="00E74DA3" w:rsidRPr="003F264A">
        <w:rPr>
          <w:rFonts w:cstheme="minorHAnsi"/>
        </w:rPr>
        <w:t xml:space="preserve">  The ATO reported that for the </w:t>
      </w:r>
      <w:r w:rsidR="00054A2E">
        <w:rPr>
          <w:rFonts w:cstheme="minorHAnsi"/>
        </w:rPr>
        <w:t xml:space="preserve">financial </w:t>
      </w:r>
      <w:r w:rsidR="00E74DA3" w:rsidRPr="003F264A">
        <w:rPr>
          <w:rFonts w:cstheme="minorHAnsi"/>
        </w:rPr>
        <w:t>year 2019-20, the median super balances for women at pre-retirement (45-59 years old) were 32 per cent</w:t>
      </w:r>
      <w:r w:rsidR="002947EB">
        <w:rPr>
          <w:rFonts w:cstheme="minorHAnsi"/>
        </w:rPr>
        <w:t xml:space="preserve"> (</w:t>
      </w:r>
      <w:r w:rsidR="00E74DA3" w:rsidRPr="003F264A">
        <w:rPr>
          <w:rFonts w:cstheme="minorHAnsi"/>
        </w:rPr>
        <w:t>$133,776</w:t>
      </w:r>
      <w:r w:rsidR="002947EB">
        <w:rPr>
          <w:rFonts w:cstheme="minorHAnsi"/>
        </w:rPr>
        <w:t>)</w:t>
      </w:r>
      <w:r w:rsidR="00E74DA3" w:rsidRPr="003F264A">
        <w:rPr>
          <w:rFonts w:cstheme="minorHAnsi"/>
        </w:rPr>
        <w:t xml:space="preserve"> lower than those for men at retirement (60–64 years old) </w:t>
      </w:r>
      <w:r w:rsidR="00F0724B" w:rsidRPr="003F264A">
        <w:rPr>
          <w:rFonts w:cstheme="minorHAnsi"/>
          <w:noProof/>
          <w:lang w:eastAsia="en-AU"/>
        </w:rPr>
        <w:drawing>
          <wp:anchor distT="0" distB="0" distL="114300" distR="114300" simplePos="0" relativeHeight="251658250" behindDoc="1" locked="0" layoutInCell="1" allowOverlap="1" wp14:anchorId="5CCE8AB8" wp14:editId="29CA630F">
            <wp:simplePos x="0" y="0"/>
            <wp:positionH relativeFrom="margin">
              <wp:align>right</wp:align>
            </wp:positionH>
            <wp:positionV relativeFrom="paragraph">
              <wp:posOffset>293</wp:posOffset>
            </wp:positionV>
            <wp:extent cx="3670300" cy="2078355"/>
            <wp:effectExtent l="0" t="0" r="635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670300" cy="2078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47EB">
        <w:rPr>
          <w:rFonts w:cstheme="minorHAnsi"/>
        </w:rPr>
        <w:t xml:space="preserve">and </w:t>
      </w:r>
      <w:r w:rsidR="00E74DA3" w:rsidRPr="003F264A">
        <w:rPr>
          <w:rFonts w:cstheme="minorHAnsi"/>
        </w:rPr>
        <w:t>23.2 per cent</w:t>
      </w:r>
      <w:r w:rsidR="002947EB">
        <w:rPr>
          <w:rFonts w:cstheme="minorHAnsi"/>
        </w:rPr>
        <w:t xml:space="preserve"> (</w:t>
      </w:r>
      <w:r w:rsidR="00E74DA3" w:rsidRPr="003F264A">
        <w:rPr>
          <w:rFonts w:cstheme="minorHAnsi"/>
        </w:rPr>
        <w:t>$41,872</w:t>
      </w:r>
      <w:r w:rsidR="002947EB">
        <w:rPr>
          <w:rFonts w:cstheme="minorHAnsi"/>
        </w:rPr>
        <w:t>)</w:t>
      </w:r>
      <w:r w:rsidR="00E74DA3" w:rsidRPr="003F264A">
        <w:rPr>
          <w:rFonts w:cstheme="minorHAnsi"/>
        </w:rPr>
        <w:t xml:space="preserve"> lower than those for men</w:t>
      </w:r>
      <w:r w:rsidR="002947EB">
        <w:rPr>
          <w:rFonts w:cstheme="minorHAnsi"/>
        </w:rPr>
        <w:t xml:space="preserve"> when</w:t>
      </w:r>
      <w:r w:rsidR="00054A2E">
        <w:rPr>
          <w:rFonts w:cstheme="minorHAnsi"/>
        </w:rPr>
        <w:t xml:space="preserve"> disaggregated by State and Territory </w:t>
      </w:r>
      <w:r w:rsidR="002947EB">
        <w:rPr>
          <w:rFonts w:cstheme="minorHAnsi"/>
        </w:rPr>
        <w:t xml:space="preserve">as seen </w:t>
      </w:r>
      <w:r w:rsidR="00054A2E">
        <w:rPr>
          <w:rFonts w:cstheme="minorHAnsi"/>
        </w:rPr>
        <w:t>in the chart to the right</w:t>
      </w:r>
      <w:r w:rsidR="00E74DA3" w:rsidRPr="003F264A">
        <w:rPr>
          <w:rFonts w:cstheme="minorHAnsi"/>
        </w:rPr>
        <w:t>.</w:t>
      </w:r>
      <w:r w:rsidR="00E74DA3" w:rsidRPr="003F264A">
        <w:rPr>
          <w:rStyle w:val="FootnoteReference"/>
          <w:rFonts w:cstheme="minorHAnsi"/>
        </w:rPr>
        <w:footnoteReference w:id="54"/>
      </w:r>
      <w:r w:rsidR="00E74DA3" w:rsidRPr="003F264A">
        <w:rPr>
          <w:rFonts w:cstheme="minorHAnsi"/>
        </w:rPr>
        <w:t xml:space="preserve"> </w:t>
      </w:r>
    </w:p>
    <w:p w14:paraId="7DA8B2E8" w14:textId="2E233DE0" w:rsidR="004B2D21" w:rsidRPr="003F264A" w:rsidRDefault="004B2D21" w:rsidP="000F6998">
      <w:pPr>
        <w:jc w:val="both"/>
        <w:rPr>
          <w:rFonts w:cstheme="minorHAnsi"/>
          <w:b/>
        </w:rPr>
      </w:pPr>
      <w:r w:rsidRPr="003F264A">
        <w:rPr>
          <w:rFonts w:cstheme="minorHAnsi"/>
          <w:b/>
        </w:rPr>
        <w:t>CEO remuneration</w:t>
      </w:r>
    </w:p>
    <w:p w14:paraId="4BE4674A" w14:textId="7B40C895" w:rsidR="004B2D21" w:rsidRPr="003F264A" w:rsidRDefault="00F0724B" w:rsidP="000F6998">
      <w:pPr>
        <w:jc w:val="both"/>
        <w:rPr>
          <w:rFonts w:cstheme="minorHAnsi"/>
        </w:rPr>
      </w:pPr>
      <w:r w:rsidRPr="004C2059">
        <w:rPr>
          <w:rFonts w:cstheme="minorHAnsi"/>
          <w:noProof/>
          <w:lang w:eastAsia="en-AU"/>
        </w:rPr>
        <mc:AlternateContent>
          <mc:Choice Requires="wps">
            <w:drawing>
              <wp:anchor distT="45720" distB="45720" distL="114300" distR="114300" simplePos="0" relativeHeight="251658258" behindDoc="1" locked="0" layoutInCell="1" allowOverlap="1" wp14:anchorId="36E3CB3F" wp14:editId="221D78CF">
                <wp:simplePos x="0" y="0"/>
                <wp:positionH relativeFrom="margin">
                  <wp:align>right</wp:align>
                </wp:positionH>
                <wp:positionV relativeFrom="page">
                  <wp:posOffset>3012538</wp:posOffset>
                </wp:positionV>
                <wp:extent cx="3327400" cy="435610"/>
                <wp:effectExtent l="0" t="0" r="6350" b="2540"/>
                <wp:wrapTight wrapText="bothSides">
                  <wp:wrapPolygon edited="0">
                    <wp:start x="0" y="0"/>
                    <wp:lineTo x="0" y="20781"/>
                    <wp:lineTo x="21518" y="20781"/>
                    <wp:lineTo x="2151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435610"/>
                        </a:xfrm>
                        <a:prstGeom prst="rect">
                          <a:avLst/>
                        </a:prstGeom>
                        <a:solidFill>
                          <a:srgbClr val="FFFFFF"/>
                        </a:solidFill>
                        <a:ln w="9525">
                          <a:noFill/>
                          <a:miter lim="800000"/>
                          <a:headEnd/>
                          <a:tailEnd/>
                        </a:ln>
                      </wps:spPr>
                      <wps:txbx>
                        <w:txbxContent>
                          <w:p w14:paraId="362CBC45" w14:textId="194EF0FB" w:rsidR="00D073EC" w:rsidRPr="00FE5AC3" w:rsidRDefault="00D073EC" w:rsidP="00FE5AC3">
                            <w:pPr>
                              <w:jc w:val="center"/>
                              <w:rPr>
                                <w:b/>
                              </w:rPr>
                            </w:pPr>
                            <w:r w:rsidRPr="00FE5AC3">
                              <w:rPr>
                                <w:b/>
                              </w:rPr>
                              <w:t xml:space="preserve">Figure </w:t>
                            </w:r>
                            <w:r>
                              <w:rPr>
                                <w:b/>
                              </w:rPr>
                              <w:t>3</w:t>
                            </w:r>
                            <w:r w:rsidRPr="00FE5AC3">
                              <w:rPr>
                                <w:b/>
                              </w:rPr>
                              <w:t xml:space="preserve">: </w:t>
                            </w:r>
                            <w:r>
                              <w:rPr>
                                <w:b/>
                              </w:rPr>
                              <w:t>Super Balance, by State/Territory and Sex, 2019-20 Financial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3CB3F" id="_x0000_s1030" type="#_x0000_t202" style="position:absolute;left:0;text-align:left;margin-left:210.8pt;margin-top:237.2pt;width:262pt;height:34.3pt;z-index:-25165822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" stroked="f">
                <v:textbox>
                  <w:txbxContent>
                    <w:p w14:paraId="362CBC45" w14:textId="194EF0FB" w:rsidR="00D073EC" w:rsidRPr="00FE5AC3" w:rsidRDefault="00D073EC" w:rsidP="00FE5AC3">
                      <w:pPr>
                        <w:jc w:val="center"/>
                        <w:rPr>
                          <w:b/>
                        </w:rPr>
                      </w:pPr>
                      <w:r w:rsidRPr="00FE5AC3">
                        <w:rPr>
                          <w:b/>
                        </w:rPr>
                        <w:t xml:space="preserve">Figure </w:t>
                      </w:r>
                      <w:r>
                        <w:rPr>
                          <w:b/>
                        </w:rPr>
                        <w:t>3</w:t>
                      </w:r>
                      <w:r w:rsidRPr="00FE5AC3">
                        <w:rPr>
                          <w:b/>
                        </w:rPr>
                        <w:t xml:space="preserve">: </w:t>
                      </w:r>
                      <w:r>
                        <w:rPr>
                          <w:b/>
                        </w:rPr>
                        <w:t>Super Balance, by State/Territory and Sex, 2019-20 Financial Year</w:t>
                      </w:r>
                    </w:p>
                  </w:txbxContent>
                </v:textbox>
                <w10:wrap type="tight" anchorx="margin" anchory="page"/>
              </v:shape>
            </w:pict>
          </mc:Fallback>
        </mc:AlternateContent>
      </w:r>
      <w:r w:rsidR="004A0F8E" w:rsidRPr="003F264A">
        <w:rPr>
          <w:rFonts w:cstheme="minorHAnsi"/>
        </w:rPr>
        <w:t>Currently, under the WGE Act</w:t>
      </w:r>
      <w:r w:rsidR="00F56BF6" w:rsidRPr="003F264A">
        <w:rPr>
          <w:rFonts w:cstheme="minorHAnsi"/>
        </w:rPr>
        <w:t>,</w:t>
      </w:r>
      <w:r w:rsidR="004A0F8E" w:rsidRPr="003F264A">
        <w:rPr>
          <w:rFonts w:cstheme="minorHAnsi"/>
        </w:rPr>
        <w:t xml:space="preserve"> i</w:t>
      </w:r>
      <w:r w:rsidR="004B2D21" w:rsidRPr="003F264A">
        <w:rPr>
          <w:rFonts w:cstheme="minorHAnsi"/>
        </w:rPr>
        <w:t>t is not mandatory for employers to report CEO remuneration to WGEA.</w:t>
      </w:r>
      <w:r w:rsidR="00D06B3E">
        <w:rPr>
          <w:rStyle w:val="FootnoteReference"/>
          <w:rFonts w:cstheme="minorHAnsi"/>
        </w:rPr>
        <w:footnoteReference w:id="55"/>
      </w:r>
      <w:r w:rsidR="004B2D21" w:rsidRPr="003F264A">
        <w:rPr>
          <w:rFonts w:cstheme="minorHAnsi"/>
        </w:rPr>
        <w:t xml:space="preserve"> This gap in the WGEA dataset means statistics on remuneration between women and men</w:t>
      </w:r>
      <w:r w:rsidR="004A0F8E" w:rsidRPr="003F264A">
        <w:rPr>
          <w:rFonts w:cstheme="minorHAnsi"/>
        </w:rPr>
        <w:t xml:space="preserve"> </w:t>
      </w:r>
      <w:r w:rsidR="004B2D21" w:rsidRPr="003F264A">
        <w:rPr>
          <w:rFonts w:cstheme="minorHAnsi"/>
        </w:rPr>
        <w:t xml:space="preserve">are incomplete. The gender pay gap is higher for executive level women than </w:t>
      </w:r>
      <w:r w:rsidR="007432E1" w:rsidRPr="003F264A">
        <w:rPr>
          <w:rFonts w:cstheme="minorHAnsi"/>
        </w:rPr>
        <w:t xml:space="preserve">for </w:t>
      </w:r>
      <w:r w:rsidR="004B2D21" w:rsidRPr="003F264A">
        <w:rPr>
          <w:rFonts w:cstheme="minorHAnsi"/>
        </w:rPr>
        <w:t xml:space="preserve">the </w:t>
      </w:r>
      <w:r w:rsidR="007432E1" w:rsidRPr="003F264A">
        <w:rPr>
          <w:rFonts w:cstheme="minorHAnsi"/>
        </w:rPr>
        <w:t>‘</w:t>
      </w:r>
      <w:r w:rsidR="004B2D21" w:rsidRPr="003F264A">
        <w:rPr>
          <w:rFonts w:cstheme="minorHAnsi"/>
        </w:rPr>
        <w:t>average working woman</w:t>
      </w:r>
      <w:r w:rsidR="007432E1" w:rsidRPr="003F264A">
        <w:rPr>
          <w:rFonts w:cstheme="minorHAnsi"/>
        </w:rPr>
        <w:t>’</w:t>
      </w:r>
      <w:r w:rsidR="004B2D21" w:rsidRPr="003F264A">
        <w:rPr>
          <w:rFonts w:cstheme="minorHAnsi"/>
        </w:rPr>
        <w:t>.</w:t>
      </w:r>
      <w:r w:rsidR="004B2D21" w:rsidRPr="003F264A">
        <w:rPr>
          <w:rStyle w:val="FootnoteReference"/>
          <w:rFonts w:cstheme="minorHAnsi"/>
        </w:rPr>
        <w:footnoteReference w:id="56"/>
      </w:r>
      <w:r w:rsidR="004B2D21" w:rsidRPr="003F264A">
        <w:rPr>
          <w:rFonts w:cstheme="minorHAnsi"/>
        </w:rPr>
        <w:t xml:space="preserve"> Research conducted by the Bankwest Curtin Economics Centre and WGEA found that men are paid more than women at every level of management. The highest paid 10 </w:t>
      </w:r>
      <w:r w:rsidR="001D1E26" w:rsidRPr="003F264A">
        <w:rPr>
          <w:rFonts w:cstheme="minorHAnsi"/>
          <w:color w:val="000000"/>
        </w:rPr>
        <w:t>per cent</w:t>
      </w:r>
      <w:r w:rsidR="004B2D21" w:rsidRPr="003F264A">
        <w:rPr>
          <w:rFonts w:cstheme="minorHAnsi"/>
          <w:color w:val="000000"/>
        </w:rPr>
        <w:t xml:space="preserve"> of men take home a total salary of at least $598,745, compared to $436,369 for the highest paid 10 </w:t>
      </w:r>
      <w:r w:rsidR="001D1E26" w:rsidRPr="003F264A">
        <w:rPr>
          <w:rFonts w:cstheme="minorHAnsi"/>
          <w:color w:val="000000"/>
        </w:rPr>
        <w:t>per cent</w:t>
      </w:r>
      <w:r w:rsidR="004B2D21" w:rsidRPr="003F264A">
        <w:rPr>
          <w:rFonts w:cstheme="minorHAnsi"/>
          <w:color w:val="000000"/>
        </w:rPr>
        <w:t xml:space="preserve"> of women, a difference of $162,000.</w:t>
      </w:r>
      <w:r w:rsidR="004B2D21" w:rsidRPr="003F264A">
        <w:rPr>
          <w:rStyle w:val="FootnoteReference"/>
          <w:rFonts w:cstheme="minorHAnsi"/>
          <w:color w:val="000000"/>
        </w:rPr>
        <w:footnoteReference w:id="57"/>
      </w:r>
      <w:r w:rsidR="004B2D21" w:rsidRPr="003F264A">
        <w:rPr>
          <w:rFonts w:cstheme="minorHAnsi"/>
          <w:color w:val="000000"/>
        </w:rPr>
        <w:t xml:space="preserve"> Whereas the national gender pay gap will take approximately 26 years to close at the current rate, current growth </w:t>
      </w:r>
      <w:r w:rsidR="008D3C39">
        <w:rPr>
          <w:rFonts w:cstheme="minorHAnsi"/>
        </w:rPr>
        <w:t>will</w:t>
      </w:r>
      <w:r w:rsidR="008D3C39" w:rsidRPr="003F264A">
        <w:rPr>
          <w:rFonts w:cstheme="minorHAnsi"/>
        </w:rPr>
        <w:t xml:space="preserve"> </w:t>
      </w:r>
      <w:r w:rsidR="004B2D21" w:rsidRPr="003F264A">
        <w:rPr>
          <w:rFonts w:cstheme="minorHAnsi"/>
          <w:color w:val="000000"/>
        </w:rPr>
        <w:t>see female CEOs wait until 2100 to close the gender pay gap (80 years from the time of th</w:t>
      </w:r>
      <w:r w:rsidR="00F56BF6" w:rsidRPr="003F264A">
        <w:rPr>
          <w:rFonts w:cstheme="minorHAnsi"/>
          <w:color w:val="000000"/>
        </w:rPr>
        <w:t>is</w:t>
      </w:r>
      <w:r w:rsidR="004B2D21" w:rsidRPr="003F264A">
        <w:rPr>
          <w:rFonts w:cstheme="minorHAnsi"/>
          <w:color w:val="000000"/>
        </w:rPr>
        <w:t xml:space="preserve"> report).</w:t>
      </w:r>
      <w:r w:rsidR="004B2D21" w:rsidRPr="003F264A">
        <w:rPr>
          <w:rStyle w:val="FootnoteReference"/>
          <w:rFonts w:cstheme="minorHAnsi"/>
          <w:color w:val="000000"/>
        </w:rPr>
        <w:footnoteReference w:id="58"/>
      </w:r>
    </w:p>
    <w:p w14:paraId="145B6936" w14:textId="502B311C" w:rsidR="004B2D21" w:rsidRPr="003F264A" w:rsidRDefault="004B2D21" w:rsidP="000F6998">
      <w:pPr>
        <w:jc w:val="both"/>
        <w:rPr>
          <w:rFonts w:cstheme="minorHAnsi"/>
        </w:rPr>
      </w:pPr>
      <w:r w:rsidRPr="003F264A">
        <w:rPr>
          <w:rFonts w:cstheme="minorHAnsi"/>
        </w:rPr>
        <w:t>Each of these data points have important interactions with</w:t>
      </w:r>
      <w:r w:rsidR="00F56BF6" w:rsidRPr="003F264A">
        <w:rPr>
          <w:rFonts w:cstheme="minorHAnsi"/>
        </w:rPr>
        <w:t>,</w:t>
      </w:r>
      <w:r w:rsidRPr="003F264A">
        <w:rPr>
          <w:rFonts w:cstheme="minorHAnsi"/>
        </w:rPr>
        <w:t xml:space="preserve"> and impacts on</w:t>
      </w:r>
      <w:r w:rsidR="00F56BF6" w:rsidRPr="003F264A">
        <w:rPr>
          <w:rFonts w:cstheme="minorHAnsi"/>
        </w:rPr>
        <w:t>,</w:t>
      </w:r>
      <w:r w:rsidRPr="003F264A">
        <w:rPr>
          <w:rFonts w:cstheme="minorHAnsi"/>
        </w:rPr>
        <w:t xml:space="preserve"> the gender pay gap. WGEA is not able to form a complete picture of workforce gender inequality in Australia without these data points being answered mandatorily.</w:t>
      </w:r>
      <w:r w:rsidR="00DA77ED">
        <w:rPr>
          <w:rFonts w:cstheme="minorHAnsi"/>
        </w:rPr>
        <w:t xml:space="preserve"> This is </w:t>
      </w:r>
      <w:r w:rsidR="00DA77ED" w:rsidRPr="00DA77ED">
        <w:rPr>
          <w:rFonts w:cstheme="minorHAnsi"/>
        </w:rPr>
        <w:t>impacting opportunities to hold organisations accountable for pay disparity and affect change</w:t>
      </w:r>
      <w:r w:rsidR="00DA77ED">
        <w:rPr>
          <w:rFonts w:cstheme="minorHAnsi"/>
        </w:rPr>
        <w:t>.</w:t>
      </w:r>
      <w:r w:rsidRPr="003F264A">
        <w:rPr>
          <w:rFonts w:cstheme="minorHAnsi"/>
        </w:rPr>
        <w:t xml:space="preserve"> </w:t>
      </w:r>
    </w:p>
    <w:p w14:paraId="11E0029A" w14:textId="4A48DA2A" w:rsidR="004B2D21" w:rsidRPr="003F264A" w:rsidRDefault="004B2D21" w:rsidP="000F6998">
      <w:pPr>
        <w:jc w:val="both"/>
        <w:rPr>
          <w:rFonts w:cstheme="minorHAnsi"/>
        </w:rPr>
      </w:pPr>
      <w:r w:rsidRPr="003F264A">
        <w:rPr>
          <w:rFonts w:cstheme="minorHAnsi"/>
          <w:b/>
        </w:rPr>
        <w:t>Entity-level Data for Corporate Structures</w:t>
      </w:r>
    </w:p>
    <w:p w14:paraId="59D09A72" w14:textId="77777777" w:rsidR="007B05C1" w:rsidRDefault="007B05C1" w:rsidP="000F6998">
      <w:pPr>
        <w:jc w:val="both"/>
      </w:pPr>
      <w:r>
        <w:t>Employers report to WGEA in different ways. About 55</w:t>
      </w:r>
      <w:r w:rsidR="00E93B7E">
        <w:t xml:space="preserve"> per cent </w:t>
      </w:r>
      <w:r>
        <w:t>are standalone organisations and 45</w:t>
      </w:r>
      <w:r w:rsidR="00E93B7E">
        <w:t xml:space="preserve"> per cent </w:t>
      </w:r>
      <w:r>
        <w:t>are corporate groups. Corporate groups can report in different ways - together as one employer or on their single different entities/employers within the corporate group. About 90</w:t>
      </w:r>
      <w:r w:rsidR="00E93B7E">
        <w:t xml:space="preserve"> per cent </w:t>
      </w:r>
      <w:r>
        <w:t>of all corporate groups report as one employer.</w:t>
      </w:r>
    </w:p>
    <w:p w14:paraId="32C1F2B6" w14:textId="4B757415" w:rsidR="004B2D21" w:rsidRPr="003F264A" w:rsidRDefault="00146267" w:rsidP="000F6998">
      <w:pPr>
        <w:jc w:val="both"/>
        <w:rPr>
          <w:rFonts w:cstheme="minorHAnsi"/>
        </w:rPr>
      </w:pPr>
      <w:r>
        <w:rPr>
          <w:rFonts w:cstheme="minorHAnsi"/>
        </w:rPr>
        <w:t xml:space="preserve">The current approach </w:t>
      </w:r>
      <w:r w:rsidR="007B05C1">
        <w:rPr>
          <w:rFonts w:cstheme="minorHAnsi"/>
        </w:rPr>
        <w:t>display</w:t>
      </w:r>
      <w:r w:rsidR="006E215B">
        <w:rPr>
          <w:rFonts w:cstheme="minorHAnsi"/>
        </w:rPr>
        <w:t>s</w:t>
      </w:r>
      <w:r w:rsidR="007B05C1">
        <w:rPr>
          <w:rFonts w:cstheme="minorHAnsi"/>
        </w:rPr>
        <w:t xml:space="preserve"> all data as corporate groups and not individual entities results</w:t>
      </w:r>
      <w:r w:rsidR="004B2D21" w:rsidRPr="003F264A">
        <w:rPr>
          <w:rFonts w:cstheme="minorHAnsi"/>
        </w:rPr>
        <w:t xml:space="preserve"> inconsistencies with how data is being reported for group entities</w:t>
      </w:r>
      <w:r w:rsidR="00F56BF6" w:rsidRPr="003F264A">
        <w:rPr>
          <w:rFonts w:cstheme="minorHAnsi"/>
        </w:rPr>
        <w:t>,</w:t>
      </w:r>
      <w:r w:rsidR="004B2D21" w:rsidRPr="003F264A">
        <w:rPr>
          <w:rFonts w:cstheme="minorHAnsi"/>
        </w:rPr>
        <w:t xml:space="preserve"> and distorts the integrity of certain data points. </w:t>
      </w:r>
      <w:r w:rsidR="00D06B3E">
        <w:rPr>
          <w:rFonts w:cstheme="minorHAnsi"/>
        </w:rPr>
        <w:t xml:space="preserve">In particular, manager data is not consistently reported on for employers that report as a group structure for their subsidiaries. </w:t>
      </w:r>
      <w:r w:rsidR="007E68CC" w:rsidRPr="003F264A">
        <w:rPr>
          <w:rFonts w:cstheme="minorHAnsi"/>
        </w:rPr>
        <w:t xml:space="preserve">Separating out </w:t>
      </w:r>
      <w:r w:rsidR="00D06B3E">
        <w:rPr>
          <w:rFonts w:cstheme="minorHAnsi"/>
        </w:rPr>
        <w:t xml:space="preserve">manager </w:t>
      </w:r>
      <w:r w:rsidR="007E68CC" w:rsidRPr="003F264A">
        <w:rPr>
          <w:rFonts w:cstheme="minorHAnsi"/>
        </w:rPr>
        <w:t>data on an entity-level basis will enhance the quality of the data and enable WGEA to further drive change.</w:t>
      </w:r>
    </w:p>
    <w:p w14:paraId="55890E27" w14:textId="77777777" w:rsidR="004B2D21" w:rsidRPr="003F264A" w:rsidRDefault="004B2D21" w:rsidP="000F6998">
      <w:pPr>
        <w:pStyle w:val="Heading2"/>
        <w:jc w:val="both"/>
        <w:rPr>
          <w:rFonts w:asciiTheme="minorHAnsi" w:hAnsiTheme="minorHAnsi" w:cstheme="minorHAnsi"/>
        </w:rPr>
      </w:pPr>
      <w:bookmarkStart w:id="18" w:name="_Toc118794713"/>
      <w:bookmarkStart w:id="19" w:name="_Toc125714688"/>
      <w:r w:rsidRPr="003F264A">
        <w:rPr>
          <w:rFonts w:asciiTheme="minorHAnsi" w:hAnsiTheme="minorHAnsi" w:cstheme="minorHAnsi"/>
        </w:rPr>
        <w:t>3.4 Certain elements of reporting are burdensome on businesses</w:t>
      </w:r>
      <w:bookmarkEnd w:id="18"/>
      <w:bookmarkEnd w:id="19"/>
    </w:p>
    <w:p w14:paraId="05F0C670" w14:textId="1C8267FF" w:rsidR="004B2D21" w:rsidRPr="003F264A" w:rsidRDefault="007E68CC" w:rsidP="000F6998">
      <w:pPr>
        <w:jc w:val="both"/>
        <w:rPr>
          <w:rFonts w:cstheme="minorHAnsi"/>
        </w:rPr>
      </w:pPr>
      <w:r w:rsidRPr="003F264A">
        <w:rPr>
          <w:rFonts w:cstheme="minorHAnsi"/>
          <w:noProof/>
          <w:lang w:eastAsia="en-AU"/>
        </w:rPr>
        <w:drawing>
          <wp:anchor distT="0" distB="0" distL="114300" distR="114300" simplePos="0" relativeHeight="251658243" behindDoc="1" locked="0" layoutInCell="1" allowOverlap="1" wp14:anchorId="4C0F7D09" wp14:editId="093C98D1">
            <wp:simplePos x="0" y="0"/>
            <wp:positionH relativeFrom="column">
              <wp:posOffset>4119754</wp:posOffset>
            </wp:positionH>
            <wp:positionV relativeFrom="paragraph">
              <wp:posOffset>59948</wp:posOffset>
            </wp:positionV>
            <wp:extent cx="2014220" cy="2009140"/>
            <wp:effectExtent l="0" t="0" r="5080" b="0"/>
            <wp:wrapTight wrapText="bothSides">
              <wp:wrapPolygon edited="0">
                <wp:start x="0" y="0"/>
                <wp:lineTo x="0" y="21300"/>
                <wp:lineTo x="21450" y="21300"/>
                <wp:lineTo x="2145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14220" cy="2009140"/>
                    </a:xfrm>
                    <a:prstGeom prst="rect">
                      <a:avLst/>
                    </a:prstGeom>
                  </pic:spPr>
                </pic:pic>
              </a:graphicData>
            </a:graphic>
            <wp14:sizeRelH relativeFrom="page">
              <wp14:pctWidth>0</wp14:pctWidth>
            </wp14:sizeRelH>
            <wp14:sizeRelV relativeFrom="page">
              <wp14:pctHeight>0</wp14:pctHeight>
            </wp14:sizeRelV>
          </wp:anchor>
        </w:drawing>
      </w:r>
      <w:r w:rsidR="004B2D21" w:rsidRPr="003F264A">
        <w:rPr>
          <w:rFonts w:cstheme="minorHAnsi"/>
        </w:rPr>
        <w:t xml:space="preserve">As part of the WGEA Review, stakeholders identified </w:t>
      </w:r>
      <w:r w:rsidR="006D1D5C" w:rsidRPr="003F264A">
        <w:rPr>
          <w:rFonts w:cstheme="minorHAnsi"/>
        </w:rPr>
        <w:t xml:space="preserve">burdensome </w:t>
      </w:r>
      <w:r w:rsidR="004B2D21" w:rsidRPr="003F264A">
        <w:rPr>
          <w:rFonts w:cstheme="minorHAnsi"/>
        </w:rPr>
        <w:t xml:space="preserve">reporting processes. </w:t>
      </w:r>
      <w:r w:rsidR="006D1D5C" w:rsidRPr="003F264A">
        <w:rPr>
          <w:rFonts w:cstheme="minorHAnsi"/>
        </w:rPr>
        <w:t xml:space="preserve">Employers indicated that they are sometimes required to </w:t>
      </w:r>
      <w:r w:rsidR="004B2D21" w:rsidRPr="003F264A">
        <w:rPr>
          <w:rFonts w:cstheme="minorHAnsi"/>
        </w:rPr>
        <w:t xml:space="preserve">extract data from multiple payroll and </w:t>
      </w:r>
      <w:r w:rsidRPr="003F264A">
        <w:rPr>
          <w:rFonts w:cstheme="minorHAnsi"/>
        </w:rPr>
        <w:t>human resources</w:t>
      </w:r>
      <w:r w:rsidR="004B2D21" w:rsidRPr="003F264A">
        <w:rPr>
          <w:rFonts w:cstheme="minorHAnsi"/>
        </w:rPr>
        <w:t xml:space="preserve"> systems</w:t>
      </w:r>
      <w:r w:rsidRPr="003F264A">
        <w:rPr>
          <w:rFonts w:cstheme="minorHAnsi"/>
        </w:rPr>
        <w:t>,</w:t>
      </w:r>
      <w:r w:rsidR="004B2D21" w:rsidRPr="003F264A">
        <w:rPr>
          <w:rFonts w:cstheme="minorHAnsi"/>
        </w:rPr>
        <w:t xml:space="preserve"> and conduct time-</w:t>
      </w:r>
      <w:r w:rsidR="00B92E8E" w:rsidRPr="003F264A">
        <w:rPr>
          <w:rFonts w:cstheme="minorHAnsi"/>
        </w:rPr>
        <w:t>consuming manual work to collate</w:t>
      </w:r>
      <w:r w:rsidR="004B2D21" w:rsidRPr="003F264A">
        <w:rPr>
          <w:rFonts w:cstheme="minorHAnsi"/>
        </w:rPr>
        <w:t xml:space="preserve">, interpret and validate data from different systems. </w:t>
      </w:r>
      <w:r w:rsidR="0022429C">
        <w:rPr>
          <w:rFonts w:cstheme="minorHAnsi"/>
        </w:rPr>
        <w:t>T</w:t>
      </w:r>
      <w:r w:rsidR="0022429C" w:rsidRPr="0022429C">
        <w:rPr>
          <w:rFonts w:cstheme="minorHAnsi"/>
        </w:rPr>
        <w:t>his reporting burden creates limited space for future, more impactful changes</w:t>
      </w:r>
      <w:r w:rsidR="0022429C">
        <w:rPr>
          <w:rFonts w:cstheme="minorHAnsi"/>
        </w:rPr>
        <w:t>.</w:t>
      </w:r>
    </w:p>
    <w:p w14:paraId="00F9691E" w14:textId="77777777" w:rsidR="004B2D21" w:rsidRPr="003F264A" w:rsidRDefault="004B2D21" w:rsidP="000F6998">
      <w:pPr>
        <w:jc w:val="both"/>
        <w:rPr>
          <w:rFonts w:cstheme="minorHAnsi"/>
        </w:rPr>
      </w:pPr>
      <w:r w:rsidRPr="003F264A">
        <w:rPr>
          <w:rFonts w:cstheme="minorHAnsi"/>
        </w:rPr>
        <w:t xml:space="preserve">After consulting with stakeholders on </w:t>
      </w:r>
      <w:r w:rsidR="00441804" w:rsidRPr="003F264A">
        <w:rPr>
          <w:rFonts w:cstheme="minorHAnsi"/>
        </w:rPr>
        <w:t xml:space="preserve">which </w:t>
      </w:r>
      <w:r w:rsidRPr="003F264A">
        <w:rPr>
          <w:rFonts w:cstheme="minorHAnsi"/>
        </w:rPr>
        <w:t xml:space="preserve">particular aspects of reporting were </w:t>
      </w:r>
      <w:r w:rsidR="006D1D5C" w:rsidRPr="003F264A">
        <w:rPr>
          <w:rFonts w:cstheme="minorHAnsi"/>
        </w:rPr>
        <w:t>most cumbersome</w:t>
      </w:r>
      <w:r w:rsidRPr="003F264A">
        <w:rPr>
          <w:rFonts w:cstheme="minorHAnsi"/>
        </w:rPr>
        <w:t xml:space="preserve">, the WGEA Review identified three significant pain points for reporting employers. </w:t>
      </w:r>
    </w:p>
    <w:p w14:paraId="7B4260BD" w14:textId="77777777" w:rsidR="004B2D21" w:rsidRPr="003F264A" w:rsidRDefault="004B2D21" w:rsidP="000F6998">
      <w:pPr>
        <w:pStyle w:val="ListParagraph"/>
        <w:numPr>
          <w:ilvl w:val="0"/>
          <w:numId w:val="2"/>
        </w:numPr>
        <w:jc w:val="both"/>
        <w:rPr>
          <w:rFonts w:cstheme="minorHAnsi"/>
        </w:rPr>
      </w:pPr>
      <w:r w:rsidRPr="003F264A">
        <w:rPr>
          <w:rFonts w:cstheme="minorHAnsi"/>
        </w:rPr>
        <w:t xml:space="preserve">‘Reporting level to the CEO’ </w:t>
      </w:r>
    </w:p>
    <w:p w14:paraId="3C861F62" w14:textId="657E91DC" w:rsidR="004B2D21" w:rsidRPr="003F264A" w:rsidRDefault="004B2D21" w:rsidP="000F6998">
      <w:pPr>
        <w:jc w:val="both"/>
        <w:rPr>
          <w:rFonts w:cstheme="minorHAnsi"/>
        </w:rPr>
      </w:pPr>
      <w:r w:rsidRPr="003F264A">
        <w:rPr>
          <w:rFonts w:cstheme="minorHAnsi"/>
        </w:rPr>
        <w:t xml:space="preserve">Currently relevant employers must report on managerial distance from the CEO or equivalent.  The method of describing employee positions and distance from the CEO does not align with many existing workplace reporting structures. The majority of relevant employers spend considerable time interpreting and applying this requirement. The stakeholders that reported </w:t>
      </w:r>
      <w:r w:rsidR="00396236" w:rsidRPr="003F264A">
        <w:rPr>
          <w:rFonts w:cstheme="minorHAnsi"/>
        </w:rPr>
        <w:t xml:space="preserve">investing </w:t>
      </w:r>
      <w:r w:rsidRPr="003F264A">
        <w:rPr>
          <w:rFonts w:cstheme="minorHAnsi"/>
        </w:rPr>
        <w:t xml:space="preserve">significant resources </w:t>
      </w:r>
      <w:r w:rsidR="00441804" w:rsidRPr="003F264A">
        <w:rPr>
          <w:rFonts w:cstheme="minorHAnsi"/>
        </w:rPr>
        <w:t>(</w:t>
      </w:r>
      <w:r w:rsidRPr="003F264A">
        <w:rPr>
          <w:rFonts w:cstheme="minorHAnsi"/>
        </w:rPr>
        <w:t>including time and additional staff costs</w:t>
      </w:r>
      <w:r w:rsidR="00441804" w:rsidRPr="003F264A">
        <w:rPr>
          <w:rFonts w:cstheme="minorHAnsi"/>
        </w:rPr>
        <w:t>)</w:t>
      </w:r>
      <w:r w:rsidRPr="003F264A">
        <w:rPr>
          <w:rFonts w:cstheme="minorHAnsi"/>
        </w:rPr>
        <w:t xml:space="preserve"> into this one question includes Australia’s largest technology companies and payroll software companies who specialise in efficient data collection.  </w:t>
      </w:r>
    </w:p>
    <w:p w14:paraId="006EC733" w14:textId="77777777" w:rsidR="004B2D21" w:rsidRPr="003F264A" w:rsidRDefault="004B2D21" w:rsidP="000F6998">
      <w:pPr>
        <w:pStyle w:val="ListParagraph"/>
        <w:numPr>
          <w:ilvl w:val="0"/>
          <w:numId w:val="2"/>
        </w:numPr>
        <w:jc w:val="both"/>
        <w:rPr>
          <w:rFonts w:cstheme="minorHAnsi"/>
        </w:rPr>
      </w:pPr>
      <w:r w:rsidRPr="003F264A">
        <w:rPr>
          <w:rFonts w:cstheme="minorHAnsi"/>
        </w:rPr>
        <w:t>‘Annualised full-time equivalent’</w:t>
      </w:r>
    </w:p>
    <w:p w14:paraId="34DCA5C7" w14:textId="77777777" w:rsidR="004B2D21" w:rsidRPr="003F264A" w:rsidRDefault="004B2D21" w:rsidP="000F6998">
      <w:pPr>
        <w:jc w:val="both"/>
        <w:rPr>
          <w:rFonts w:cstheme="minorHAnsi"/>
        </w:rPr>
      </w:pPr>
      <w:r w:rsidRPr="003F264A">
        <w:rPr>
          <w:rFonts w:cstheme="minorHAnsi"/>
        </w:rPr>
        <w:t>Employers are currently required to calculate a full-time equivalent salary for casual and part-time employees. This is burdensome for employers and can produce inaccurate data. If the data provided w</w:t>
      </w:r>
      <w:r w:rsidR="007432E1" w:rsidRPr="003F264A">
        <w:rPr>
          <w:rFonts w:cstheme="minorHAnsi"/>
        </w:rPr>
        <w:t>ere</w:t>
      </w:r>
      <w:r w:rsidRPr="003F264A">
        <w:rPr>
          <w:rFonts w:cstheme="minorHAnsi"/>
        </w:rPr>
        <w:t xml:space="preserve"> actual earnings, WGEA could perform the proportion calculation itself</w:t>
      </w:r>
      <w:r w:rsidR="00D95948" w:rsidRPr="003F264A">
        <w:rPr>
          <w:rFonts w:cstheme="minorHAnsi"/>
        </w:rPr>
        <w:t>,</w:t>
      </w:r>
      <w:r w:rsidRPr="003F264A">
        <w:rPr>
          <w:rFonts w:cstheme="minorHAnsi"/>
        </w:rPr>
        <w:t xml:space="preserve"> enabling greater quality of data.</w:t>
      </w:r>
    </w:p>
    <w:p w14:paraId="0FD08A41" w14:textId="77777777" w:rsidR="004B2D21" w:rsidRPr="003F264A" w:rsidRDefault="004B2D21" w:rsidP="000F6998">
      <w:pPr>
        <w:pStyle w:val="ListParagraph"/>
        <w:numPr>
          <w:ilvl w:val="0"/>
          <w:numId w:val="2"/>
        </w:numPr>
        <w:jc w:val="both"/>
        <w:rPr>
          <w:rFonts w:cstheme="minorHAnsi"/>
        </w:rPr>
      </w:pPr>
      <w:r w:rsidRPr="003F264A">
        <w:rPr>
          <w:rFonts w:cstheme="minorHAnsi"/>
        </w:rPr>
        <w:t xml:space="preserve">Parental leave questions as a ‘proportion’ </w:t>
      </w:r>
    </w:p>
    <w:p w14:paraId="4E549F1D" w14:textId="77777777" w:rsidR="004B2D21" w:rsidRPr="003F264A" w:rsidRDefault="004B2D21" w:rsidP="000F6998">
      <w:pPr>
        <w:jc w:val="both"/>
        <w:rPr>
          <w:rFonts w:cstheme="minorHAnsi"/>
        </w:rPr>
      </w:pPr>
      <w:r w:rsidRPr="003F264A">
        <w:rPr>
          <w:rFonts w:cstheme="minorHAnsi"/>
        </w:rPr>
        <w:t>Employers currently report on the proportion of the workforce who have access to employer-funded paid parental leave for primary and secondary carers, and the proportion of employees who took a period of parental leave who ceased employment during, or at the end of, that period. This is difficult for employers to calculate</w:t>
      </w:r>
      <w:r w:rsidR="00D95948" w:rsidRPr="003F264A">
        <w:rPr>
          <w:rFonts w:cstheme="minorHAnsi"/>
        </w:rPr>
        <w:t>,</w:t>
      </w:r>
      <w:r w:rsidRPr="003F264A">
        <w:rPr>
          <w:rFonts w:cstheme="minorHAnsi"/>
        </w:rPr>
        <w:t xml:space="preserve"> and as such the data is of varying degrees of quality and often inconsistent. </w:t>
      </w:r>
    </w:p>
    <w:p w14:paraId="1F690646" w14:textId="11E006B2" w:rsidR="004B2D21" w:rsidRPr="003F264A" w:rsidRDefault="004B2D21" w:rsidP="000F6998">
      <w:pPr>
        <w:jc w:val="both"/>
        <w:rPr>
          <w:rFonts w:cstheme="minorHAnsi"/>
        </w:rPr>
      </w:pPr>
      <w:r w:rsidRPr="003F264A">
        <w:rPr>
          <w:rFonts w:cstheme="minorHAnsi"/>
        </w:rPr>
        <w:t xml:space="preserve">Addressing </w:t>
      </w:r>
      <w:r w:rsidR="00904AC1" w:rsidRPr="003F264A">
        <w:rPr>
          <w:rFonts w:cstheme="minorHAnsi"/>
        </w:rPr>
        <w:t xml:space="preserve">these </w:t>
      </w:r>
      <w:r w:rsidRPr="003F264A">
        <w:rPr>
          <w:rFonts w:cstheme="minorHAnsi"/>
        </w:rPr>
        <w:t>significant pain points in the reporting process will reduce the regulatory burden on employers and enhance the data WGEA receives. By simplifying some questions and conducting calculations internally, the quality and accuracy of WGEA’s dataset will improve. In turn, this will enhance the data-backed insights WGEA provides to employers to help them drive change on gender equality in their workplaces.</w:t>
      </w:r>
    </w:p>
    <w:p w14:paraId="1B22686D" w14:textId="3348EF72" w:rsidR="004B2D21" w:rsidRPr="003F264A" w:rsidRDefault="004B2D21" w:rsidP="000F6998">
      <w:pPr>
        <w:pStyle w:val="Heading2"/>
        <w:jc w:val="both"/>
        <w:rPr>
          <w:rFonts w:asciiTheme="minorHAnsi" w:hAnsiTheme="minorHAnsi" w:cstheme="minorHAnsi"/>
        </w:rPr>
      </w:pPr>
      <w:bookmarkStart w:id="20" w:name="_Toc118794714"/>
      <w:bookmarkStart w:id="21" w:name="_Toc125714689"/>
      <w:r w:rsidRPr="003F264A">
        <w:rPr>
          <w:rFonts w:asciiTheme="minorHAnsi" w:hAnsiTheme="minorHAnsi" w:cstheme="minorHAnsi"/>
          <w:noProof/>
          <w:lang w:eastAsia="en-AU"/>
        </w:rPr>
        <w:drawing>
          <wp:anchor distT="0" distB="0" distL="114300" distR="114300" simplePos="0" relativeHeight="251658244" behindDoc="1" locked="0" layoutInCell="1" allowOverlap="1" wp14:anchorId="74BF3588" wp14:editId="667597AB">
            <wp:simplePos x="0" y="0"/>
            <wp:positionH relativeFrom="column">
              <wp:posOffset>3487420</wp:posOffset>
            </wp:positionH>
            <wp:positionV relativeFrom="paragraph">
              <wp:posOffset>0</wp:posOffset>
            </wp:positionV>
            <wp:extent cx="2327910" cy="2327910"/>
            <wp:effectExtent l="0" t="0" r="0" b="0"/>
            <wp:wrapTight wrapText="bothSides">
              <wp:wrapPolygon edited="0">
                <wp:start x="0" y="0"/>
                <wp:lineTo x="0" y="21388"/>
                <wp:lineTo x="21388" y="21388"/>
                <wp:lineTo x="21388"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327910" cy="2327910"/>
                    </a:xfrm>
                    <a:prstGeom prst="rect">
                      <a:avLst/>
                    </a:prstGeom>
                  </pic:spPr>
                </pic:pic>
              </a:graphicData>
            </a:graphic>
            <wp14:sizeRelH relativeFrom="page">
              <wp14:pctWidth>0</wp14:pctWidth>
            </wp14:sizeRelH>
            <wp14:sizeRelV relativeFrom="page">
              <wp14:pctHeight>0</wp14:pctHeight>
            </wp14:sizeRelV>
          </wp:anchor>
        </w:drawing>
      </w:r>
      <w:r w:rsidRPr="003F264A">
        <w:rPr>
          <w:rFonts w:asciiTheme="minorHAnsi" w:hAnsiTheme="minorHAnsi" w:cstheme="minorHAnsi"/>
        </w:rPr>
        <w:t>3.5 Current regulation is not ambitious enough to drive change in gender inequality</w:t>
      </w:r>
      <w:bookmarkEnd w:id="20"/>
      <w:bookmarkEnd w:id="21"/>
    </w:p>
    <w:p w14:paraId="120CCB88" w14:textId="77777777" w:rsidR="004B2D21" w:rsidRPr="003F264A" w:rsidRDefault="004B2D21" w:rsidP="000F6998">
      <w:pPr>
        <w:jc w:val="both"/>
        <w:rPr>
          <w:rFonts w:cstheme="minorHAnsi"/>
        </w:rPr>
      </w:pPr>
      <w:r w:rsidRPr="003F264A">
        <w:rPr>
          <w:rFonts w:cstheme="minorHAnsi"/>
        </w:rPr>
        <w:t xml:space="preserve">Australian employers are highly compliant with the </w:t>
      </w:r>
      <w:r w:rsidR="00F13417" w:rsidRPr="003F264A">
        <w:rPr>
          <w:rFonts w:cstheme="minorHAnsi"/>
        </w:rPr>
        <w:t xml:space="preserve">WGE </w:t>
      </w:r>
      <w:r w:rsidRPr="003F264A">
        <w:rPr>
          <w:rFonts w:cstheme="minorHAnsi"/>
        </w:rPr>
        <w:t>Act</w:t>
      </w:r>
      <w:r w:rsidR="00F13417" w:rsidRPr="003F264A">
        <w:rPr>
          <w:rFonts w:cstheme="minorHAnsi"/>
        </w:rPr>
        <w:t>;</w:t>
      </w:r>
      <w:r w:rsidRPr="003F264A">
        <w:rPr>
          <w:rFonts w:cstheme="minorHAnsi"/>
        </w:rPr>
        <w:t xml:space="preserve"> </w:t>
      </w:r>
      <w:r w:rsidR="00F13417" w:rsidRPr="003F264A">
        <w:rPr>
          <w:rFonts w:cstheme="minorHAnsi"/>
        </w:rPr>
        <w:t>i</w:t>
      </w:r>
      <w:r w:rsidRPr="003F264A">
        <w:rPr>
          <w:rFonts w:cstheme="minorHAnsi"/>
        </w:rPr>
        <w:t>n the 2019-20 reporting period, 97.5</w:t>
      </w:r>
      <w:r w:rsidR="00D95948" w:rsidRPr="003F264A">
        <w:rPr>
          <w:rFonts w:cstheme="minorHAnsi"/>
        </w:rPr>
        <w:t xml:space="preserve"> per cent</w:t>
      </w:r>
      <w:r w:rsidRPr="003F264A">
        <w:rPr>
          <w:rFonts w:cstheme="minorHAnsi"/>
        </w:rPr>
        <w:t xml:space="preserve"> of relevant employers complied with the WGE Act.</w:t>
      </w:r>
      <w:r w:rsidRPr="003F264A">
        <w:rPr>
          <w:rStyle w:val="FootnoteReference"/>
          <w:rFonts w:cstheme="minorHAnsi"/>
        </w:rPr>
        <w:footnoteReference w:id="59"/>
      </w:r>
      <w:r w:rsidRPr="003F264A">
        <w:rPr>
          <w:rFonts w:cstheme="minorHAnsi"/>
        </w:rPr>
        <w:t xml:space="preserve"> However, as set out above, research has found that at the current rate, the full-time total remuneration gender pay gap </w:t>
      </w:r>
      <w:r w:rsidR="008D3C39">
        <w:rPr>
          <w:rFonts w:cstheme="minorHAnsi"/>
        </w:rPr>
        <w:t>will</w:t>
      </w:r>
      <w:r w:rsidR="008D3C39" w:rsidRPr="003F264A">
        <w:rPr>
          <w:rFonts w:cstheme="minorHAnsi"/>
        </w:rPr>
        <w:t xml:space="preserve"> </w:t>
      </w:r>
      <w:r w:rsidRPr="003F264A">
        <w:rPr>
          <w:rFonts w:cstheme="minorHAnsi"/>
        </w:rPr>
        <w:t>close in approximately 26 years.</w:t>
      </w:r>
      <w:r w:rsidRPr="003F264A">
        <w:rPr>
          <w:rStyle w:val="FootnoteReference"/>
          <w:rFonts w:cstheme="minorHAnsi"/>
        </w:rPr>
        <w:footnoteReference w:id="60"/>
      </w:r>
      <w:r w:rsidRPr="003F264A">
        <w:rPr>
          <w:rFonts w:cstheme="minorHAnsi"/>
        </w:rPr>
        <w:t xml:space="preserve">  </w:t>
      </w:r>
      <w:r w:rsidR="00A2223F">
        <w:rPr>
          <w:rFonts w:cstheme="minorHAnsi"/>
        </w:rPr>
        <w:t>U</w:t>
      </w:r>
      <w:r w:rsidRPr="003F264A">
        <w:rPr>
          <w:rFonts w:cstheme="minorHAnsi"/>
        </w:rPr>
        <w:t xml:space="preserve">nless targeted action is taken by employers to continuously analyse their gender pay gaps, </w:t>
      </w:r>
      <w:r w:rsidR="00A2223F">
        <w:rPr>
          <w:rFonts w:cstheme="minorHAnsi"/>
        </w:rPr>
        <w:t>the gap may take even longer to close</w:t>
      </w:r>
      <w:r w:rsidRPr="003F264A">
        <w:rPr>
          <w:rFonts w:cstheme="minorHAnsi"/>
        </w:rPr>
        <w:t>.</w:t>
      </w:r>
      <w:r w:rsidRPr="003F264A">
        <w:rPr>
          <w:rStyle w:val="FootnoteReference"/>
          <w:rFonts w:cstheme="minorHAnsi"/>
        </w:rPr>
        <w:footnoteReference w:id="61"/>
      </w:r>
      <w:r w:rsidRPr="003F264A">
        <w:rPr>
          <w:rFonts w:cstheme="minorHAnsi"/>
        </w:rPr>
        <w:t xml:space="preserve"> </w:t>
      </w:r>
    </w:p>
    <w:p w14:paraId="0FE8E126" w14:textId="77777777" w:rsidR="00F13417" w:rsidRPr="003F264A" w:rsidRDefault="004B2D21" w:rsidP="000F6998">
      <w:pPr>
        <w:jc w:val="both"/>
        <w:rPr>
          <w:rFonts w:cstheme="minorHAnsi"/>
        </w:rPr>
      </w:pPr>
      <w:r w:rsidRPr="003F264A">
        <w:rPr>
          <w:rFonts w:cstheme="minorHAnsi"/>
        </w:rPr>
        <w:t>Two key pieces are missing in current regulation</w:t>
      </w:r>
      <w:r w:rsidR="00F13417" w:rsidRPr="003F264A">
        <w:rPr>
          <w:rFonts w:cstheme="minorHAnsi"/>
        </w:rPr>
        <w:t>:</w:t>
      </w:r>
    </w:p>
    <w:p w14:paraId="74121FE1" w14:textId="77777777" w:rsidR="00F13417" w:rsidRPr="003F264A" w:rsidRDefault="00F13417" w:rsidP="000F6998">
      <w:pPr>
        <w:pStyle w:val="ListParagraph"/>
        <w:numPr>
          <w:ilvl w:val="0"/>
          <w:numId w:val="38"/>
        </w:numPr>
        <w:tabs>
          <w:tab w:val="num" w:pos="360"/>
        </w:tabs>
        <w:jc w:val="both"/>
        <w:rPr>
          <w:rFonts w:cstheme="minorHAnsi"/>
        </w:rPr>
      </w:pPr>
      <w:r w:rsidRPr="003F264A">
        <w:rPr>
          <w:rFonts w:cstheme="minorHAnsi"/>
        </w:rPr>
        <w:t>p</w:t>
      </w:r>
      <w:r w:rsidR="004B2D21" w:rsidRPr="003F264A">
        <w:rPr>
          <w:rFonts w:cstheme="minorHAnsi"/>
        </w:rPr>
        <w:t>ublishing organisational gender pay gaps; and</w:t>
      </w:r>
    </w:p>
    <w:p w14:paraId="765DF9F7" w14:textId="77777777" w:rsidR="004B2D21" w:rsidRPr="003F264A" w:rsidRDefault="00F13417" w:rsidP="000F6998">
      <w:pPr>
        <w:pStyle w:val="ListParagraph"/>
        <w:numPr>
          <w:ilvl w:val="0"/>
          <w:numId w:val="38"/>
        </w:numPr>
        <w:tabs>
          <w:tab w:val="num" w:pos="360"/>
        </w:tabs>
        <w:jc w:val="both"/>
        <w:rPr>
          <w:rFonts w:cstheme="minorHAnsi"/>
        </w:rPr>
      </w:pPr>
      <w:r w:rsidRPr="003F264A">
        <w:rPr>
          <w:rFonts w:cstheme="minorHAnsi"/>
        </w:rPr>
        <w:t>r</w:t>
      </w:r>
      <w:r w:rsidR="004B2D21" w:rsidRPr="003F264A">
        <w:rPr>
          <w:rFonts w:cstheme="minorHAnsi"/>
        </w:rPr>
        <w:t xml:space="preserve">equiring employers to take action in order to bridge the ‘action gap’. </w:t>
      </w:r>
    </w:p>
    <w:p w14:paraId="0E4B630F" w14:textId="77777777" w:rsidR="004B2D21" w:rsidRPr="003F264A" w:rsidRDefault="004B2D21" w:rsidP="000F6998">
      <w:pPr>
        <w:jc w:val="both"/>
        <w:rPr>
          <w:rFonts w:cstheme="minorHAnsi"/>
          <w:b/>
        </w:rPr>
      </w:pPr>
      <w:r w:rsidRPr="003F264A">
        <w:rPr>
          <w:rFonts w:cstheme="minorHAnsi"/>
          <w:b/>
        </w:rPr>
        <w:t>Lack of transparency as to organisational pay gaps</w:t>
      </w:r>
    </w:p>
    <w:p w14:paraId="7D23E055" w14:textId="7BB687E4" w:rsidR="004B2D21" w:rsidRPr="003F264A" w:rsidRDefault="004B2D21" w:rsidP="000F6998">
      <w:pPr>
        <w:jc w:val="both"/>
        <w:rPr>
          <w:rFonts w:cstheme="minorHAnsi"/>
        </w:rPr>
      </w:pPr>
      <w:r w:rsidRPr="003F264A">
        <w:rPr>
          <w:rFonts w:cstheme="minorHAnsi"/>
        </w:rPr>
        <w:t>Employers report remuneration data to WGEA, but individual employee remuneration</w:t>
      </w:r>
      <w:r w:rsidR="00A30ED4" w:rsidRPr="003F264A">
        <w:rPr>
          <w:rFonts w:cstheme="minorHAnsi"/>
        </w:rPr>
        <w:t xml:space="preserve"> data</w:t>
      </w:r>
      <w:r w:rsidRPr="003F264A">
        <w:rPr>
          <w:rFonts w:cstheme="minorHAnsi"/>
        </w:rPr>
        <w:t xml:space="preserve"> is </w:t>
      </w:r>
      <w:r w:rsidR="00F13417" w:rsidRPr="003F264A">
        <w:rPr>
          <w:rFonts w:cstheme="minorHAnsi"/>
        </w:rPr>
        <w:t xml:space="preserve">not </w:t>
      </w:r>
      <w:r w:rsidRPr="003F264A">
        <w:rPr>
          <w:rFonts w:cstheme="minorHAnsi"/>
        </w:rPr>
        <w:t xml:space="preserve">currently published by WGEA. </w:t>
      </w:r>
      <w:r w:rsidR="00F13417" w:rsidRPr="003F264A">
        <w:rPr>
          <w:rFonts w:cstheme="minorHAnsi"/>
        </w:rPr>
        <w:t xml:space="preserve">Instead, </w:t>
      </w:r>
      <w:r w:rsidRPr="003F264A">
        <w:rPr>
          <w:rFonts w:cstheme="minorHAnsi"/>
        </w:rPr>
        <w:t xml:space="preserve">WGEA uses remuneration data to publish gender pay gaps by </w:t>
      </w:r>
      <w:r w:rsidRPr="003F264A">
        <w:rPr>
          <w:rFonts w:cstheme="minorHAnsi"/>
          <w:i/>
          <w:iCs/>
        </w:rPr>
        <w:t xml:space="preserve">industry </w:t>
      </w:r>
      <w:r w:rsidRPr="003F264A">
        <w:rPr>
          <w:rFonts w:cstheme="minorHAnsi"/>
        </w:rPr>
        <w:t xml:space="preserve">– e.g. for the mining, health care and social assistance, financial and insurance services, and construction industries. </w:t>
      </w:r>
      <w:r w:rsidR="00F13417" w:rsidRPr="003F264A" w:rsidDel="0031331F">
        <w:rPr>
          <w:rFonts w:cstheme="minorHAnsi"/>
        </w:rPr>
        <w:t>The</w:t>
      </w:r>
      <w:r w:rsidRPr="003F264A" w:rsidDel="0031331F">
        <w:rPr>
          <w:rFonts w:cstheme="minorHAnsi"/>
        </w:rPr>
        <w:t xml:space="preserve"> WGE Act</w:t>
      </w:r>
      <w:r w:rsidR="00463C74" w:rsidRPr="003F264A" w:rsidDel="0031331F">
        <w:rPr>
          <w:rFonts w:cstheme="minorHAnsi"/>
        </w:rPr>
        <w:t>,</w:t>
      </w:r>
      <w:r w:rsidRPr="003F264A" w:rsidDel="0031331F">
        <w:rPr>
          <w:rFonts w:cstheme="minorHAnsi"/>
        </w:rPr>
        <w:t xml:space="preserve"> as currently drafted</w:t>
      </w:r>
      <w:r w:rsidR="00463C74" w:rsidRPr="003F264A" w:rsidDel="0031331F">
        <w:rPr>
          <w:rFonts w:cstheme="minorHAnsi"/>
        </w:rPr>
        <w:t>,</w:t>
      </w:r>
      <w:r w:rsidRPr="003F264A" w:rsidDel="0031331F">
        <w:rPr>
          <w:rFonts w:cstheme="minorHAnsi"/>
        </w:rPr>
        <w:t xml:space="preserve"> provides that WGEA is not able to include remuneration data </w:t>
      </w:r>
      <w:r w:rsidR="0010236E" w:rsidRPr="003F264A" w:rsidDel="0031331F">
        <w:rPr>
          <w:rFonts w:cstheme="minorHAnsi"/>
        </w:rPr>
        <w:t xml:space="preserve">in </w:t>
      </w:r>
      <w:r w:rsidRPr="003F264A" w:rsidDel="0031331F">
        <w:rPr>
          <w:rFonts w:cstheme="minorHAnsi"/>
        </w:rPr>
        <w:t xml:space="preserve">public data or reports (section 14). This means WGEA cannot currently publish an employer’s gender pay gap at an </w:t>
      </w:r>
      <w:r w:rsidRPr="003F264A" w:rsidDel="0031331F">
        <w:rPr>
          <w:rFonts w:cstheme="minorHAnsi"/>
          <w:i/>
          <w:iCs/>
        </w:rPr>
        <w:t>organisation</w:t>
      </w:r>
      <w:r w:rsidR="00463C74" w:rsidRPr="003F264A" w:rsidDel="0031331F">
        <w:rPr>
          <w:rFonts w:cstheme="minorHAnsi"/>
          <w:i/>
          <w:iCs/>
        </w:rPr>
        <w:t>al</w:t>
      </w:r>
      <w:r w:rsidRPr="003F264A" w:rsidDel="0031331F">
        <w:rPr>
          <w:rFonts w:cstheme="minorHAnsi"/>
          <w:i/>
          <w:iCs/>
        </w:rPr>
        <w:t xml:space="preserve"> </w:t>
      </w:r>
      <w:r w:rsidRPr="003F264A" w:rsidDel="0031331F">
        <w:rPr>
          <w:rFonts w:cstheme="minorHAnsi"/>
        </w:rPr>
        <w:t>level.</w:t>
      </w:r>
    </w:p>
    <w:p w14:paraId="64620B52" w14:textId="77777777" w:rsidR="004B2D21" w:rsidRPr="003F264A" w:rsidRDefault="004B2D21" w:rsidP="000F6998">
      <w:pPr>
        <w:jc w:val="both"/>
        <w:rPr>
          <w:rFonts w:cstheme="minorHAnsi"/>
        </w:rPr>
      </w:pPr>
      <w:r w:rsidRPr="003F264A">
        <w:rPr>
          <w:rFonts w:cstheme="minorHAnsi"/>
        </w:rPr>
        <w:t>The current approach of publishing aggregate industry gender pay gaps is not creating the transparency, accountability and insights necessary to clos</w:t>
      </w:r>
      <w:r w:rsidR="00F13417" w:rsidRPr="003F264A">
        <w:rPr>
          <w:rFonts w:cstheme="minorHAnsi"/>
        </w:rPr>
        <w:t>e</w:t>
      </w:r>
      <w:r w:rsidRPr="003F264A">
        <w:rPr>
          <w:rFonts w:cstheme="minorHAnsi"/>
        </w:rPr>
        <w:t xml:space="preserve"> the gender pay gap fast e</w:t>
      </w:r>
      <w:r w:rsidR="00377611">
        <w:rPr>
          <w:rFonts w:cstheme="minorHAnsi"/>
        </w:rPr>
        <w:t>nough. As noted, WGEA data (2020-21</w:t>
      </w:r>
      <w:r w:rsidRPr="003F264A">
        <w:rPr>
          <w:rFonts w:cstheme="minorHAnsi"/>
        </w:rPr>
        <w:t>)</w:t>
      </w:r>
      <w:r w:rsidR="00377611">
        <w:rPr>
          <w:rStyle w:val="FootnoteReference"/>
          <w:rFonts w:cstheme="minorHAnsi"/>
        </w:rPr>
        <w:footnoteReference w:id="62"/>
      </w:r>
      <w:r w:rsidRPr="003F264A">
        <w:rPr>
          <w:rFonts w:cstheme="minorHAnsi"/>
        </w:rPr>
        <w:t xml:space="preserve"> shows all industries in Australia have a gender pay gap in favour of men. A number of stakeholders called for increased transparency of an organisation’s gender pay gap to promote accountability and accelerate progress towards reducing the gender pay gap.</w:t>
      </w:r>
      <w:r w:rsidR="00F13417" w:rsidRPr="003F264A">
        <w:rPr>
          <w:rStyle w:val="FootnoteReference"/>
          <w:rFonts w:cstheme="minorHAnsi"/>
        </w:rPr>
        <w:footnoteReference w:id="63"/>
      </w:r>
    </w:p>
    <w:p w14:paraId="20593F1A" w14:textId="42C4D1FD" w:rsidR="004B2D21" w:rsidRPr="003F264A" w:rsidRDefault="004B2D21" w:rsidP="000F6998">
      <w:pPr>
        <w:jc w:val="both"/>
        <w:rPr>
          <w:rFonts w:cstheme="minorHAnsi"/>
        </w:rPr>
      </w:pPr>
      <w:r w:rsidRPr="003F264A">
        <w:rPr>
          <w:rFonts w:cstheme="minorHAnsi"/>
        </w:rPr>
        <w:t>Without organisational gender pay gaps – “arguably the most important variable”</w:t>
      </w:r>
      <w:r w:rsidRPr="003F264A">
        <w:rPr>
          <w:rStyle w:val="FootnoteReference"/>
          <w:rFonts w:cstheme="minorHAnsi"/>
        </w:rPr>
        <w:footnoteReference w:id="64"/>
      </w:r>
      <w:r w:rsidRPr="003F264A">
        <w:rPr>
          <w:rFonts w:cstheme="minorHAnsi"/>
        </w:rPr>
        <w:t xml:space="preserve"> – in WGEA’s public dataset, the dataset is less useful for improving gender equality outcomes. Transparency is extremely valuable and can nudge a </w:t>
      </w:r>
      <w:r w:rsidR="0010236E" w:rsidRPr="003F264A">
        <w:rPr>
          <w:rFonts w:cstheme="minorHAnsi"/>
        </w:rPr>
        <w:t xml:space="preserve">business or organisation </w:t>
      </w:r>
      <w:r w:rsidRPr="003F264A">
        <w:rPr>
          <w:rFonts w:cstheme="minorHAnsi"/>
        </w:rPr>
        <w:t xml:space="preserve">towards addressing gender dynamics in the workplace it might not have considered before. Transparency can also generate </w:t>
      </w:r>
      <w:r w:rsidR="00E0171F" w:rsidRPr="003F264A">
        <w:rPr>
          <w:rFonts w:cstheme="minorHAnsi"/>
        </w:rPr>
        <w:t xml:space="preserve">accountability by </w:t>
      </w:r>
      <w:r w:rsidRPr="003F264A">
        <w:rPr>
          <w:rFonts w:cstheme="minorHAnsi"/>
        </w:rPr>
        <w:t>empowering individuals to act</w:t>
      </w:r>
      <w:r w:rsidR="00463C74" w:rsidRPr="003F264A">
        <w:rPr>
          <w:rFonts w:cstheme="minorHAnsi"/>
        </w:rPr>
        <w:t>,</w:t>
      </w:r>
      <w:r w:rsidRPr="003F264A">
        <w:rPr>
          <w:rFonts w:cstheme="minorHAnsi"/>
        </w:rPr>
        <w:t xml:space="preserve"> but also driving employees to accomplish change within their workplace. The recent viral phenomenon of the gender pay gap bot in the UK, demonstrates </w:t>
      </w:r>
      <w:r w:rsidR="00E0171F" w:rsidRPr="003F264A">
        <w:rPr>
          <w:rFonts w:cstheme="minorHAnsi"/>
        </w:rPr>
        <w:t xml:space="preserve">the </w:t>
      </w:r>
      <w:r w:rsidRPr="003F264A">
        <w:rPr>
          <w:rFonts w:cstheme="minorHAnsi"/>
        </w:rPr>
        <w:t>power</w:t>
      </w:r>
      <w:r w:rsidR="00E0171F" w:rsidRPr="003F264A">
        <w:rPr>
          <w:rFonts w:cstheme="minorHAnsi"/>
        </w:rPr>
        <w:t xml:space="preserve"> of</w:t>
      </w:r>
      <w:r w:rsidRPr="003F264A">
        <w:rPr>
          <w:rFonts w:cstheme="minorHAnsi"/>
        </w:rPr>
        <w:t xml:space="preserve"> transparent pay gap reporting</w:t>
      </w:r>
      <w:r w:rsidR="0022429C">
        <w:rPr>
          <w:rFonts w:cstheme="minorHAnsi"/>
        </w:rPr>
        <w:t>; where the publication of the organisational gender pay gap can lead to educational opportunities for current and future employees</w:t>
      </w:r>
      <w:r w:rsidRPr="003F264A">
        <w:rPr>
          <w:rFonts w:cstheme="minorHAnsi"/>
        </w:rPr>
        <w:t>.</w:t>
      </w:r>
      <w:r w:rsidRPr="003F264A">
        <w:rPr>
          <w:rStyle w:val="FootnoteReference"/>
          <w:rFonts w:cstheme="minorHAnsi"/>
        </w:rPr>
        <w:footnoteReference w:id="65"/>
      </w:r>
      <w:r w:rsidRPr="003F264A">
        <w:rPr>
          <w:rFonts w:cstheme="minorHAnsi"/>
        </w:rPr>
        <w:t xml:space="preserve">  </w:t>
      </w:r>
    </w:p>
    <w:p w14:paraId="1AD69B05" w14:textId="5ED7466F" w:rsidR="004B2D21" w:rsidRPr="003F264A" w:rsidRDefault="004B2D21" w:rsidP="000F6998">
      <w:pPr>
        <w:jc w:val="both"/>
        <w:rPr>
          <w:rFonts w:cstheme="minorHAnsi"/>
        </w:rPr>
      </w:pPr>
      <w:r w:rsidRPr="003F264A">
        <w:rPr>
          <w:rFonts w:cstheme="minorHAnsi"/>
        </w:rPr>
        <w:t xml:space="preserve">Positive research is </w:t>
      </w:r>
      <w:r w:rsidR="00561695">
        <w:rPr>
          <w:rFonts w:cstheme="minorHAnsi"/>
        </w:rPr>
        <w:t xml:space="preserve">also </w:t>
      </w:r>
      <w:r w:rsidRPr="003F264A">
        <w:rPr>
          <w:rFonts w:cstheme="minorHAnsi"/>
        </w:rPr>
        <w:t>starting to emerge to support organisational pay transparency, though a few newly-established programs are producing mixed results in the first few years. An analysis of data relating to 100,000 academics in the Unites States over two decades, found that increased transparency around pay can also result in a 20</w:t>
      </w:r>
      <w:r w:rsidR="0010236E" w:rsidRPr="003F264A">
        <w:rPr>
          <w:rFonts w:cstheme="minorHAnsi"/>
        </w:rPr>
        <w:t xml:space="preserve"> per cent</w:t>
      </w:r>
      <w:r w:rsidRPr="003F264A">
        <w:rPr>
          <w:rFonts w:cstheme="minorHAnsi"/>
        </w:rPr>
        <w:t xml:space="preserve"> reduction in pay difference between men and women.</w:t>
      </w:r>
      <w:r w:rsidRPr="003F264A">
        <w:rPr>
          <w:rStyle w:val="FootnoteReference"/>
          <w:rFonts w:cstheme="minorHAnsi"/>
        </w:rPr>
        <w:footnoteReference w:id="66"/>
      </w:r>
      <w:r w:rsidRPr="003F264A">
        <w:rPr>
          <w:rFonts w:cstheme="minorHAnsi"/>
        </w:rPr>
        <w:t xml:space="preserve"> In Denmark, a study found that ‘the gender pay gap decline[d] by approximately two percentage points, or a 13</w:t>
      </w:r>
      <w:r w:rsidR="0010236E" w:rsidRPr="003F264A">
        <w:rPr>
          <w:rFonts w:cstheme="minorHAnsi"/>
        </w:rPr>
        <w:t xml:space="preserve"> per cent</w:t>
      </w:r>
      <w:r w:rsidRPr="003F264A">
        <w:rPr>
          <w:rFonts w:cstheme="minorHAnsi"/>
        </w:rPr>
        <w:t xml:space="preserve"> reduction relative to the pre-legislation mean’</w:t>
      </w:r>
      <w:r w:rsidR="00DA77ED">
        <w:rPr>
          <w:rFonts w:cstheme="minorHAnsi"/>
        </w:rPr>
        <w:t xml:space="preserve"> </w:t>
      </w:r>
      <w:r w:rsidR="00DA77ED" w:rsidRPr="00DA77ED">
        <w:rPr>
          <w:rFonts w:cstheme="minorHAnsi"/>
        </w:rPr>
        <w:t xml:space="preserve">following the introduction of </w:t>
      </w:r>
      <w:r w:rsidR="00DA77ED">
        <w:rPr>
          <w:rFonts w:cstheme="minorHAnsi"/>
        </w:rPr>
        <w:t>wage transparency</w:t>
      </w:r>
      <w:r w:rsidR="00DA77ED" w:rsidRPr="00DA77ED">
        <w:rPr>
          <w:rFonts w:cstheme="minorHAnsi"/>
        </w:rPr>
        <w:t xml:space="preserve"> legislation</w:t>
      </w:r>
      <w:r w:rsidRPr="003F264A">
        <w:rPr>
          <w:rFonts w:cstheme="minorHAnsi"/>
        </w:rPr>
        <w:t>.</w:t>
      </w:r>
      <w:r w:rsidRPr="003F264A">
        <w:rPr>
          <w:rStyle w:val="FootnoteReference"/>
          <w:rFonts w:cstheme="minorHAnsi"/>
        </w:rPr>
        <w:footnoteReference w:id="67"/>
      </w:r>
    </w:p>
    <w:p w14:paraId="3605C8BD" w14:textId="77777777" w:rsidR="004B2D21" w:rsidRPr="003F264A" w:rsidRDefault="004B2D21" w:rsidP="000F6998">
      <w:pPr>
        <w:jc w:val="both"/>
        <w:rPr>
          <w:rFonts w:cstheme="minorHAnsi"/>
          <w:b/>
        </w:rPr>
      </w:pPr>
      <w:r w:rsidRPr="003F264A">
        <w:rPr>
          <w:rFonts w:cstheme="minorHAnsi"/>
          <w:b/>
        </w:rPr>
        <w:t>Minimum standards need to be strengthened</w:t>
      </w:r>
    </w:p>
    <w:p w14:paraId="16F2BDCC" w14:textId="77777777" w:rsidR="004B2D21" w:rsidRPr="003F264A" w:rsidRDefault="004B2D21" w:rsidP="000F6998">
      <w:pPr>
        <w:autoSpaceDE w:val="0"/>
        <w:autoSpaceDN w:val="0"/>
        <w:adjustRightInd w:val="0"/>
        <w:spacing w:after="0" w:line="240" w:lineRule="auto"/>
        <w:jc w:val="both"/>
        <w:rPr>
          <w:rFonts w:cstheme="minorHAnsi"/>
        </w:rPr>
      </w:pPr>
      <w:r w:rsidRPr="003F264A">
        <w:rPr>
          <w:rFonts w:cstheme="minorHAnsi"/>
        </w:rPr>
        <w:t xml:space="preserve">Under the current legislation, relevant employers with 500 or more employees must have policies or strategies in place to support </w:t>
      </w:r>
      <w:r w:rsidRPr="003F264A">
        <w:rPr>
          <w:rFonts w:cstheme="minorHAnsi"/>
          <w:i/>
        </w:rPr>
        <w:t>one</w:t>
      </w:r>
      <w:r w:rsidRPr="003F264A">
        <w:rPr>
          <w:rFonts w:cstheme="minorHAnsi"/>
        </w:rPr>
        <w:t xml:space="preserve"> </w:t>
      </w:r>
      <w:r w:rsidRPr="003F264A">
        <w:rPr>
          <w:rFonts w:cstheme="minorHAnsi"/>
          <w:i/>
        </w:rPr>
        <w:t>or more</w:t>
      </w:r>
      <w:r w:rsidRPr="003F264A">
        <w:rPr>
          <w:rFonts w:cstheme="minorHAnsi"/>
        </w:rPr>
        <w:t xml:space="preserve"> of the following indicators:</w:t>
      </w:r>
      <w:r w:rsidRPr="003F264A">
        <w:rPr>
          <w:rStyle w:val="FootnoteReference"/>
          <w:rFonts w:cstheme="minorHAnsi"/>
        </w:rPr>
        <w:footnoteReference w:id="68"/>
      </w:r>
    </w:p>
    <w:p w14:paraId="79680B5B" w14:textId="77777777" w:rsidR="004B2D21" w:rsidRPr="003F264A" w:rsidRDefault="004B2D21" w:rsidP="000F6998">
      <w:pPr>
        <w:pStyle w:val="ListParagraph"/>
        <w:numPr>
          <w:ilvl w:val="0"/>
          <w:numId w:val="6"/>
        </w:numPr>
        <w:autoSpaceDE w:val="0"/>
        <w:autoSpaceDN w:val="0"/>
        <w:adjustRightInd w:val="0"/>
        <w:spacing w:after="0" w:line="240" w:lineRule="auto"/>
        <w:jc w:val="both"/>
        <w:rPr>
          <w:rFonts w:cstheme="minorHAnsi"/>
        </w:rPr>
      </w:pPr>
      <w:r w:rsidRPr="003F264A">
        <w:rPr>
          <w:rFonts w:cstheme="minorHAnsi"/>
        </w:rPr>
        <w:t xml:space="preserve">gender composition of the workforce; </w:t>
      </w:r>
    </w:p>
    <w:p w14:paraId="27889081" w14:textId="77777777" w:rsidR="004B2D21" w:rsidRPr="003F264A" w:rsidRDefault="004B2D21" w:rsidP="000F6998">
      <w:pPr>
        <w:pStyle w:val="ListParagraph"/>
        <w:numPr>
          <w:ilvl w:val="0"/>
          <w:numId w:val="6"/>
        </w:numPr>
        <w:autoSpaceDE w:val="0"/>
        <w:autoSpaceDN w:val="0"/>
        <w:adjustRightInd w:val="0"/>
        <w:spacing w:after="0" w:line="240" w:lineRule="auto"/>
        <w:jc w:val="both"/>
        <w:rPr>
          <w:rFonts w:cstheme="minorHAnsi"/>
        </w:rPr>
      </w:pPr>
      <w:r w:rsidRPr="003F264A">
        <w:rPr>
          <w:rFonts w:cstheme="minorHAnsi"/>
        </w:rPr>
        <w:t xml:space="preserve">equal remuneration between women and men; </w:t>
      </w:r>
    </w:p>
    <w:p w14:paraId="3D1C74D0" w14:textId="77777777" w:rsidR="004B2D21" w:rsidRPr="003F264A" w:rsidRDefault="004B2D21" w:rsidP="000F6998">
      <w:pPr>
        <w:pStyle w:val="ListParagraph"/>
        <w:numPr>
          <w:ilvl w:val="0"/>
          <w:numId w:val="6"/>
        </w:numPr>
        <w:autoSpaceDE w:val="0"/>
        <w:autoSpaceDN w:val="0"/>
        <w:adjustRightInd w:val="0"/>
        <w:spacing w:after="0" w:line="240" w:lineRule="auto"/>
        <w:jc w:val="both"/>
        <w:rPr>
          <w:rFonts w:cstheme="minorHAnsi"/>
        </w:rPr>
      </w:pPr>
      <w:r w:rsidRPr="003F264A">
        <w:rPr>
          <w:rFonts w:cstheme="minorHAnsi"/>
        </w:rPr>
        <w:t xml:space="preserve">flexible working arrangements, and </w:t>
      </w:r>
    </w:p>
    <w:p w14:paraId="07BA2223" w14:textId="77777777" w:rsidR="004B2D21" w:rsidRPr="003F264A" w:rsidRDefault="004B2D21" w:rsidP="000F6998">
      <w:pPr>
        <w:pStyle w:val="ListParagraph"/>
        <w:numPr>
          <w:ilvl w:val="0"/>
          <w:numId w:val="6"/>
        </w:numPr>
        <w:autoSpaceDE w:val="0"/>
        <w:autoSpaceDN w:val="0"/>
        <w:adjustRightInd w:val="0"/>
        <w:spacing w:after="0" w:line="240" w:lineRule="auto"/>
        <w:jc w:val="both"/>
        <w:rPr>
          <w:rFonts w:cstheme="minorHAnsi"/>
        </w:rPr>
      </w:pPr>
      <w:r w:rsidRPr="003F264A">
        <w:rPr>
          <w:rFonts w:cstheme="minorHAnsi"/>
        </w:rPr>
        <w:t xml:space="preserve">sex-based harassment and discrimination. </w:t>
      </w:r>
    </w:p>
    <w:p w14:paraId="0ABC52A3" w14:textId="77777777" w:rsidR="004B2D21" w:rsidRPr="003F264A" w:rsidRDefault="004B2D21" w:rsidP="000F6998">
      <w:pPr>
        <w:pStyle w:val="ListParagraph"/>
        <w:autoSpaceDE w:val="0"/>
        <w:autoSpaceDN w:val="0"/>
        <w:adjustRightInd w:val="0"/>
        <w:spacing w:after="0" w:line="240" w:lineRule="auto"/>
        <w:jc w:val="both"/>
        <w:rPr>
          <w:rFonts w:cstheme="minorHAnsi"/>
        </w:rPr>
      </w:pPr>
    </w:p>
    <w:p w14:paraId="75BAFA59" w14:textId="77777777" w:rsidR="004B2D21" w:rsidRPr="003F264A" w:rsidRDefault="00F21D86" w:rsidP="000F6998">
      <w:pPr>
        <w:jc w:val="both"/>
        <w:rPr>
          <w:rFonts w:cstheme="minorHAnsi"/>
        </w:rPr>
      </w:pPr>
      <w:r w:rsidRPr="003F264A">
        <w:rPr>
          <w:rFonts w:cstheme="minorHAnsi"/>
        </w:rPr>
        <w:t>This is</w:t>
      </w:r>
      <w:r w:rsidR="004B2D21" w:rsidRPr="003F264A">
        <w:rPr>
          <w:rFonts w:cstheme="minorHAnsi"/>
        </w:rPr>
        <w:t xml:space="preserve"> not ambitious enough to drive change in Australian workplaces</w:t>
      </w:r>
      <w:r w:rsidRPr="003F264A">
        <w:rPr>
          <w:rFonts w:cstheme="minorHAnsi"/>
        </w:rPr>
        <w:t xml:space="preserve"> and does not require employers to demonstrate what progress they have </w:t>
      </w:r>
      <w:r w:rsidR="00AC7B05" w:rsidRPr="003F264A">
        <w:rPr>
          <w:rFonts w:cstheme="minorHAnsi"/>
        </w:rPr>
        <w:t>made</w:t>
      </w:r>
      <w:r w:rsidR="004B2D21" w:rsidRPr="003F264A">
        <w:rPr>
          <w:rFonts w:cstheme="minorHAnsi"/>
        </w:rPr>
        <w:t xml:space="preserve">. Stakeholders </w:t>
      </w:r>
      <w:r w:rsidR="00416848" w:rsidRPr="003F264A">
        <w:rPr>
          <w:rFonts w:cstheme="minorHAnsi"/>
        </w:rPr>
        <w:t>across industries</w:t>
      </w:r>
      <w:r w:rsidR="004B2D21" w:rsidRPr="003F264A">
        <w:rPr>
          <w:rFonts w:cstheme="minorHAnsi"/>
        </w:rPr>
        <w:t xml:space="preserve"> </w:t>
      </w:r>
      <w:r w:rsidR="00416848" w:rsidRPr="003F264A">
        <w:rPr>
          <w:rFonts w:cstheme="minorHAnsi"/>
        </w:rPr>
        <w:t>and</w:t>
      </w:r>
      <w:r w:rsidR="004B2D21" w:rsidRPr="003F264A">
        <w:rPr>
          <w:rFonts w:cstheme="minorHAnsi"/>
        </w:rPr>
        <w:t xml:space="preserve"> peak </w:t>
      </w:r>
      <w:r w:rsidR="00416848" w:rsidRPr="003F264A">
        <w:rPr>
          <w:rFonts w:cstheme="minorHAnsi"/>
        </w:rPr>
        <w:t xml:space="preserve">industry </w:t>
      </w:r>
      <w:r w:rsidR="004B2D21" w:rsidRPr="003F264A">
        <w:rPr>
          <w:rFonts w:cstheme="minorHAnsi"/>
        </w:rPr>
        <w:t xml:space="preserve">bodies, proposed substantial strengthening of the minimum standards as a mechanism </w:t>
      </w:r>
      <w:r w:rsidR="00416848" w:rsidRPr="003F264A">
        <w:rPr>
          <w:rFonts w:cstheme="minorHAnsi"/>
        </w:rPr>
        <w:t>for</w:t>
      </w:r>
      <w:r w:rsidR="004B2D21" w:rsidRPr="003F264A">
        <w:rPr>
          <w:rFonts w:cstheme="minorHAnsi"/>
        </w:rPr>
        <w:t xml:space="preserve"> accelerat</w:t>
      </w:r>
      <w:r w:rsidR="00416848" w:rsidRPr="003F264A">
        <w:rPr>
          <w:rFonts w:cstheme="minorHAnsi"/>
        </w:rPr>
        <w:t>ing</w:t>
      </w:r>
      <w:r w:rsidR="004B2D21" w:rsidRPr="003F264A">
        <w:rPr>
          <w:rFonts w:cstheme="minorHAnsi"/>
        </w:rPr>
        <w:t xml:space="preserve"> the rate of change towards gender equality.</w:t>
      </w:r>
      <w:r w:rsidR="00631BC4" w:rsidRPr="003F264A">
        <w:rPr>
          <w:rFonts w:cstheme="minorHAnsi"/>
        </w:rPr>
        <w:t xml:space="preserve"> </w:t>
      </w:r>
      <w:r w:rsidR="004B2D21" w:rsidRPr="003F264A">
        <w:rPr>
          <w:rFonts w:cstheme="minorHAnsi"/>
        </w:rPr>
        <w:t>Recent comparative research on gender pay gap reporting recommended that action plans are essential for change, finding that ‘employers should be mandated to create time-bound targets to redress pay gaps, setting out clear and measurable goals.’</w:t>
      </w:r>
      <w:r w:rsidR="004B2D21" w:rsidRPr="003F264A">
        <w:rPr>
          <w:rStyle w:val="FootnoteReference"/>
          <w:rFonts w:cstheme="minorHAnsi"/>
        </w:rPr>
        <w:footnoteReference w:id="69"/>
      </w:r>
      <w:r w:rsidR="004B2D21" w:rsidRPr="003F264A">
        <w:rPr>
          <w:rFonts w:cstheme="minorHAnsi"/>
        </w:rPr>
        <w:t xml:space="preserve"> </w:t>
      </w:r>
    </w:p>
    <w:p w14:paraId="21231EF2" w14:textId="77777777" w:rsidR="004B2D21" w:rsidRPr="003F264A" w:rsidRDefault="004B2D21" w:rsidP="000F6998">
      <w:pPr>
        <w:jc w:val="both"/>
        <w:rPr>
          <w:rFonts w:cstheme="minorHAnsi"/>
        </w:rPr>
      </w:pPr>
    </w:p>
    <w:p w14:paraId="5B66F212" w14:textId="77777777" w:rsidR="004B2D21" w:rsidRPr="003F264A" w:rsidRDefault="004B2D21" w:rsidP="000F6998">
      <w:pPr>
        <w:jc w:val="both"/>
        <w:rPr>
          <w:rFonts w:cstheme="minorHAnsi"/>
        </w:rPr>
      </w:pPr>
      <w:r w:rsidRPr="003F264A">
        <w:rPr>
          <w:rFonts w:cstheme="minorHAnsi"/>
        </w:rPr>
        <w:br w:type="page"/>
      </w:r>
    </w:p>
    <w:p w14:paraId="1761734F" w14:textId="77777777" w:rsidR="004B2D21" w:rsidRDefault="004B2D21" w:rsidP="000F6998">
      <w:pPr>
        <w:pStyle w:val="Heading1"/>
        <w:numPr>
          <w:ilvl w:val="0"/>
          <w:numId w:val="26"/>
        </w:numPr>
        <w:jc w:val="both"/>
        <w:rPr>
          <w:rStyle w:val="Heading1Char"/>
          <w:rFonts w:asciiTheme="minorHAnsi" w:hAnsiTheme="minorHAnsi" w:cstheme="minorHAnsi"/>
        </w:rPr>
      </w:pPr>
      <w:bookmarkStart w:id="22" w:name="_Toc118794715"/>
      <w:bookmarkStart w:id="23" w:name="_Toc125714690"/>
      <w:r w:rsidRPr="003F264A">
        <w:rPr>
          <w:rFonts w:asciiTheme="minorHAnsi" w:hAnsiTheme="minorHAnsi" w:cstheme="minorHAnsi"/>
        </w:rPr>
        <w:t>Why</w:t>
      </w:r>
      <w:r w:rsidRPr="003F264A">
        <w:rPr>
          <w:rStyle w:val="Heading1Char"/>
          <w:rFonts w:asciiTheme="minorHAnsi" w:hAnsiTheme="minorHAnsi" w:cstheme="minorHAnsi"/>
        </w:rPr>
        <w:t xml:space="preserve"> government action is needed</w:t>
      </w:r>
      <w:bookmarkEnd w:id="22"/>
      <w:bookmarkEnd w:id="23"/>
    </w:p>
    <w:p w14:paraId="33D82685" w14:textId="65CFEFFD" w:rsidR="004B2D21" w:rsidRDefault="004B2D21" w:rsidP="000F6998">
      <w:pPr>
        <w:spacing w:before="240"/>
        <w:jc w:val="both"/>
        <w:rPr>
          <w:rFonts w:cstheme="minorHAnsi"/>
        </w:rPr>
      </w:pPr>
      <w:r w:rsidRPr="003F264A">
        <w:rPr>
          <w:rFonts w:cstheme="minorHAnsi"/>
        </w:rPr>
        <w:t xml:space="preserve">There are many reasons for the Government to address workplace gender inequality in Australia. </w:t>
      </w:r>
    </w:p>
    <w:p w14:paraId="3DFBB2A8" w14:textId="3AA26E7E" w:rsidR="00F44418" w:rsidRPr="003F264A" w:rsidRDefault="00F44418" w:rsidP="000F6998">
      <w:pPr>
        <w:jc w:val="both"/>
        <w:rPr>
          <w:rFonts w:cstheme="minorHAnsi"/>
        </w:rPr>
      </w:pPr>
      <w:r>
        <w:rPr>
          <w:rFonts w:cstheme="minorHAnsi"/>
          <w:b/>
        </w:rPr>
        <w:t>Table 2: Identified Problems and Objectives for Government Action</w:t>
      </w:r>
    </w:p>
    <w:tbl>
      <w:tblPr>
        <w:tblStyle w:val="GridTable5Dark-Accent5"/>
        <w:tblW w:w="0" w:type="auto"/>
        <w:tblLook w:val="04A0" w:firstRow="1" w:lastRow="0" w:firstColumn="1" w:lastColumn="0" w:noHBand="0" w:noVBand="1"/>
      </w:tblPr>
      <w:tblGrid>
        <w:gridCol w:w="2358"/>
        <w:gridCol w:w="3809"/>
        <w:gridCol w:w="2849"/>
      </w:tblGrid>
      <w:tr w:rsidR="00E3780F" w:rsidRPr="00197A20" w14:paraId="3A98A176" w14:textId="77777777" w:rsidTr="007E0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064A7B2F" w14:textId="77777777" w:rsidR="00E3780F" w:rsidRPr="003F264A" w:rsidRDefault="00E3780F" w:rsidP="000F6998">
            <w:pPr>
              <w:jc w:val="both"/>
              <w:rPr>
                <w:rFonts w:cstheme="minorHAnsi"/>
                <w:b w:val="0"/>
              </w:rPr>
            </w:pPr>
            <w:r w:rsidRPr="003F264A">
              <w:rPr>
                <w:rFonts w:cstheme="minorHAnsi"/>
              </w:rPr>
              <w:t>Identified Problem Element</w:t>
            </w:r>
          </w:p>
        </w:tc>
        <w:tc>
          <w:tcPr>
            <w:tcW w:w="3809" w:type="dxa"/>
          </w:tcPr>
          <w:p w14:paraId="72647CC2" w14:textId="77777777" w:rsidR="00E3780F" w:rsidRPr="003F264A" w:rsidRDefault="00E3780F" w:rsidP="000F6998">
            <w:pPr>
              <w:jc w:val="both"/>
              <w:cnfStyle w:val="100000000000" w:firstRow="1" w:lastRow="0" w:firstColumn="0" w:lastColumn="0" w:oddVBand="0" w:evenVBand="0" w:oddHBand="0" w:evenHBand="0" w:firstRowFirstColumn="0" w:firstRowLastColumn="0" w:lastRowFirstColumn="0" w:lastRowLastColumn="0"/>
              <w:rPr>
                <w:rFonts w:cstheme="minorHAnsi"/>
                <w:b w:val="0"/>
              </w:rPr>
            </w:pPr>
            <w:r w:rsidRPr="003F264A">
              <w:rPr>
                <w:rFonts w:cstheme="minorHAnsi"/>
              </w:rPr>
              <w:t>Objectives for Government Action</w:t>
            </w:r>
          </w:p>
        </w:tc>
        <w:tc>
          <w:tcPr>
            <w:tcW w:w="2849" w:type="dxa"/>
          </w:tcPr>
          <w:p w14:paraId="141311A5" w14:textId="77777777" w:rsidR="00E3780F" w:rsidRPr="003F264A" w:rsidRDefault="007F0C8D" w:rsidP="000F6998">
            <w:pPr>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 xml:space="preserve">Measurement of success and progress against the objective </w:t>
            </w:r>
          </w:p>
        </w:tc>
      </w:tr>
      <w:tr w:rsidR="00E3780F" w:rsidRPr="00197A20" w14:paraId="285D5BF5" w14:textId="77777777" w:rsidTr="007E0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0C770064" w14:textId="77777777" w:rsidR="00E3780F" w:rsidRPr="007E085D" w:rsidRDefault="00E3780F" w:rsidP="000F6998">
            <w:pPr>
              <w:pStyle w:val="BodyCopy"/>
              <w:jc w:val="both"/>
              <w:rPr>
                <w:color w:val="FFFFFF" w:themeColor="background1"/>
                <w:sz w:val="22"/>
                <w:szCs w:val="22"/>
              </w:rPr>
            </w:pPr>
            <w:r w:rsidRPr="007E085D">
              <w:rPr>
                <w:color w:val="FFFFFF" w:themeColor="background1"/>
                <w:sz w:val="22"/>
                <w:szCs w:val="22"/>
              </w:rPr>
              <w:t>Gaps exist in the current data set</w:t>
            </w:r>
          </w:p>
          <w:p w14:paraId="4C56AB9C" w14:textId="77777777" w:rsidR="00E3780F" w:rsidRPr="007E085D" w:rsidRDefault="00E3780F" w:rsidP="000F6998">
            <w:pPr>
              <w:pStyle w:val="BodyCopy"/>
              <w:jc w:val="both"/>
              <w:rPr>
                <w:color w:val="FFFFFF" w:themeColor="background1"/>
                <w:sz w:val="22"/>
                <w:szCs w:val="22"/>
              </w:rPr>
            </w:pPr>
          </w:p>
        </w:tc>
        <w:tc>
          <w:tcPr>
            <w:tcW w:w="3809" w:type="dxa"/>
          </w:tcPr>
          <w:p w14:paraId="34024AC0" w14:textId="77777777" w:rsidR="00E3780F" w:rsidRPr="00116F50" w:rsidRDefault="00E3780F" w:rsidP="000F6998">
            <w:pPr>
              <w:pStyle w:val="BodyCopy"/>
              <w:jc w:val="both"/>
              <w:cnfStyle w:val="000000100000" w:firstRow="0" w:lastRow="0" w:firstColumn="0" w:lastColumn="0" w:oddVBand="0" w:evenVBand="0" w:oddHBand="1" w:evenHBand="0" w:firstRowFirstColumn="0" w:firstRowLastColumn="0" w:lastRowFirstColumn="0" w:lastRowLastColumn="0"/>
              <w:rPr>
                <w:sz w:val="22"/>
                <w:szCs w:val="22"/>
              </w:rPr>
            </w:pPr>
            <w:r w:rsidRPr="00116F50">
              <w:rPr>
                <w:sz w:val="22"/>
                <w:szCs w:val="22"/>
              </w:rPr>
              <w:t>To facilitate and coordinate access to information and produce research benefiting Australian workplaces and the broader community by:</w:t>
            </w:r>
          </w:p>
          <w:p w14:paraId="56FA81BD" w14:textId="77777777" w:rsidR="00E3780F" w:rsidRPr="00116F50" w:rsidRDefault="00E3780F" w:rsidP="000F6998">
            <w:pPr>
              <w:pStyle w:val="BodyCopy"/>
              <w:numPr>
                <w:ilvl w:val="0"/>
                <w:numId w:val="50"/>
              </w:numPr>
              <w:jc w:val="both"/>
              <w:cnfStyle w:val="000000100000" w:firstRow="0" w:lastRow="0" w:firstColumn="0" w:lastColumn="0" w:oddVBand="0" w:evenVBand="0" w:oddHBand="1" w:evenHBand="0" w:firstRowFirstColumn="0" w:firstRowLastColumn="0" w:lastRowFirstColumn="0" w:lastRowLastColumn="0"/>
              <w:rPr>
                <w:sz w:val="22"/>
                <w:szCs w:val="22"/>
              </w:rPr>
            </w:pPr>
            <w:r w:rsidRPr="00116F50">
              <w:rPr>
                <w:sz w:val="22"/>
                <w:szCs w:val="22"/>
              </w:rPr>
              <w:t>capturing data across the GEIs; and</w:t>
            </w:r>
          </w:p>
          <w:p w14:paraId="63500F44" w14:textId="77777777" w:rsidR="00E3780F" w:rsidRPr="00116F50" w:rsidRDefault="00E3780F" w:rsidP="000F6998">
            <w:pPr>
              <w:pStyle w:val="BodyCopy"/>
              <w:numPr>
                <w:ilvl w:val="0"/>
                <w:numId w:val="50"/>
              </w:numPr>
              <w:jc w:val="both"/>
              <w:cnfStyle w:val="000000100000" w:firstRow="0" w:lastRow="0" w:firstColumn="0" w:lastColumn="0" w:oddVBand="0" w:evenVBand="0" w:oddHBand="1" w:evenHBand="0" w:firstRowFirstColumn="0" w:firstRowLastColumn="0" w:lastRowFirstColumn="0" w:lastRowLastColumn="0"/>
              <w:rPr>
                <w:sz w:val="22"/>
                <w:szCs w:val="22"/>
              </w:rPr>
            </w:pPr>
            <w:r w:rsidRPr="00116F50">
              <w:rPr>
                <w:sz w:val="22"/>
                <w:szCs w:val="22"/>
              </w:rPr>
              <w:t>meeting the Australian community’s expectations by providing transparent information to the public.</w:t>
            </w:r>
          </w:p>
        </w:tc>
        <w:tc>
          <w:tcPr>
            <w:tcW w:w="2849" w:type="dxa"/>
          </w:tcPr>
          <w:p w14:paraId="11669B38" w14:textId="77777777" w:rsidR="00E3780F" w:rsidRPr="00116F50" w:rsidRDefault="008F3C48" w:rsidP="000F6998">
            <w:pPr>
              <w:pStyle w:val="BodyCopy"/>
              <w:jc w:val="both"/>
              <w:cnfStyle w:val="000000100000" w:firstRow="0" w:lastRow="0" w:firstColumn="0" w:lastColumn="0" w:oddVBand="0" w:evenVBand="0" w:oddHBand="1" w:evenHBand="0" w:firstRowFirstColumn="0" w:firstRowLastColumn="0" w:lastRowFirstColumn="0" w:lastRowLastColumn="0"/>
              <w:rPr>
                <w:sz w:val="22"/>
                <w:szCs w:val="22"/>
              </w:rPr>
            </w:pPr>
            <w:r w:rsidRPr="00116F50">
              <w:rPr>
                <w:sz w:val="22"/>
                <w:szCs w:val="22"/>
              </w:rPr>
              <w:t>Expansion of the WGEA data set and presentation of this data in a way that is clear and concise.</w:t>
            </w:r>
          </w:p>
        </w:tc>
      </w:tr>
      <w:tr w:rsidR="00E3780F" w:rsidRPr="00197A20" w14:paraId="037378C9" w14:textId="77777777" w:rsidTr="007E085D">
        <w:tc>
          <w:tcPr>
            <w:cnfStyle w:val="001000000000" w:firstRow="0" w:lastRow="0" w:firstColumn="1" w:lastColumn="0" w:oddVBand="0" w:evenVBand="0" w:oddHBand="0" w:evenHBand="0" w:firstRowFirstColumn="0" w:firstRowLastColumn="0" w:lastRowFirstColumn="0" w:lastRowLastColumn="0"/>
            <w:tcW w:w="2358" w:type="dxa"/>
          </w:tcPr>
          <w:p w14:paraId="209D8AB7" w14:textId="77777777" w:rsidR="00E3780F" w:rsidRPr="007E085D" w:rsidRDefault="00E3780F" w:rsidP="000F6998">
            <w:pPr>
              <w:pStyle w:val="BodyCopy"/>
              <w:jc w:val="both"/>
              <w:rPr>
                <w:color w:val="FFFFFF" w:themeColor="background1"/>
                <w:sz w:val="22"/>
                <w:szCs w:val="22"/>
              </w:rPr>
            </w:pPr>
            <w:r w:rsidRPr="007E085D">
              <w:rPr>
                <w:color w:val="FFFFFF" w:themeColor="background1"/>
                <w:sz w:val="22"/>
                <w:szCs w:val="22"/>
              </w:rPr>
              <w:t>Certain elements of reporting are burdensome on businesses</w:t>
            </w:r>
          </w:p>
          <w:p w14:paraId="56DF579C" w14:textId="77777777" w:rsidR="00E3780F" w:rsidRPr="007E085D" w:rsidRDefault="00E3780F" w:rsidP="000F6998">
            <w:pPr>
              <w:pStyle w:val="BodyCopy"/>
              <w:jc w:val="both"/>
              <w:rPr>
                <w:color w:val="FFFFFF" w:themeColor="background1"/>
                <w:sz w:val="22"/>
                <w:szCs w:val="22"/>
              </w:rPr>
            </w:pPr>
          </w:p>
        </w:tc>
        <w:tc>
          <w:tcPr>
            <w:tcW w:w="3809" w:type="dxa"/>
          </w:tcPr>
          <w:p w14:paraId="5130E04D" w14:textId="77777777" w:rsidR="00E3780F" w:rsidRPr="00116F50" w:rsidRDefault="00E3780F" w:rsidP="000F6998">
            <w:pPr>
              <w:pStyle w:val="BodyCopy"/>
              <w:jc w:val="both"/>
              <w:cnfStyle w:val="000000000000" w:firstRow="0" w:lastRow="0" w:firstColumn="0" w:lastColumn="0" w:oddVBand="0" w:evenVBand="0" w:oddHBand="0" w:evenHBand="0" w:firstRowFirstColumn="0" w:firstRowLastColumn="0" w:lastRowFirstColumn="0" w:lastRowLastColumn="0"/>
              <w:rPr>
                <w:sz w:val="22"/>
                <w:szCs w:val="22"/>
              </w:rPr>
            </w:pPr>
            <w:r w:rsidRPr="00116F50">
              <w:rPr>
                <w:sz w:val="22"/>
                <w:szCs w:val="22"/>
              </w:rPr>
              <w:t xml:space="preserve">To ensure that businesses can focus on creating change by streamlining business reporting costs; and </w:t>
            </w:r>
          </w:p>
          <w:p w14:paraId="5B19C1A3" w14:textId="77777777" w:rsidR="00E3780F" w:rsidRPr="00116F50" w:rsidRDefault="00E3780F" w:rsidP="000F6998">
            <w:pPr>
              <w:pStyle w:val="BodyCopy"/>
              <w:jc w:val="both"/>
              <w:cnfStyle w:val="000000000000" w:firstRow="0" w:lastRow="0" w:firstColumn="0" w:lastColumn="0" w:oddVBand="0" w:evenVBand="0" w:oddHBand="0" w:evenHBand="0" w:firstRowFirstColumn="0" w:firstRowLastColumn="0" w:lastRowFirstColumn="0" w:lastRowLastColumn="0"/>
              <w:rPr>
                <w:sz w:val="22"/>
                <w:szCs w:val="22"/>
              </w:rPr>
            </w:pPr>
          </w:p>
          <w:p w14:paraId="062677FD" w14:textId="77777777" w:rsidR="00E3780F" w:rsidRPr="00116F50" w:rsidRDefault="00E3780F" w:rsidP="000F6998">
            <w:pPr>
              <w:pStyle w:val="BodyCopy"/>
              <w:jc w:val="both"/>
              <w:cnfStyle w:val="000000000000" w:firstRow="0" w:lastRow="0" w:firstColumn="0" w:lastColumn="0" w:oddVBand="0" w:evenVBand="0" w:oddHBand="0" w:evenHBand="0" w:firstRowFirstColumn="0" w:firstRowLastColumn="0" w:lastRowFirstColumn="0" w:lastRowLastColumn="0"/>
              <w:rPr>
                <w:sz w:val="22"/>
                <w:szCs w:val="22"/>
              </w:rPr>
            </w:pPr>
            <w:r w:rsidRPr="00116F50">
              <w:rPr>
                <w:sz w:val="22"/>
                <w:szCs w:val="22"/>
              </w:rPr>
              <w:t xml:space="preserve">To maximise the effectiveness of the administration of the WGE Act. </w:t>
            </w:r>
          </w:p>
        </w:tc>
        <w:tc>
          <w:tcPr>
            <w:tcW w:w="2849" w:type="dxa"/>
          </w:tcPr>
          <w:p w14:paraId="0CD5DC5C" w14:textId="77777777" w:rsidR="00E3780F" w:rsidRPr="00116F50" w:rsidRDefault="008F3C48" w:rsidP="000F6998">
            <w:pPr>
              <w:pStyle w:val="BodyCopy"/>
              <w:jc w:val="both"/>
              <w:cnfStyle w:val="000000000000" w:firstRow="0" w:lastRow="0" w:firstColumn="0" w:lastColumn="0" w:oddVBand="0" w:evenVBand="0" w:oddHBand="0" w:evenHBand="0" w:firstRowFirstColumn="0" w:firstRowLastColumn="0" w:lastRowFirstColumn="0" w:lastRowLastColumn="0"/>
              <w:rPr>
                <w:sz w:val="22"/>
                <w:szCs w:val="22"/>
              </w:rPr>
            </w:pPr>
            <w:r w:rsidRPr="00116F50">
              <w:rPr>
                <w:sz w:val="22"/>
                <w:szCs w:val="22"/>
              </w:rPr>
              <w:t xml:space="preserve">The WGEA reporting process is easier for employers and stakeholders report that the process is less burdensome. </w:t>
            </w:r>
          </w:p>
        </w:tc>
      </w:tr>
      <w:tr w:rsidR="00E3780F" w:rsidRPr="00197A20" w14:paraId="2ADEB08D" w14:textId="77777777" w:rsidTr="007E0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14:paraId="7FED75CE" w14:textId="77777777" w:rsidR="00E3780F" w:rsidRPr="007E085D" w:rsidRDefault="00E3780F" w:rsidP="000F6998">
            <w:pPr>
              <w:pStyle w:val="BodyCopy"/>
              <w:jc w:val="both"/>
              <w:rPr>
                <w:color w:val="FFFFFF" w:themeColor="background1"/>
                <w:sz w:val="22"/>
                <w:szCs w:val="22"/>
              </w:rPr>
            </w:pPr>
            <w:r w:rsidRPr="007E085D">
              <w:rPr>
                <w:color w:val="FFFFFF" w:themeColor="background1"/>
                <w:sz w:val="22"/>
                <w:szCs w:val="22"/>
              </w:rPr>
              <w:t>Current regulation is not ambitious enough to drive change in gender inequality</w:t>
            </w:r>
          </w:p>
          <w:p w14:paraId="53CD6848" w14:textId="77777777" w:rsidR="00E3780F" w:rsidRPr="007E085D" w:rsidRDefault="00E3780F" w:rsidP="000F6998">
            <w:pPr>
              <w:pStyle w:val="BodyCopy"/>
              <w:jc w:val="both"/>
              <w:rPr>
                <w:color w:val="FFFFFF" w:themeColor="background1"/>
                <w:sz w:val="22"/>
                <w:szCs w:val="22"/>
              </w:rPr>
            </w:pPr>
          </w:p>
        </w:tc>
        <w:tc>
          <w:tcPr>
            <w:tcW w:w="3809" w:type="dxa"/>
          </w:tcPr>
          <w:p w14:paraId="0A266328" w14:textId="77777777" w:rsidR="00E3780F" w:rsidRPr="00116F50" w:rsidRDefault="00E3780F" w:rsidP="000F6998">
            <w:pPr>
              <w:pStyle w:val="BodyCopy"/>
              <w:jc w:val="both"/>
              <w:cnfStyle w:val="000000100000" w:firstRow="0" w:lastRow="0" w:firstColumn="0" w:lastColumn="0" w:oddVBand="0" w:evenVBand="0" w:oddHBand="1" w:evenHBand="0" w:firstRowFirstColumn="0" w:firstRowLastColumn="0" w:lastRowFirstColumn="0" w:lastRowLastColumn="0"/>
              <w:rPr>
                <w:sz w:val="22"/>
                <w:szCs w:val="22"/>
              </w:rPr>
            </w:pPr>
            <w:r w:rsidRPr="00116F50">
              <w:rPr>
                <w:sz w:val="22"/>
                <w:szCs w:val="22"/>
              </w:rPr>
              <w:t>To be at the forefront of gender equ</w:t>
            </w:r>
            <w:r w:rsidR="00F37E2A" w:rsidRPr="00116F50">
              <w:rPr>
                <w:sz w:val="22"/>
                <w:szCs w:val="22"/>
              </w:rPr>
              <w:t>al</w:t>
            </w:r>
            <w:r w:rsidRPr="00116F50">
              <w:rPr>
                <w:sz w:val="22"/>
                <w:szCs w:val="22"/>
              </w:rPr>
              <w:t>ity action to ensure genuine change by strengthening existing minimum standards to bridge the ‘action gap’ of Australian employers.</w:t>
            </w:r>
          </w:p>
          <w:p w14:paraId="7DB6B691" w14:textId="77777777" w:rsidR="00E3780F" w:rsidRPr="00116F50" w:rsidRDefault="00E3780F" w:rsidP="000F6998">
            <w:pPr>
              <w:pStyle w:val="BodyCopy"/>
              <w:jc w:val="both"/>
              <w:cnfStyle w:val="000000100000" w:firstRow="0" w:lastRow="0" w:firstColumn="0" w:lastColumn="0" w:oddVBand="0" w:evenVBand="0" w:oddHBand="1" w:evenHBand="0" w:firstRowFirstColumn="0" w:firstRowLastColumn="0" w:lastRowFirstColumn="0" w:lastRowLastColumn="0"/>
              <w:rPr>
                <w:sz w:val="22"/>
                <w:szCs w:val="22"/>
              </w:rPr>
            </w:pPr>
          </w:p>
          <w:p w14:paraId="7F4C97BA" w14:textId="6BBF4FF9" w:rsidR="00E3780F" w:rsidRPr="00116F50" w:rsidRDefault="00E3780F" w:rsidP="000F6998">
            <w:pPr>
              <w:pStyle w:val="BodyCopy"/>
              <w:jc w:val="both"/>
              <w:cnfStyle w:val="000000100000" w:firstRow="0" w:lastRow="0" w:firstColumn="0" w:lastColumn="0" w:oddVBand="0" w:evenVBand="0" w:oddHBand="1" w:evenHBand="0" w:firstRowFirstColumn="0" w:firstRowLastColumn="0" w:lastRowFirstColumn="0" w:lastRowLastColumn="0"/>
              <w:rPr>
                <w:sz w:val="22"/>
                <w:szCs w:val="22"/>
              </w:rPr>
            </w:pPr>
            <w:r w:rsidRPr="00116F50">
              <w:rPr>
                <w:sz w:val="22"/>
                <w:szCs w:val="22"/>
              </w:rPr>
              <w:t xml:space="preserve">Responsibility for achieving gender equity rests with all Australian businesses and community organisations to enable workers to have equitable and safe workplaces, and Government action can catalyse positive incentives and behavioural change in businesses and communities to address underlying gender issues in Australian workplaces.  </w:t>
            </w:r>
          </w:p>
        </w:tc>
        <w:tc>
          <w:tcPr>
            <w:tcW w:w="2849" w:type="dxa"/>
          </w:tcPr>
          <w:p w14:paraId="3865AD36" w14:textId="77777777" w:rsidR="00F37E2A" w:rsidRPr="00116F50" w:rsidRDefault="00F37E2A" w:rsidP="000F6998">
            <w:pPr>
              <w:pStyle w:val="BodyCopy"/>
              <w:jc w:val="both"/>
              <w:cnfStyle w:val="000000100000" w:firstRow="0" w:lastRow="0" w:firstColumn="0" w:lastColumn="0" w:oddVBand="0" w:evenVBand="0" w:oddHBand="1" w:evenHBand="0" w:firstRowFirstColumn="0" w:firstRowLastColumn="0" w:lastRowFirstColumn="0" w:lastRowLastColumn="0"/>
              <w:rPr>
                <w:sz w:val="22"/>
                <w:szCs w:val="22"/>
              </w:rPr>
            </w:pPr>
            <w:r w:rsidRPr="00116F50">
              <w:rPr>
                <w:sz w:val="22"/>
                <w:szCs w:val="22"/>
              </w:rPr>
              <w:t>A reduction in the gender pay gap at an organisational level, at an industry level and/or overall such that the gender pay gap closes at a faster rate.</w:t>
            </w:r>
          </w:p>
          <w:p w14:paraId="2FB2C729" w14:textId="5EA4F531" w:rsidR="00F37E2A" w:rsidRPr="00116F50" w:rsidRDefault="00727EEE" w:rsidP="000F6998">
            <w:pPr>
              <w:pStyle w:val="BodyCopy"/>
              <w:jc w:val="both"/>
              <w:cnfStyle w:val="000000100000" w:firstRow="0" w:lastRow="0" w:firstColumn="0" w:lastColumn="0" w:oddVBand="0" w:evenVBand="0" w:oddHBand="1" w:evenHBand="0" w:firstRowFirstColumn="0" w:firstRowLastColumn="0" w:lastRowFirstColumn="0" w:lastRowLastColumn="0"/>
              <w:rPr>
                <w:sz w:val="22"/>
                <w:szCs w:val="22"/>
              </w:rPr>
            </w:pPr>
            <w:r w:rsidRPr="00116F50">
              <w:rPr>
                <w:sz w:val="22"/>
                <w:szCs w:val="22"/>
              </w:rPr>
              <w:t>Additionally</w:t>
            </w:r>
            <w:r w:rsidR="00F37E2A" w:rsidRPr="00116F50">
              <w:rPr>
                <w:sz w:val="22"/>
                <w:szCs w:val="22"/>
              </w:rPr>
              <w:t>, employers make progress towards gender equality within their organisation whether that be big or small.</w:t>
            </w:r>
          </w:p>
          <w:p w14:paraId="788F41DD" w14:textId="77777777" w:rsidR="00E3780F" w:rsidRPr="00116F50" w:rsidRDefault="00E3780F" w:rsidP="000F6998">
            <w:pPr>
              <w:pStyle w:val="BodyCopy"/>
              <w:jc w:val="both"/>
              <w:cnfStyle w:val="000000100000" w:firstRow="0" w:lastRow="0" w:firstColumn="0" w:lastColumn="0" w:oddVBand="0" w:evenVBand="0" w:oddHBand="1" w:evenHBand="0" w:firstRowFirstColumn="0" w:firstRowLastColumn="0" w:lastRowFirstColumn="0" w:lastRowLastColumn="0"/>
              <w:rPr>
                <w:sz w:val="22"/>
                <w:szCs w:val="22"/>
              </w:rPr>
            </w:pPr>
          </w:p>
        </w:tc>
      </w:tr>
    </w:tbl>
    <w:p w14:paraId="3C27CF0A" w14:textId="77777777" w:rsidR="004B2D21" w:rsidRPr="003F264A" w:rsidRDefault="004B2D21" w:rsidP="000F6998">
      <w:pPr>
        <w:jc w:val="both"/>
        <w:rPr>
          <w:rFonts w:cstheme="minorHAnsi"/>
        </w:rPr>
      </w:pPr>
    </w:p>
    <w:p w14:paraId="5E3E86DA" w14:textId="77777777" w:rsidR="004B2D21" w:rsidRPr="003F264A" w:rsidRDefault="004B2D21" w:rsidP="000F6998">
      <w:pPr>
        <w:jc w:val="both"/>
        <w:rPr>
          <w:rFonts w:cstheme="minorHAnsi"/>
        </w:rPr>
      </w:pPr>
      <w:r w:rsidRPr="003F264A">
        <w:rPr>
          <w:rFonts w:cstheme="minorHAnsi"/>
        </w:rPr>
        <w:t>In addition to the above objective</w:t>
      </w:r>
      <w:r w:rsidR="00737E33" w:rsidRPr="003F264A">
        <w:rPr>
          <w:rFonts w:cstheme="minorHAnsi"/>
        </w:rPr>
        <w:t>s</w:t>
      </w:r>
      <w:r w:rsidRPr="003F264A">
        <w:rPr>
          <w:rFonts w:cstheme="minorHAnsi"/>
        </w:rPr>
        <w:t xml:space="preserve">, </w:t>
      </w:r>
      <w:r w:rsidR="002E4D36" w:rsidRPr="003F264A">
        <w:rPr>
          <w:rFonts w:cstheme="minorHAnsi"/>
        </w:rPr>
        <w:t xml:space="preserve">the Government has a broader leadership role in driving gender equality.   </w:t>
      </w:r>
    </w:p>
    <w:p w14:paraId="1FC83955" w14:textId="77777777" w:rsidR="004B2D21" w:rsidRPr="003F264A" w:rsidRDefault="004B2D21" w:rsidP="000F6998">
      <w:pPr>
        <w:pStyle w:val="Heading2"/>
        <w:jc w:val="both"/>
        <w:rPr>
          <w:rFonts w:asciiTheme="minorHAnsi" w:hAnsiTheme="minorHAnsi" w:cstheme="minorHAnsi"/>
        </w:rPr>
      </w:pPr>
      <w:bookmarkStart w:id="24" w:name="_Toc118794716"/>
      <w:bookmarkStart w:id="25" w:name="_Toc125714691"/>
      <w:r w:rsidRPr="003F264A">
        <w:rPr>
          <w:rFonts w:asciiTheme="minorHAnsi" w:hAnsiTheme="minorHAnsi" w:cstheme="minorHAnsi"/>
        </w:rPr>
        <w:t>4.1 Gender equality is a</w:t>
      </w:r>
      <w:r w:rsidR="00941965" w:rsidRPr="003F264A">
        <w:rPr>
          <w:rFonts w:asciiTheme="minorHAnsi" w:hAnsiTheme="minorHAnsi" w:cstheme="minorHAnsi"/>
        </w:rPr>
        <w:t>n</w:t>
      </w:r>
      <w:r w:rsidRPr="003F264A">
        <w:rPr>
          <w:rFonts w:asciiTheme="minorHAnsi" w:hAnsiTheme="minorHAnsi" w:cstheme="minorHAnsi"/>
        </w:rPr>
        <w:t xml:space="preserve"> issue of national importance</w:t>
      </w:r>
      <w:bookmarkEnd w:id="24"/>
      <w:bookmarkEnd w:id="25"/>
    </w:p>
    <w:p w14:paraId="5F4C2714" w14:textId="77777777" w:rsidR="004B2D21" w:rsidRPr="003F264A" w:rsidRDefault="004B2D21" w:rsidP="000F6998">
      <w:pPr>
        <w:jc w:val="both"/>
        <w:rPr>
          <w:rFonts w:cstheme="minorHAnsi"/>
        </w:rPr>
      </w:pPr>
      <w:r w:rsidRPr="003F264A">
        <w:rPr>
          <w:rFonts w:cstheme="minorHAnsi"/>
        </w:rPr>
        <w:t xml:space="preserve">Gender equality is a </w:t>
      </w:r>
      <w:r w:rsidR="00B74CBF" w:rsidRPr="003F264A">
        <w:rPr>
          <w:rFonts w:cstheme="minorHAnsi"/>
        </w:rPr>
        <w:t>national priority</w:t>
      </w:r>
      <w:r w:rsidRPr="003F264A">
        <w:rPr>
          <w:rFonts w:cstheme="minorHAnsi"/>
        </w:rPr>
        <w:t xml:space="preserve"> for the Australian Government. Australian individuals, community organisations and businesses have a reasonable expectation that the Australian Government </w:t>
      </w:r>
      <w:r w:rsidR="008D3C39">
        <w:rPr>
          <w:rFonts w:cstheme="minorHAnsi"/>
        </w:rPr>
        <w:t>will</w:t>
      </w:r>
      <w:r w:rsidR="008D3C39" w:rsidRPr="003F264A">
        <w:rPr>
          <w:rFonts w:cstheme="minorHAnsi"/>
        </w:rPr>
        <w:t xml:space="preserve"> </w:t>
      </w:r>
      <w:r w:rsidRPr="003F264A">
        <w:rPr>
          <w:rFonts w:cstheme="minorHAnsi"/>
        </w:rPr>
        <w:t xml:space="preserve">play a role in improving gender equality in Australian workplaces. It is because of the importance of the issue of workplace gender equality to Australians that the WGE Act was established to promote and improve gender equality in Australian workplaces. WGEA’s vision is for women and men to be equally represented, valued and rewarded in the workplace. </w:t>
      </w:r>
    </w:p>
    <w:p w14:paraId="078402C2" w14:textId="77777777" w:rsidR="004B2D21" w:rsidRPr="003F264A" w:rsidRDefault="004B2D21" w:rsidP="000F6998">
      <w:pPr>
        <w:jc w:val="both"/>
        <w:rPr>
          <w:rFonts w:cstheme="minorHAnsi"/>
          <w:color w:val="000000" w:themeColor="text1"/>
        </w:rPr>
      </w:pPr>
      <w:r w:rsidRPr="003F264A">
        <w:rPr>
          <w:rFonts w:cstheme="minorHAnsi"/>
        </w:rPr>
        <w:t>WGEA’s statutory function to promote and improve gender equality in Australian workplaces is also vit</w:t>
      </w:r>
      <w:r w:rsidR="007C2C16" w:rsidRPr="003F264A">
        <w:rPr>
          <w:rFonts w:cstheme="minorHAnsi"/>
        </w:rPr>
        <w:t>al to the economy. As set out in Chapter 3,</w:t>
      </w:r>
      <w:r w:rsidR="00AC7B05" w:rsidRPr="003F264A">
        <w:rPr>
          <w:rFonts w:cstheme="minorHAnsi"/>
        </w:rPr>
        <w:t xml:space="preserve"> the</w:t>
      </w:r>
      <w:r w:rsidRPr="003F264A">
        <w:rPr>
          <w:rFonts w:cstheme="minorHAnsi"/>
        </w:rPr>
        <w:t xml:space="preserve"> barriers </w:t>
      </w:r>
      <w:r w:rsidR="00AC7B05" w:rsidRPr="003F264A">
        <w:rPr>
          <w:rFonts w:cstheme="minorHAnsi"/>
        </w:rPr>
        <w:t xml:space="preserve">women </w:t>
      </w:r>
      <w:r w:rsidRPr="003F264A">
        <w:rPr>
          <w:rFonts w:cstheme="minorHAnsi"/>
        </w:rPr>
        <w:t>fac</w:t>
      </w:r>
      <w:r w:rsidR="00AC7B05" w:rsidRPr="003F264A">
        <w:rPr>
          <w:rFonts w:cstheme="minorHAnsi"/>
        </w:rPr>
        <w:t>e</w:t>
      </w:r>
      <w:r w:rsidRPr="003F264A">
        <w:rPr>
          <w:rFonts w:cstheme="minorHAnsi"/>
        </w:rPr>
        <w:t xml:space="preserve"> are a national issue </w:t>
      </w:r>
      <w:r w:rsidR="00B74CBF" w:rsidRPr="003F264A">
        <w:rPr>
          <w:rFonts w:cstheme="minorHAnsi"/>
        </w:rPr>
        <w:t xml:space="preserve">and </w:t>
      </w:r>
      <w:r w:rsidRPr="003F264A">
        <w:rPr>
          <w:rFonts w:cstheme="minorHAnsi"/>
        </w:rPr>
        <w:t>gender inequality is costing not only individual</w:t>
      </w:r>
      <w:r w:rsidR="00AC7B05" w:rsidRPr="003F264A">
        <w:rPr>
          <w:rFonts w:cstheme="minorHAnsi"/>
        </w:rPr>
        <w:t>s</w:t>
      </w:r>
      <w:r w:rsidRPr="003F264A">
        <w:rPr>
          <w:rFonts w:cstheme="minorHAnsi"/>
        </w:rPr>
        <w:t xml:space="preserve"> and families, but also the economy as a whole.</w:t>
      </w:r>
      <w:r w:rsidRPr="003F264A">
        <w:rPr>
          <w:rFonts w:cstheme="minorHAnsi"/>
          <w:color w:val="000000" w:themeColor="text1"/>
        </w:rPr>
        <w:t xml:space="preserve"> Removing disincentives for women to enter the paid workforce </w:t>
      </w:r>
      <w:r w:rsidR="008D3C39">
        <w:rPr>
          <w:rFonts w:cstheme="minorHAnsi"/>
        </w:rPr>
        <w:t>will</w:t>
      </w:r>
      <w:r w:rsidR="008D3C39" w:rsidRPr="003F264A">
        <w:rPr>
          <w:rFonts w:cstheme="minorHAnsi"/>
        </w:rPr>
        <w:t xml:space="preserve"> </w:t>
      </w:r>
      <w:r w:rsidRPr="003F264A">
        <w:rPr>
          <w:rFonts w:cstheme="minorHAnsi"/>
          <w:color w:val="000000" w:themeColor="text1"/>
        </w:rPr>
        <w:t xml:space="preserve">increase the </w:t>
      </w:r>
      <w:r w:rsidR="00416848" w:rsidRPr="003F264A">
        <w:rPr>
          <w:rFonts w:cstheme="minorHAnsi"/>
          <w:color w:val="000000" w:themeColor="text1"/>
        </w:rPr>
        <w:t xml:space="preserve">productive capacity </w:t>
      </w:r>
      <w:r w:rsidRPr="003F264A">
        <w:rPr>
          <w:rFonts w:cstheme="minorHAnsi"/>
          <w:color w:val="000000" w:themeColor="text1"/>
        </w:rPr>
        <w:t>of the Australian economy by about $25 billion per year.</w:t>
      </w:r>
      <w:r w:rsidRPr="003F264A">
        <w:rPr>
          <w:rStyle w:val="FootnoteReference"/>
          <w:rFonts w:cstheme="minorHAnsi"/>
          <w:color w:val="000000" w:themeColor="text1"/>
        </w:rPr>
        <w:footnoteReference w:id="70"/>
      </w:r>
      <w:r w:rsidRPr="003F264A">
        <w:rPr>
          <w:rFonts w:cstheme="minorHAnsi"/>
          <w:color w:val="000000" w:themeColor="text1"/>
        </w:rPr>
        <w:t xml:space="preserve"> Gender discrimination results in $348</w:t>
      </w:r>
      <w:r w:rsidR="00941965" w:rsidRPr="003F264A">
        <w:rPr>
          <w:rFonts w:cstheme="minorHAnsi"/>
          <w:color w:val="000000" w:themeColor="text1"/>
        </w:rPr>
        <w:t xml:space="preserve"> million</w:t>
      </w:r>
      <w:r w:rsidRPr="003F264A">
        <w:rPr>
          <w:rFonts w:cstheme="minorHAnsi"/>
          <w:color w:val="000000" w:themeColor="text1"/>
        </w:rPr>
        <w:t xml:space="preserve"> per week in lost national earnings</w:t>
      </w:r>
      <w:r w:rsidR="00AC7B05" w:rsidRPr="003F264A">
        <w:rPr>
          <w:rFonts w:cstheme="minorHAnsi"/>
          <w:color w:val="000000" w:themeColor="text1"/>
        </w:rPr>
        <w:t xml:space="preserve"> and</w:t>
      </w:r>
      <w:r w:rsidRPr="003F264A">
        <w:rPr>
          <w:rFonts w:cstheme="minorHAnsi"/>
          <w:color w:val="000000" w:themeColor="text1"/>
        </w:rPr>
        <w:t xml:space="preserve"> </w:t>
      </w:r>
      <w:r w:rsidR="00AC7B05" w:rsidRPr="003F264A">
        <w:rPr>
          <w:rFonts w:cstheme="minorHAnsi"/>
          <w:color w:val="000000" w:themeColor="text1"/>
        </w:rPr>
        <w:t>g</w:t>
      </w:r>
      <w:r w:rsidRPr="003F264A">
        <w:rPr>
          <w:rFonts w:cstheme="minorHAnsi"/>
          <w:color w:val="000000" w:themeColor="text1"/>
        </w:rPr>
        <w:t>ender segregation in job type results in $232</w:t>
      </w:r>
      <w:r w:rsidR="00941965" w:rsidRPr="003F264A">
        <w:rPr>
          <w:rFonts w:cstheme="minorHAnsi"/>
          <w:color w:val="000000" w:themeColor="text1"/>
        </w:rPr>
        <w:t xml:space="preserve"> million</w:t>
      </w:r>
      <w:r w:rsidRPr="003F264A">
        <w:rPr>
          <w:rFonts w:cstheme="minorHAnsi"/>
          <w:color w:val="000000" w:themeColor="text1"/>
        </w:rPr>
        <w:t xml:space="preserve"> per week in lost national earnings.</w:t>
      </w:r>
      <w:r w:rsidRPr="003F264A">
        <w:rPr>
          <w:rStyle w:val="FootnoteReference"/>
          <w:rFonts w:cstheme="minorHAnsi"/>
          <w:color w:val="000000" w:themeColor="text1"/>
        </w:rPr>
        <w:footnoteReference w:id="71"/>
      </w:r>
      <w:r w:rsidRPr="003F264A">
        <w:rPr>
          <w:rFonts w:cstheme="minorHAnsi"/>
          <w:color w:val="000000" w:themeColor="text1"/>
        </w:rPr>
        <w:t xml:space="preserve"> Care, family responsibility and workforce participation results in $319</w:t>
      </w:r>
      <w:r w:rsidR="00941965" w:rsidRPr="003F264A">
        <w:rPr>
          <w:rFonts w:cstheme="minorHAnsi"/>
          <w:color w:val="000000" w:themeColor="text1"/>
        </w:rPr>
        <w:t xml:space="preserve"> million</w:t>
      </w:r>
      <w:r w:rsidRPr="003F264A">
        <w:rPr>
          <w:rFonts w:cstheme="minorHAnsi"/>
          <w:color w:val="000000" w:themeColor="text1"/>
        </w:rPr>
        <w:t xml:space="preserve"> per week in lost national earnings (this include</w:t>
      </w:r>
      <w:r w:rsidR="00941965" w:rsidRPr="003F264A">
        <w:rPr>
          <w:rFonts w:cstheme="minorHAnsi"/>
          <w:color w:val="000000" w:themeColor="text1"/>
        </w:rPr>
        <w:t>s</w:t>
      </w:r>
      <w:r w:rsidRPr="003F264A">
        <w:rPr>
          <w:rFonts w:cstheme="minorHAnsi"/>
          <w:color w:val="000000" w:themeColor="text1"/>
        </w:rPr>
        <w:t xml:space="preserve"> part-time work, unpaid work, years not working due to interruptions).</w:t>
      </w:r>
      <w:r w:rsidRPr="003F264A">
        <w:rPr>
          <w:rStyle w:val="FootnoteReference"/>
          <w:rFonts w:cstheme="minorHAnsi"/>
          <w:color w:val="000000" w:themeColor="text1"/>
        </w:rPr>
        <w:footnoteReference w:id="72"/>
      </w:r>
    </w:p>
    <w:p w14:paraId="6E6A93CE" w14:textId="77777777" w:rsidR="004B2D21" w:rsidRPr="003F264A" w:rsidRDefault="004B2D21" w:rsidP="000F6998">
      <w:pPr>
        <w:jc w:val="both"/>
        <w:rPr>
          <w:rFonts w:cstheme="minorHAnsi"/>
          <w:color w:val="000000" w:themeColor="text1"/>
        </w:rPr>
      </w:pPr>
      <w:r w:rsidRPr="003F264A">
        <w:rPr>
          <w:rFonts w:cstheme="minorHAnsi"/>
          <w:color w:val="000000" w:themeColor="text1"/>
        </w:rPr>
        <w:t>Persistence of the gender pay gap may have far reaching negative implications for the Australian economy through restricting competitiveness and opportunities for growth.</w:t>
      </w:r>
      <w:r w:rsidRPr="003F264A">
        <w:rPr>
          <w:rStyle w:val="FootnoteReference"/>
          <w:rFonts w:cstheme="minorHAnsi"/>
          <w:color w:val="000000" w:themeColor="text1"/>
        </w:rPr>
        <w:footnoteReference w:id="73"/>
      </w:r>
      <w:r w:rsidRPr="003F264A">
        <w:rPr>
          <w:rFonts w:cstheme="minorHAnsi"/>
          <w:color w:val="000000" w:themeColor="text1"/>
        </w:rPr>
        <w:t xml:space="preserve"> Labour market inflexibility prevents the most efficient allocation of resources across the economy - negatively impacting Australia’s ability to respond quickly to emerging opportunities</w:t>
      </w:r>
      <w:r w:rsidR="00AC7B05" w:rsidRPr="003F264A">
        <w:rPr>
          <w:rFonts w:cstheme="minorHAnsi"/>
          <w:color w:val="000000" w:themeColor="text1"/>
        </w:rPr>
        <w:t>,</w:t>
      </w:r>
      <w:r w:rsidRPr="003F264A">
        <w:rPr>
          <w:rFonts w:cstheme="minorHAnsi"/>
          <w:color w:val="000000" w:themeColor="text1"/>
        </w:rPr>
        <w:t xml:space="preserve"> changing circumstances</w:t>
      </w:r>
      <w:r w:rsidR="00AC7B05" w:rsidRPr="003F264A">
        <w:rPr>
          <w:rFonts w:cstheme="minorHAnsi"/>
          <w:color w:val="000000" w:themeColor="text1"/>
        </w:rPr>
        <w:t>,</w:t>
      </w:r>
      <w:r w:rsidRPr="003F264A">
        <w:rPr>
          <w:rFonts w:cstheme="minorHAnsi"/>
          <w:color w:val="000000" w:themeColor="text1"/>
        </w:rPr>
        <w:t xml:space="preserve"> and limiting prospective economic growth.</w:t>
      </w:r>
      <w:r w:rsidRPr="003F264A">
        <w:rPr>
          <w:rStyle w:val="FootnoteReference"/>
          <w:rFonts w:cstheme="minorHAnsi"/>
          <w:color w:val="000000" w:themeColor="text1"/>
        </w:rPr>
        <w:footnoteReference w:id="74"/>
      </w:r>
      <w:r w:rsidRPr="003F264A">
        <w:rPr>
          <w:rFonts w:cstheme="minorHAnsi"/>
          <w:color w:val="000000" w:themeColor="text1"/>
        </w:rPr>
        <w:t xml:space="preserve"> Closing the workforce participation gap </w:t>
      </w:r>
      <w:r w:rsidR="002C3B63">
        <w:rPr>
          <w:rFonts w:cstheme="minorHAnsi"/>
          <w:color w:val="000000" w:themeColor="text1"/>
        </w:rPr>
        <w:t>could</w:t>
      </w:r>
      <w:r w:rsidRPr="003F264A">
        <w:rPr>
          <w:rFonts w:cstheme="minorHAnsi"/>
          <w:color w:val="000000" w:themeColor="text1"/>
        </w:rPr>
        <w:t xml:space="preserve"> lift Australia’s GDP by 8.7 </w:t>
      </w:r>
      <w:r w:rsidR="00B74CBF" w:rsidRPr="003F264A">
        <w:rPr>
          <w:rFonts w:cstheme="minorHAnsi"/>
          <w:color w:val="000000" w:themeColor="text1"/>
        </w:rPr>
        <w:t>per cent</w:t>
      </w:r>
      <w:r w:rsidRPr="003F264A">
        <w:rPr>
          <w:rFonts w:cstheme="minorHAnsi"/>
          <w:color w:val="000000" w:themeColor="text1"/>
        </w:rPr>
        <w:t>, or $353 billion, by 2050 (research as of 2021).</w:t>
      </w:r>
      <w:r w:rsidRPr="003F264A">
        <w:rPr>
          <w:rStyle w:val="FootnoteReference"/>
          <w:rFonts w:cstheme="minorHAnsi"/>
          <w:color w:val="000000" w:themeColor="text1"/>
        </w:rPr>
        <w:footnoteReference w:id="75"/>
      </w:r>
      <w:r w:rsidRPr="003F264A">
        <w:rPr>
          <w:rFonts w:cstheme="minorHAnsi"/>
          <w:color w:val="000000" w:themeColor="text1"/>
        </w:rPr>
        <w:t xml:space="preserve"> The gender pay gap can be interpreted as a potential source of productivity gain, given the many factors underlying the gap are driven by labour market rigidities which, if removed, </w:t>
      </w:r>
      <w:r w:rsidR="002C3B63">
        <w:rPr>
          <w:rFonts w:cstheme="minorHAnsi"/>
          <w:color w:val="000000" w:themeColor="text1"/>
        </w:rPr>
        <w:t>will</w:t>
      </w:r>
      <w:r w:rsidRPr="003F264A">
        <w:rPr>
          <w:rFonts w:cstheme="minorHAnsi"/>
          <w:color w:val="000000" w:themeColor="text1"/>
        </w:rPr>
        <w:t xml:space="preserve"> benefit the Australian economy through increasing overall economic output. </w:t>
      </w:r>
    </w:p>
    <w:p w14:paraId="09B5430B" w14:textId="77777777" w:rsidR="004B2D21" w:rsidRPr="003F264A" w:rsidRDefault="004B2D21" w:rsidP="000F6998">
      <w:pPr>
        <w:pStyle w:val="Heading2"/>
        <w:jc w:val="both"/>
        <w:rPr>
          <w:rFonts w:asciiTheme="minorHAnsi" w:hAnsiTheme="minorHAnsi" w:cstheme="minorHAnsi"/>
        </w:rPr>
      </w:pPr>
      <w:bookmarkStart w:id="26" w:name="_Toc118794717"/>
      <w:bookmarkStart w:id="27" w:name="_Toc125714692"/>
      <w:r w:rsidRPr="003F264A">
        <w:rPr>
          <w:rFonts w:asciiTheme="minorHAnsi" w:hAnsiTheme="minorHAnsi" w:cstheme="minorHAnsi"/>
        </w:rPr>
        <w:t>4.2 WGEA</w:t>
      </w:r>
      <w:r w:rsidR="002E4D36" w:rsidRPr="003F264A">
        <w:rPr>
          <w:rFonts w:asciiTheme="minorHAnsi" w:hAnsiTheme="minorHAnsi" w:cstheme="minorHAnsi"/>
        </w:rPr>
        <w:t xml:space="preserve"> is well-placed to intervene</w:t>
      </w:r>
      <w:bookmarkEnd w:id="26"/>
      <w:bookmarkEnd w:id="27"/>
    </w:p>
    <w:p w14:paraId="09D9C48E" w14:textId="77777777" w:rsidR="00286FE9" w:rsidRPr="003F264A" w:rsidRDefault="004B2D21" w:rsidP="000F6998">
      <w:pPr>
        <w:jc w:val="both"/>
        <w:rPr>
          <w:rFonts w:cstheme="minorHAnsi"/>
        </w:rPr>
      </w:pPr>
      <w:r w:rsidRPr="003F264A">
        <w:rPr>
          <w:rFonts w:cstheme="minorHAnsi"/>
        </w:rPr>
        <w:t>The Australian Government, has the capacity to intervene successfully in improving the status of women in Australian workplaces</w:t>
      </w:r>
      <w:r w:rsidR="00301D47">
        <w:rPr>
          <w:rFonts w:cstheme="minorHAnsi"/>
        </w:rPr>
        <w:t xml:space="preserve"> through </w:t>
      </w:r>
      <w:r w:rsidRPr="003F264A">
        <w:rPr>
          <w:rFonts w:cstheme="minorHAnsi"/>
        </w:rPr>
        <w:t>WGEA</w:t>
      </w:r>
      <w:r w:rsidR="00301D47">
        <w:rPr>
          <w:rFonts w:cstheme="minorHAnsi"/>
        </w:rPr>
        <w:t>, which</w:t>
      </w:r>
      <w:r w:rsidRPr="003F264A">
        <w:rPr>
          <w:rFonts w:cstheme="minorHAnsi"/>
        </w:rPr>
        <w:t xml:space="preserve"> has made significant progress since its inception</w:t>
      </w:r>
      <w:r w:rsidR="00301D47">
        <w:rPr>
          <w:rFonts w:cstheme="minorHAnsi"/>
        </w:rPr>
        <w:t xml:space="preserve">, exemplified by </w:t>
      </w:r>
      <w:r w:rsidR="00C923F8">
        <w:rPr>
          <w:rFonts w:cstheme="minorHAnsi"/>
        </w:rPr>
        <w:t>over 97%</w:t>
      </w:r>
      <w:r w:rsidR="00301D47">
        <w:rPr>
          <w:rFonts w:cstheme="minorHAnsi"/>
        </w:rPr>
        <w:t xml:space="preserve"> of businesses complying with reporting obligations under the WGE Act.</w:t>
      </w:r>
      <w:r w:rsidR="00301D47">
        <w:rPr>
          <w:rStyle w:val="FootnoteReference"/>
          <w:rFonts w:cstheme="minorHAnsi"/>
        </w:rPr>
        <w:footnoteReference w:id="76"/>
      </w:r>
    </w:p>
    <w:p w14:paraId="14558DA4" w14:textId="77777777" w:rsidR="00146267" w:rsidRDefault="00146267" w:rsidP="000F6998">
      <w:pPr>
        <w:jc w:val="both"/>
        <w:rPr>
          <w:rFonts w:cstheme="minorHAnsi"/>
        </w:rPr>
      </w:pPr>
    </w:p>
    <w:p w14:paraId="025640F9" w14:textId="3C333A6F" w:rsidR="004B2D21" w:rsidRPr="003F264A" w:rsidRDefault="004B2D21" w:rsidP="000F6998">
      <w:pPr>
        <w:jc w:val="both"/>
        <w:rPr>
          <w:rFonts w:eastAsiaTheme="majorEastAsia" w:cstheme="minorHAnsi"/>
          <w:i/>
          <w:iCs/>
          <w:color w:val="2E74B5" w:themeColor="accent1" w:themeShade="BF"/>
        </w:rPr>
      </w:pPr>
      <w:r w:rsidRPr="003F264A">
        <w:rPr>
          <w:rFonts w:cstheme="minorHAnsi"/>
        </w:rPr>
        <w:t>In 2014</w:t>
      </w:r>
      <w:r w:rsidR="00B66F50" w:rsidRPr="003F264A">
        <w:rPr>
          <w:rFonts w:cstheme="minorHAnsi"/>
        </w:rPr>
        <w:t>,</w:t>
      </w:r>
      <w:r w:rsidRPr="003F264A">
        <w:rPr>
          <w:rFonts w:cstheme="minorHAnsi"/>
        </w:rPr>
        <w:t xml:space="preserve"> WGEA:</w:t>
      </w:r>
      <w:r w:rsidRPr="003F264A">
        <w:rPr>
          <w:rStyle w:val="FootnoteReference"/>
          <w:rFonts w:cstheme="minorHAnsi"/>
        </w:rPr>
        <w:footnoteReference w:id="77"/>
      </w:r>
    </w:p>
    <w:p w14:paraId="42074B93" w14:textId="77777777" w:rsidR="004B2D21" w:rsidRPr="003F264A" w:rsidRDefault="004B2D21" w:rsidP="000F6998">
      <w:pPr>
        <w:pStyle w:val="ListParagraph"/>
        <w:numPr>
          <w:ilvl w:val="0"/>
          <w:numId w:val="8"/>
        </w:numPr>
        <w:jc w:val="both"/>
        <w:rPr>
          <w:rFonts w:cstheme="minorHAnsi"/>
        </w:rPr>
      </w:pPr>
      <w:r w:rsidRPr="003F264A">
        <w:rPr>
          <w:rFonts w:cstheme="minorHAnsi"/>
        </w:rPr>
        <w:t xml:space="preserve">introduced a new online reporting system and implemented full reporting under the </w:t>
      </w:r>
      <w:r w:rsidR="00286FE9" w:rsidRPr="003F264A">
        <w:rPr>
          <w:rFonts w:cstheme="minorHAnsi"/>
        </w:rPr>
        <w:t xml:space="preserve">WGE </w:t>
      </w:r>
      <w:r w:rsidRPr="003F264A">
        <w:rPr>
          <w:rFonts w:cstheme="minorHAnsi"/>
        </w:rPr>
        <w:t>Act whereby non-public sector employers with 100 or more employees report in a standardised format against six GEIs;</w:t>
      </w:r>
    </w:p>
    <w:p w14:paraId="2CEB2C4F" w14:textId="77777777" w:rsidR="004B2D21" w:rsidRPr="003F264A" w:rsidRDefault="004B2D21" w:rsidP="000F6998">
      <w:pPr>
        <w:pStyle w:val="ListParagraph"/>
        <w:numPr>
          <w:ilvl w:val="0"/>
          <w:numId w:val="8"/>
        </w:numPr>
        <w:jc w:val="both"/>
        <w:rPr>
          <w:rFonts w:cstheme="minorHAnsi"/>
        </w:rPr>
      </w:pPr>
      <w:r w:rsidRPr="003F264A">
        <w:rPr>
          <w:rFonts w:cstheme="minorHAnsi"/>
        </w:rPr>
        <w:t xml:space="preserve">released its first comprehensive dataset on workplace gender equality, covering over one-third </w:t>
      </w:r>
      <w:r w:rsidR="008C776D">
        <w:rPr>
          <w:rFonts w:cstheme="minorHAnsi"/>
        </w:rPr>
        <w:t xml:space="preserve">of </w:t>
      </w:r>
      <w:r w:rsidRPr="003F264A">
        <w:rPr>
          <w:rFonts w:cstheme="minorHAnsi"/>
        </w:rPr>
        <w:t>(four million) Australian employees and provided a benchmark for measuring future progress. This world-leading dataset provided Australia with the most comprehensive picture of workplace gender equality ever seen; and</w:t>
      </w:r>
    </w:p>
    <w:p w14:paraId="550F9E60" w14:textId="77777777" w:rsidR="004B2D21" w:rsidRPr="003F264A" w:rsidRDefault="004B2D21" w:rsidP="000F6998">
      <w:pPr>
        <w:pStyle w:val="ListParagraph"/>
        <w:numPr>
          <w:ilvl w:val="0"/>
          <w:numId w:val="8"/>
        </w:numPr>
        <w:jc w:val="both"/>
        <w:rPr>
          <w:rFonts w:cstheme="minorHAnsi"/>
        </w:rPr>
      </w:pPr>
      <w:r w:rsidRPr="003F264A">
        <w:rPr>
          <w:rFonts w:cstheme="minorHAnsi"/>
        </w:rPr>
        <w:t>released the first customised, confidential benchmark reports to reporting organisations – the first data of its kind in Australia. The reports allow employers to assess their gender performance against their peers, identify areas for improvement</w:t>
      </w:r>
      <w:r w:rsidR="00286FE9" w:rsidRPr="003F264A">
        <w:rPr>
          <w:rFonts w:cstheme="minorHAnsi"/>
        </w:rPr>
        <w:t>,</w:t>
      </w:r>
      <w:r w:rsidRPr="003F264A">
        <w:rPr>
          <w:rFonts w:cstheme="minorHAnsi"/>
        </w:rPr>
        <w:t xml:space="preserve"> and track the effectiveness of their gender equality strategies over time.</w:t>
      </w:r>
    </w:p>
    <w:p w14:paraId="533BB43F" w14:textId="77777777" w:rsidR="004B2D21" w:rsidRPr="003F264A" w:rsidRDefault="004B2D21" w:rsidP="000F6998">
      <w:pPr>
        <w:jc w:val="both"/>
        <w:rPr>
          <w:rFonts w:cstheme="minorHAnsi"/>
        </w:rPr>
      </w:pPr>
      <w:r w:rsidRPr="003F264A">
        <w:rPr>
          <w:rFonts w:cstheme="minorHAnsi"/>
        </w:rPr>
        <w:t>In 2018</w:t>
      </w:r>
      <w:r w:rsidR="00B66F50" w:rsidRPr="003F264A">
        <w:rPr>
          <w:rFonts w:cstheme="minorHAnsi"/>
        </w:rPr>
        <w:t>,</w:t>
      </w:r>
      <w:r w:rsidRPr="003F264A">
        <w:rPr>
          <w:rFonts w:cstheme="minorHAnsi"/>
        </w:rPr>
        <w:t xml:space="preserve"> WGEA developed and implemented a replacement, fit-for-purpose online reporting system.</w:t>
      </w:r>
      <w:r w:rsidRPr="003F264A">
        <w:rPr>
          <w:rStyle w:val="FootnoteReference"/>
          <w:rFonts w:cstheme="minorHAnsi"/>
        </w:rPr>
        <w:footnoteReference w:id="78"/>
      </w:r>
      <w:r w:rsidRPr="003F264A">
        <w:rPr>
          <w:rFonts w:cstheme="minorHAnsi"/>
        </w:rPr>
        <w:t xml:space="preserve"> The new online system has the capacity and flexibility for voluntary reporting and allows for a significant increase in the dataset.</w:t>
      </w:r>
    </w:p>
    <w:p w14:paraId="347EB9E4" w14:textId="77777777" w:rsidR="004B2D21" w:rsidRPr="003F264A" w:rsidRDefault="00B66F50" w:rsidP="000F6998">
      <w:pPr>
        <w:jc w:val="both"/>
        <w:rPr>
          <w:rFonts w:cstheme="minorHAnsi"/>
          <w:color w:val="000000"/>
        </w:rPr>
      </w:pPr>
      <w:r w:rsidRPr="003F264A">
        <w:rPr>
          <w:rFonts w:cstheme="minorHAnsi"/>
        </w:rPr>
        <w:t xml:space="preserve">By 2020, </w:t>
      </w:r>
      <w:r w:rsidR="00416848" w:rsidRPr="003F264A">
        <w:rPr>
          <w:rFonts w:cstheme="minorHAnsi"/>
        </w:rPr>
        <w:t>informed by</w:t>
      </w:r>
      <w:r w:rsidR="004B2D21" w:rsidRPr="003F264A">
        <w:rPr>
          <w:rFonts w:cstheme="minorHAnsi"/>
        </w:rPr>
        <w:t xml:space="preserve"> five years of data collection, WGEA developed a detailed picture of the state of gender equality in workplaces across Australia.</w:t>
      </w:r>
      <w:r w:rsidR="004B2D21" w:rsidRPr="003F264A">
        <w:rPr>
          <w:rStyle w:val="FootnoteReference"/>
          <w:rFonts w:cstheme="minorHAnsi"/>
        </w:rPr>
        <w:footnoteReference w:id="79"/>
      </w:r>
      <w:r w:rsidR="004B2D21" w:rsidRPr="003F264A">
        <w:rPr>
          <w:rFonts w:cstheme="minorHAnsi"/>
        </w:rPr>
        <w:t xml:space="preserve"> WGEA data shows there has been a strong increase in employer action on gender equality.</w:t>
      </w:r>
      <w:r w:rsidR="004B2D21" w:rsidRPr="003F264A">
        <w:rPr>
          <w:rStyle w:val="FootnoteReference"/>
          <w:rFonts w:cstheme="minorHAnsi"/>
        </w:rPr>
        <w:footnoteReference w:id="80"/>
      </w:r>
      <w:r w:rsidR="004B2D21" w:rsidRPr="003F264A">
        <w:rPr>
          <w:rFonts w:cstheme="minorHAnsi"/>
        </w:rPr>
        <w:t xml:space="preserve"> As employers have taken action, gender equality outcomes have improved and the gender pay gap has </w:t>
      </w:r>
      <w:r w:rsidR="00B74CBF" w:rsidRPr="003F264A">
        <w:rPr>
          <w:rFonts w:cstheme="minorHAnsi"/>
        </w:rPr>
        <w:t>narrowed</w:t>
      </w:r>
      <w:r w:rsidR="004B2D21" w:rsidRPr="003F264A">
        <w:rPr>
          <w:rFonts w:cstheme="minorHAnsi"/>
        </w:rPr>
        <w:t xml:space="preserve">. WGEA’s success demonstrates its capacity to successfully drive policy interventions in the future. </w:t>
      </w:r>
    </w:p>
    <w:p w14:paraId="7CAE33F8" w14:textId="77777777" w:rsidR="004B2D21" w:rsidRPr="003F264A" w:rsidRDefault="004B2D21" w:rsidP="000F6998">
      <w:pPr>
        <w:pStyle w:val="Heading2"/>
        <w:jc w:val="both"/>
        <w:rPr>
          <w:rFonts w:asciiTheme="minorHAnsi" w:hAnsiTheme="minorHAnsi" w:cstheme="minorHAnsi"/>
        </w:rPr>
      </w:pPr>
      <w:bookmarkStart w:id="28" w:name="_Toc118794718"/>
      <w:bookmarkStart w:id="29" w:name="_Toc125714693"/>
      <w:r w:rsidRPr="003F264A">
        <w:rPr>
          <w:rFonts w:asciiTheme="minorHAnsi" w:hAnsiTheme="minorHAnsi" w:cstheme="minorHAnsi"/>
        </w:rPr>
        <w:t>4.3 WGEA performs functions that the private sector cannot perform</w:t>
      </w:r>
      <w:bookmarkEnd w:id="28"/>
      <w:bookmarkEnd w:id="29"/>
    </w:p>
    <w:p w14:paraId="420CB09F" w14:textId="77777777" w:rsidR="004B2D21" w:rsidRPr="003F264A" w:rsidRDefault="004B2D21" w:rsidP="000F6998">
      <w:pPr>
        <w:jc w:val="both"/>
        <w:rPr>
          <w:rFonts w:cstheme="minorHAnsi"/>
        </w:rPr>
      </w:pPr>
      <w:r w:rsidRPr="003F264A">
        <w:rPr>
          <w:rFonts w:cstheme="minorHAnsi"/>
        </w:rPr>
        <w:t>WGEA plays a number of key roles that are not otherwise carried out by the private sector. These functions include:</w:t>
      </w:r>
    </w:p>
    <w:p w14:paraId="7BE0A397" w14:textId="77777777" w:rsidR="004B2D21" w:rsidRPr="003F264A" w:rsidRDefault="004B2D21" w:rsidP="000F6998">
      <w:pPr>
        <w:pStyle w:val="ListParagraph"/>
        <w:numPr>
          <w:ilvl w:val="0"/>
          <w:numId w:val="7"/>
        </w:numPr>
        <w:jc w:val="both"/>
        <w:rPr>
          <w:rFonts w:cstheme="minorHAnsi"/>
        </w:rPr>
      </w:pPr>
      <w:r w:rsidRPr="003F264A">
        <w:rPr>
          <w:rFonts w:cstheme="minorHAnsi"/>
        </w:rPr>
        <w:t>advising and assisting employers in promoting and improving gender equality in the workplace; </w:t>
      </w:r>
    </w:p>
    <w:p w14:paraId="73F0E445" w14:textId="17FB644D" w:rsidR="004B2D21" w:rsidRPr="003F264A" w:rsidRDefault="004B2D21" w:rsidP="000F6998">
      <w:pPr>
        <w:pStyle w:val="ListParagraph"/>
        <w:numPr>
          <w:ilvl w:val="0"/>
          <w:numId w:val="7"/>
        </w:numPr>
        <w:jc w:val="both"/>
        <w:rPr>
          <w:rFonts w:cstheme="minorHAnsi"/>
        </w:rPr>
      </w:pPr>
      <w:r w:rsidRPr="003F264A">
        <w:rPr>
          <w:rFonts w:cstheme="minorHAnsi"/>
        </w:rPr>
        <w:t xml:space="preserve">developing, in consultation with relevant employers and employee organisations, benchmarks in relation to </w:t>
      </w:r>
      <w:r w:rsidR="00EB0A7D" w:rsidRPr="003F264A">
        <w:rPr>
          <w:rFonts w:cstheme="minorHAnsi"/>
        </w:rPr>
        <w:t>GEI</w:t>
      </w:r>
      <w:r w:rsidRPr="003F264A">
        <w:rPr>
          <w:rFonts w:cstheme="minorHAnsi"/>
        </w:rPr>
        <w:t>s;</w:t>
      </w:r>
    </w:p>
    <w:p w14:paraId="7B721430" w14:textId="77777777" w:rsidR="004B2D21" w:rsidRPr="003F264A" w:rsidRDefault="004B2D21" w:rsidP="000F6998">
      <w:pPr>
        <w:pStyle w:val="ListParagraph"/>
        <w:numPr>
          <w:ilvl w:val="0"/>
          <w:numId w:val="7"/>
        </w:numPr>
        <w:jc w:val="both"/>
        <w:rPr>
          <w:rFonts w:cstheme="minorHAnsi"/>
        </w:rPr>
      </w:pPr>
      <w:r w:rsidRPr="003F264A">
        <w:rPr>
          <w:rFonts w:cstheme="minorHAnsi"/>
        </w:rPr>
        <w:t xml:space="preserve">issuing guidelines to assist relevant employers to achieve the purposes of the </w:t>
      </w:r>
      <w:r w:rsidR="001F0CD0" w:rsidRPr="003F264A">
        <w:rPr>
          <w:rFonts w:cstheme="minorHAnsi"/>
        </w:rPr>
        <w:t xml:space="preserve">WGE </w:t>
      </w:r>
      <w:r w:rsidRPr="003F264A">
        <w:rPr>
          <w:rFonts w:cstheme="minorHAnsi"/>
        </w:rPr>
        <w:t>Act;</w:t>
      </w:r>
    </w:p>
    <w:p w14:paraId="627D6FA5" w14:textId="77777777" w:rsidR="004B2D21" w:rsidRPr="003F264A" w:rsidRDefault="004B2D21" w:rsidP="000F6998">
      <w:pPr>
        <w:pStyle w:val="ListParagraph"/>
        <w:numPr>
          <w:ilvl w:val="0"/>
          <w:numId w:val="7"/>
        </w:numPr>
        <w:jc w:val="both"/>
        <w:rPr>
          <w:rFonts w:cstheme="minorHAnsi"/>
        </w:rPr>
      </w:pPr>
      <w:r w:rsidRPr="003F264A">
        <w:rPr>
          <w:rFonts w:cstheme="minorHAnsi"/>
        </w:rPr>
        <w:t xml:space="preserve">reviewing compliance with the </w:t>
      </w:r>
      <w:r w:rsidR="001F0CD0" w:rsidRPr="003F264A">
        <w:rPr>
          <w:rFonts w:cstheme="minorHAnsi"/>
        </w:rPr>
        <w:t xml:space="preserve">WGE </w:t>
      </w:r>
      <w:r w:rsidRPr="003F264A">
        <w:rPr>
          <w:rFonts w:cstheme="minorHAnsi"/>
        </w:rPr>
        <w:t xml:space="preserve">Act by relevant employers,  review public reports lodged by relevant employers and deal with those reports in accordance with the </w:t>
      </w:r>
      <w:r w:rsidR="001F0CD0" w:rsidRPr="003F264A">
        <w:rPr>
          <w:rFonts w:cstheme="minorHAnsi"/>
        </w:rPr>
        <w:t xml:space="preserve">WGE </w:t>
      </w:r>
      <w:r w:rsidRPr="003F264A">
        <w:rPr>
          <w:rFonts w:cstheme="minorHAnsi"/>
        </w:rPr>
        <w:t>Act; </w:t>
      </w:r>
    </w:p>
    <w:p w14:paraId="0130F0AD" w14:textId="77777777" w:rsidR="004B2D21" w:rsidRPr="003F264A" w:rsidRDefault="004B2D21" w:rsidP="000F6998">
      <w:pPr>
        <w:pStyle w:val="ListParagraph"/>
        <w:numPr>
          <w:ilvl w:val="0"/>
          <w:numId w:val="7"/>
        </w:numPr>
        <w:jc w:val="both"/>
        <w:rPr>
          <w:rFonts w:cstheme="minorHAnsi"/>
        </w:rPr>
      </w:pPr>
      <w:r w:rsidRPr="003F264A">
        <w:rPr>
          <w:rFonts w:cstheme="minorHAnsi"/>
        </w:rPr>
        <w:t xml:space="preserve">collecting and analysing information provided by relevant employers under the </w:t>
      </w:r>
      <w:r w:rsidR="001F0CD0" w:rsidRPr="003F264A">
        <w:rPr>
          <w:rFonts w:cstheme="minorHAnsi"/>
        </w:rPr>
        <w:t xml:space="preserve">WGE </w:t>
      </w:r>
      <w:r w:rsidRPr="003F264A">
        <w:rPr>
          <w:rFonts w:cstheme="minorHAnsi"/>
        </w:rPr>
        <w:t xml:space="preserve">Act to assist the </w:t>
      </w:r>
      <w:r w:rsidR="001F0CD0" w:rsidRPr="003F264A">
        <w:rPr>
          <w:rFonts w:cstheme="minorHAnsi"/>
        </w:rPr>
        <w:t xml:space="preserve">WGEA </w:t>
      </w:r>
      <w:r w:rsidRPr="003F264A">
        <w:rPr>
          <w:rFonts w:cstheme="minorHAnsi"/>
        </w:rPr>
        <w:t>to advise the Minister</w:t>
      </w:r>
      <w:r w:rsidR="001F0CD0" w:rsidRPr="003F264A">
        <w:rPr>
          <w:rFonts w:cstheme="minorHAnsi"/>
        </w:rPr>
        <w:t xml:space="preserve"> for Women</w:t>
      </w:r>
      <w:r w:rsidRPr="003F264A">
        <w:rPr>
          <w:rFonts w:cstheme="minorHAnsi"/>
        </w:rPr>
        <w:t xml:space="preserve"> in relation to legislative instruments made under the </w:t>
      </w:r>
      <w:r w:rsidR="001F0CD0" w:rsidRPr="003F264A">
        <w:rPr>
          <w:rFonts w:cstheme="minorHAnsi"/>
        </w:rPr>
        <w:t xml:space="preserve">WGE </w:t>
      </w:r>
      <w:r w:rsidRPr="003F264A">
        <w:rPr>
          <w:rFonts w:cstheme="minorHAnsi"/>
        </w:rPr>
        <w:t>Act; </w:t>
      </w:r>
    </w:p>
    <w:p w14:paraId="4D8DC742" w14:textId="77777777" w:rsidR="004B2D21" w:rsidRPr="003F264A" w:rsidRDefault="004B2D21" w:rsidP="000F6998">
      <w:pPr>
        <w:pStyle w:val="ListParagraph"/>
        <w:numPr>
          <w:ilvl w:val="0"/>
          <w:numId w:val="7"/>
        </w:numPr>
        <w:jc w:val="both"/>
        <w:rPr>
          <w:rFonts w:cstheme="minorHAnsi"/>
        </w:rPr>
      </w:pPr>
      <w:r w:rsidRPr="003F264A">
        <w:rPr>
          <w:rFonts w:cstheme="minorHAnsi"/>
        </w:rPr>
        <w:t>undertaking research, educational programs and other programs for the purpose of promoting and improving gender equality in the workplace; </w:t>
      </w:r>
    </w:p>
    <w:p w14:paraId="53220179" w14:textId="77777777" w:rsidR="004B2D21" w:rsidRPr="003F264A" w:rsidRDefault="004B2D21" w:rsidP="000F6998">
      <w:pPr>
        <w:pStyle w:val="ListParagraph"/>
        <w:numPr>
          <w:ilvl w:val="0"/>
          <w:numId w:val="7"/>
        </w:numPr>
        <w:jc w:val="both"/>
        <w:rPr>
          <w:rFonts w:cstheme="minorHAnsi"/>
        </w:rPr>
      </w:pPr>
      <w:r w:rsidRPr="003F264A">
        <w:rPr>
          <w:rFonts w:cstheme="minorHAnsi"/>
        </w:rPr>
        <w:t xml:space="preserve">working with employers to maximise the effectiveness of the administration of the </w:t>
      </w:r>
      <w:r w:rsidR="001F0CD0" w:rsidRPr="003F264A">
        <w:rPr>
          <w:rFonts w:cstheme="minorHAnsi"/>
        </w:rPr>
        <w:t xml:space="preserve">WGE </w:t>
      </w:r>
      <w:r w:rsidRPr="003F264A">
        <w:rPr>
          <w:rFonts w:cstheme="minorHAnsi"/>
        </w:rPr>
        <w:t>Act, including by minimising the regulatory burden on employers;</w:t>
      </w:r>
    </w:p>
    <w:p w14:paraId="5A9F63BC" w14:textId="77777777" w:rsidR="004B2D21" w:rsidRPr="003F264A" w:rsidRDefault="00A9563A" w:rsidP="000F6998">
      <w:pPr>
        <w:pStyle w:val="ListParagraph"/>
        <w:numPr>
          <w:ilvl w:val="0"/>
          <w:numId w:val="7"/>
        </w:numPr>
        <w:jc w:val="both"/>
        <w:rPr>
          <w:rFonts w:cstheme="minorHAnsi"/>
        </w:rPr>
      </w:pPr>
      <w:r w:rsidRPr="003F264A">
        <w:rPr>
          <w:rFonts w:cstheme="minorHAnsi"/>
        </w:rPr>
        <w:t>p</w:t>
      </w:r>
      <w:r w:rsidR="004B2D21" w:rsidRPr="003F264A">
        <w:rPr>
          <w:rFonts w:cstheme="minorHAnsi"/>
        </w:rPr>
        <w:t>romoting and contributing to understanding and acceptance, and public discussion, of gender equality in the workplace; </w:t>
      </w:r>
    </w:p>
    <w:p w14:paraId="2FC208E7" w14:textId="77777777" w:rsidR="004B2D21" w:rsidRPr="003F264A" w:rsidRDefault="004B2D21" w:rsidP="000F6998">
      <w:pPr>
        <w:pStyle w:val="ListParagraph"/>
        <w:numPr>
          <w:ilvl w:val="0"/>
          <w:numId w:val="7"/>
        </w:numPr>
        <w:jc w:val="both"/>
        <w:rPr>
          <w:rFonts w:cstheme="minorHAnsi"/>
        </w:rPr>
      </w:pPr>
      <w:r w:rsidRPr="003F264A">
        <w:rPr>
          <w:rFonts w:cstheme="minorHAnsi"/>
        </w:rPr>
        <w:t xml:space="preserve">reviewing the effectiveness of the </w:t>
      </w:r>
      <w:r w:rsidR="001F0CD0" w:rsidRPr="003F264A">
        <w:rPr>
          <w:rFonts w:cstheme="minorHAnsi"/>
        </w:rPr>
        <w:t xml:space="preserve">WGE </w:t>
      </w:r>
      <w:r w:rsidRPr="003F264A">
        <w:rPr>
          <w:rFonts w:cstheme="minorHAnsi"/>
        </w:rPr>
        <w:t>Act in achieving its purposes; and</w:t>
      </w:r>
    </w:p>
    <w:p w14:paraId="41DC4515" w14:textId="77777777" w:rsidR="004B2D21" w:rsidRPr="003F264A" w:rsidRDefault="004B2D21" w:rsidP="000F6998">
      <w:pPr>
        <w:pStyle w:val="ListParagraph"/>
        <w:numPr>
          <w:ilvl w:val="0"/>
          <w:numId w:val="7"/>
        </w:numPr>
        <w:jc w:val="both"/>
        <w:rPr>
          <w:rFonts w:cstheme="minorHAnsi"/>
        </w:rPr>
      </w:pPr>
      <w:r w:rsidRPr="003F264A">
        <w:rPr>
          <w:rFonts w:cstheme="minorHAnsi"/>
        </w:rPr>
        <w:t>reporting to the Minister</w:t>
      </w:r>
      <w:r w:rsidR="001F0CD0" w:rsidRPr="003F264A">
        <w:rPr>
          <w:rFonts w:cstheme="minorHAnsi"/>
        </w:rPr>
        <w:t xml:space="preserve"> for Women</w:t>
      </w:r>
      <w:r w:rsidRPr="003F264A">
        <w:rPr>
          <w:rFonts w:cstheme="minorHAnsi"/>
        </w:rPr>
        <w:t xml:space="preserve"> on such matters in relation to gender equality in the workplace as </w:t>
      </w:r>
      <w:r w:rsidR="001F0CD0" w:rsidRPr="003F264A">
        <w:rPr>
          <w:rFonts w:cstheme="minorHAnsi"/>
        </w:rPr>
        <w:t>WGEA</w:t>
      </w:r>
      <w:r w:rsidRPr="003F264A">
        <w:rPr>
          <w:rFonts w:cstheme="minorHAnsi"/>
        </w:rPr>
        <w:t xml:space="preserve"> thinks fit.</w:t>
      </w:r>
    </w:p>
    <w:p w14:paraId="3A531530" w14:textId="77777777" w:rsidR="00631BC4" w:rsidRPr="003F264A" w:rsidRDefault="00631BC4" w:rsidP="000F6998">
      <w:pPr>
        <w:jc w:val="both"/>
        <w:rPr>
          <w:rFonts w:cstheme="minorHAnsi"/>
        </w:rPr>
      </w:pPr>
      <w:r w:rsidRPr="003F264A">
        <w:rPr>
          <w:rFonts w:cstheme="minorHAnsi"/>
        </w:rPr>
        <w:t xml:space="preserve">WGEA proactively drives positive gender equality through its functions under the WGE Act, which includes working closely with businesses and community organisations to achieve change. This partnership is crucial to change in Australia, with Government-led regulation complemented by buy-in from motivated employers who see the value in creating change in their organisations and industries. This cooperation is what </w:t>
      </w:r>
      <w:r w:rsidR="00517ED7" w:rsidRPr="003F264A">
        <w:rPr>
          <w:rFonts w:cstheme="minorHAnsi"/>
        </w:rPr>
        <w:t>Recommendation</w:t>
      </w:r>
      <w:r w:rsidRPr="003F264A">
        <w:rPr>
          <w:rFonts w:cstheme="minorHAnsi"/>
        </w:rPr>
        <w:t xml:space="preserve"> 3 of the Review seeks to encourage. </w:t>
      </w:r>
    </w:p>
    <w:p w14:paraId="2060B51F" w14:textId="77777777" w:rsidR="004B2D21" w:rsidRPr="003F264A" w:rsidRDefault="004B2D21" w:rsidP="000F6998">
      <w:pPr>
        <w:pStyle w:val="Heading2"/>
        <w:jc w:val="both"/>
        <w:rPr>
          <w:rFonts w:asciiTheme="minorHAnsi" w:hAnsiTheme="minorHAnsi" w:cstheme="minorHAnsi"/>
        </w:rPr>
      </w:pPr>
      <w:bookmarkStart w:id="30" w:name="_Toc118794719"/>
      <w:bookmarkStart w:id="31" w:name="_Toc125714694"/>
      <w:r w:rsidRPr="003F264A">
        <w:rPr>
          <w:rFonts w:asciiTheme="minorHAnsi" w:hAnsiTheme="minorHAnsi" w:cstheme="minorHAnsi"/>
        </w:rPr>
        <w:t xml:space="preserve">4.4 </w:t>
      </w:r>
      <w:r w:rsidR="00930B00" w:rsidRPr="003F264A">
        <w:rPr>
          <w:rFonts w:asciiTheme="minorHAnsi" w:hAnsiTheme="minorHAnsi" w:cstheme="minorHAnsi"/>
        </w:rPr>
        <w:t>There are no a</w:t>
      </w:r>
      <w:r w:rsidRPr="003F264A">
        <w:rPr>
          <w:rFonts w:asciiTheme="minorHAnsi" w:hAnsiTheme="minorHAnsi" w:cstheme="minorHAnsi"/>
        </w:rPr>
        <w:t xml:space="preserve">lternatives to Government </w:t>
      </w:r>
      <w:r w:rsidR="00930B00" w:rsidRPr="003F264A">
        <w:rPr>
          <w:rFonts w:asciiTheme="minorHAnsi" w:hAnsiTheme="minorHAnsi" w:cstheme="minorHAnsi"/>
        </w:rPr>
        <w:t>action that can deliver change on the same scale</w:t>
      </w:r>
      <w:bookmarkEnd w:id="30"/>
      <w:bookmarkEnd w:id="31"/>
    </w:p>
    <w:p w14:paraId="39112235" w14:textId="77777777" w:rsidR="004B2D21" w:rsidRPr="003F264A" w:rsidRDefault="004B2D21" w:rsidP="000F6998">
      <w:pPr>
        <w:jc w:val="both"/>
        <w:rPr>
          <w:rFonts w:cstheme="minorHAnsi"/>
          <w:shd w:val="clear" w:color="auto" w:fill="FFFFFF"/>
        </w:rPr>
      </w:pPr>
      <w:r w:rsidRPr="003F264A">
        <w:rPr>
          <w:rFonts w:cstheme="minorHAnsi"/>
        </w:rPr>
        <w:t>A</w:t>
      </w:r>
      <w:r w:rsidR="00472E5A" w:rsidRPr="003F264A">
        <w:rPr>
          <w:rFonts w:cstheme="minorHAnsi"/>
        </w:rPr>
        <w:t>ny a</w:t>
      </w:r>
      <w:r w:rsidRPr="003F264A">
        <w:rPr>
          <w:rFonts w:cstheme="minorHAnsi"/>
        </w:rPr>
        <w:t>lternatives to Government-led policy intervention to drive change would be employer or industry-led.</w:t>
      </w:r>
      <w:r w:rsidR="00472E5A" w:rsidRPr="003F264A">
        <w:rPr>
          <w:rFonts w:cstheme="minorHAnsi"/>
        </w:rPr>
        <w:t xml:space="preserve"> </w:t>
      </w:r>
      <w:r w:rsidRPr="003F264A">
        <w:rPr>
          <w:rFonts w:cstheme="minorHAnsi"/>
        </w:rPr>
        <w:t>Some Australian businesses are driving change</w:t>
      </w:r>
      <w:r w:rsidR="008C776D">
        <w:rPr>
          <w:rFonts w:cstheme="minorHAnsi"/>
        </w:rPr>
        <w:t xml:space="preserve"> (for example, </w:t>
      </w:r>
      <w:r w:rsidR="00E06701" w:rsidRPr="003F264A">
        <w:rPr>
          <w:rFonts w:cstheme="minorHAnsi"/>
        </w:rPr>
        <w:t>PricewaterhouseCoopers</w:t>
      </w:r>
      <w:r w:rsidR="008C776D">
        <w:rPr>
          <w:rFonts w:cstheme="minorHAnsi"/>
        </w:rPr>
        <w:t>)</w:t>
      </w:r>
      <w:r w:rsidRPr="003F264A">
        <w:rPr>
          <w:rFonts w:cstheme="minorHAnsi"/>
          <w:shd w:val="clear" w:color="auto" w:fill="FFFFFF"/>
        </w:rPr>
        <w:t xml:space="preserve"> have proactively published their own gender pay gap information.</w:t>
      </w:r>
      <w:r w:rsidRPr="003F264A">
        <w:rPr>
          <w:rStyle w:val="FootnoteReference"/>
          <w:rFonts w:cstheme="minorHAnsi"/>
          <w:shd w:val="clear" w:color="auto" w:fill="FFFFFF"/>
        </w:rPr>
        <w:footnoteReference w:id="81"/>
      </w:r>
      <w:r w:rsidRPr="003F264A">
        <w:rPr>
          <w:rFonts w:cstheme="minorHAnsi"/>
          <w:shd w:val="clear" w:color="auto" w:fill="FFFFFF"/>
        </w:rPr>
        <w:t xml:space="preserve"> Several consulting firms have pledged to make similar disclosures in 2022.</w:t>
      </w:r>
      <w:r w:rsidRPr="003F264A">
        <w:rPr>
          <w:rStyle w:val="FootnoteReference"/>
          <w:rFonts w:cstheme="minorHAnsi"/>
          <w:shd w:val="clear" w:color="auto" w:fill="FFFFFF"/>
        </w:rPr>
        <w:footnoteReference w:id="82"/>
      </w:r>
      <w:r w:rsidRPr="003F264A">
        <w:rPr>
          <w:rFonts w:cstheme="minorHAnsi"/>
          <w:shd w:val="clear" w:color="auto" w:fill="FFFFFF"/>
        </w:rPr>
        <w:t xml:space="preserve"> In the banking sector, Westpac </w:t>
      </w:r>
      <w:r w:rsidR="00E06701" w:rsidRPr="003F264A">
        <w:rPr>
          <w:rFonts w:cstheme="minorHAnsi"/>
          <w:shd w:val="clear" w:color="auto" w:fill="FFFFFF"/>
        </w:rPr>
        <w:t xml:space="preserve">Banking Cooperation </w:t>
      </w:r>
      <w:r w:rsidRPr="003F264A">
        <w:rPr>
          <w:rFonts w:cstheme="minorHAnsi"/>
          <w:shd w:val="clear" w:color="auto" w:fill="FFFFFF"/>
        </w:rPr>
        <w:t xml:space="preserve">and </w:t>
      </w:r>
      <w:r w:rsidR="00E06701" w:rsidRPr="003F264A">
        <w:rPr>
          <w:rFonts w:cstheme="minorHAnsi"/>
          <w:shd w:val="clear" w:color="auto" w:fill="FFFFFF"/>
        </w:rPr>
        <w:t xml:space="preserve">the </w:t>
      </w:r>
      <w:r w:rsidRPr="003F264A">
        <w:rPr>
          <w:rFonts w:cstheme="minorHAnsi"/>
          <w:shd w:val="clear" w:color="auto" w:fill="FFFFFF"/>
        </w:rPr>
        <w:t>Commonwealth Bank</w:t>
      </w:r>
      <w:r w:rsidR="00E06701" w:rsidRPr="003F264A">
        <w:rPr>
          <w:rFonts w:cstheme="minorHAnsi"/>
          <w:shd w:val="clear" w:color="auto" w:fill="FFFFFF"/>
        </w:rPr>
        <w:t xml:space="preserve"> of Australia</w:t>
      </w:r>
      <w:r w:rsidRPr="003F264A">
        <w:rPr>
          <w:rFonts w:cstheme="minorHAnsi"/>
          <w:shd w:val="clear" w:color="auto" w:fill="FFFFFF"/>
        </w:rPr>
        <w:t xml:space="preserve"> have removed the pay secrecy clauses in contracts.</w:t>
      </w:r>
      <w:r w:rsidRPr="003F264A">
        <w:rPr>
          <w:rStyle w:val="FootnoteReference"/>
          <w:rFonts w:cstheme="minorHAnsi"/>
          <w:shd w:val="clear" w:color="auto" w:fill="FFFFFF"/>
        </w:rPr>
        <w:footnoteReference w:id="83"/>
      </w:r>
    </w:p>
    <w:p w14:paraId="615A0AB7" w14:textId="3F67F926" w:rsidR="004B2D21" w:rsidRPr="003F264A" w:rsidRDefault="007A1E70" w:rsidP="000F6998">
      <w:pPr>
        <w:jc w:val="both"/>
        <w:rPr>
          <w:rFonts w:cstheme="minorHAnsi"/>
        </w:rPr>
      </w:pPr>
      <w:r w:rsidRPr="003F264A">
        <w:rPr>
          <w:rFonts w:cstheme="minorHAnsi"/>
        </w:rPr>
        <w:t>D</w:t>
      </w:r>
      <w:r w:rsidR="004B2D21" w:rsidRPr="003F264A">
        <w:rPr>
          <w:rFonts w:cstheme="minorHAnsi"/>
        </w:rPr>
        <w:t>espite strong efforts to tackle gender equality taking place across many businesses and industries,</w:t>
      </w:r>
      <w:r w:rsidRPr="003F264A">
        <w:rPr>
          <w:rFonts w:cstheme="minorHAnsi"/>
        </w:rPr>
        <w:t xml:space="preserve"> however,</w:t>
      </w:r>
      <w:r w:rsidR="004B2D21" w:rsidRPr="003F264A">
        <w:rPr>
          <w:rFonts w:cstheme="minorHAnsi"/>
        </w:rPr>
        <w:t xml:space="preserve"> these alternative interventions </w:t>
      </w:r>
      <w:r w:rsidR="001E2403">
        <w:rPr>
          <w:rFonts w:cstheme="minorHAnsi"/>
        </w:rPr>
        <w:t>will</w:t>
      </w:r>
      <w:r w:rsidR="001E2403" w:rsidRPr="003F264A">
        <w:rPr>
          <w:rFonts w:cstheme="minorHAnsi"/>
        </w:rPr>
        <w:t xml:space="preserve"> </w:t>
      </w:r>
      <w:r w:rsidR="004B2D21" w:rsidRPr="003F264A">
        <w:rPr>
          <w:rFonts w:cstheme="minorHAnsi"/>
        </w:rPr>
        <w:t xml:space="preserve">likely not have the same scale of impact without WGEA. Without WGEA’s core data collection, research and regulation functions, there is a real danger that progress towards gender equality in Australian workplaces </w:t>
      </w:r>
      <w:r w:rsidR="00D01B28" w:rsidRPr="003F264A">
        <w:rPr>
          <w:rFonts w:cstheme="minorHAnsi"/>
        </w:rPr>
        <w:t xml:space="preserve">will </w:t>
      </w:r>
      <w:r w:rsidR="004B2D21" w:rsidRPr="003F264A">
        <w:rPr>
          <w:rFonts w:cstheme="minorHAnsi"/>
        </w:rPr>
        <w:t xml:space="preserve">slide backwards. </w:t>
      </w:r>
      <w:r w:rsidR="00EA68D8">
        <w:rPr>
          <w:rFonts w:cstheme="minorHAnsi"/>
        </w:rPr>
        <w:t>This is evidenced by the extensive list of employers who fail to comply with WGEA’s mandatory reporting every year. That is, they fail to submit an annual gender equality report to WGEA and/or meet minimum standards.</w:t>
      </w:r>
      <w:r w:rsidR="00EA68D8">
        <w:rPr>
          <w:rStyle w:val="FootnoteReference"/>
          <w:rFonts w:cstheme="minorHAnsi"/>
        </w:rPr>
        <w:footnoteReference w:id="84"/>
      </w:r>
    </w:p>
    <w:p w14:paraId="565A08EA" w14:textId="77777777" w:rsidR="004B2D21" w:rsidRPr="003F264A" w:rsidRDefault="004B2D21" w:rsidP="000F6998">
      <w:pPr>
        <w:pStyle w:val="Heading2"/>
        <w:jc w:val="both"/>
        <w:rPr>
          <w:rFonts w:asciiTheme="minorHAnsi" w:hAnsiTheme="minorHAnsi" w:cstheme="minorHAnsi"/>
        </w:rPr>
      </w:pPr>
      <w:bookmarkStart w:id="32" w:name="_Toc118794720"/>
      <w:bookmarkStart w:id="33" w:name="_Toc125714695"/>
      <w:r w:rsidRPr="003F264A">
        <w:rPr>
          <w:rFonts w:asciiTheme="minorHAnsi" w:hAnsiTheme="minorHAnsi" w:cstheme="minorHAnsi"/>
        </w:rPr>
        <w:t>4.5 The market cannot solve the problem of workplace gender inequality without Government intervention</w:t>
      </w:r>
      <w:bookmarkEnd w:id="32"/>
      <w:bookmarkEnd w:id="33"/>
    </w:p>
    <w:p w14:paraId="5714CB34" w14:textId="77777777" w:rsidR="00B37A25" w:rsidRPr="003F264A" w:rsidRDefault="008706FC" w:rsidP="000F6998">
      <w:pPr>
        <w:jc w:val="both"/>
        <w:rPr>
          <w:rFonts w:cstheme="minorHAnsi"/>
        </w:rPr>
      </w:pPr>
      <w:r w:rsidRPr="003F264A">
        <w:rPr>
          <w:rFonts w:cstheme="minorHAnsi"/>
        </w:rPr>
        <w:t xml:space="preserve">The </w:t>
      </w:r>
      <w:r w:rsidR="00A9563A" w:rsidRPr="003F264A">
        <w:rPr>
          <w:rFonts w:cstheme="minorHAnsi"/>
        </w:rPr>
        <w:t xml:space="preserve">continuing </w:t>
      </w:r>
      <w:r w:rsidRPr="003F264A">
        <w:rPr>
          <w:rFonts w:cstheme="minorHAnsi"/>
        </w:rPr>
        <w:t xml:space="preserve">gender pay gap is evidence that employment markets are not operating efficiently to ensure that women and men’s labour is valued equally. A failure to </w:t>
      </w:r>
      <w:r w:rsidR="008C776D">
        <w:rPr>
          <w:rFonts w:cstheme="minorHAnsi"/>
        </w:rPr>
        <w:t>remove gender bias from pay decisions</w:t>
      </w:r>
      <w:r w:rsidRPr="003F264A">
        <w:rPr>
          <w:rFonts w:cstheme="minorHAnsi"/>
        </w:rPr>
        <w:t xml:space="preserve"> results in a less than optimal </w:t>
      </w:r>
      <w:r w:rsidR="005D63C3" w:rsidRPr="003F264A">
        <w:rPr>
          <w:rFonts w:cstheme="minorHAnsi"/>
        </w:rPr>
        <w:t>number</w:t>
      </w:r>
      <w:r w:rsidRPr="003F264A">
        <w:rPr>
          <w:rFonts w:cstheme="minorHAnsi"/>
        </w:rPr>
        <w:t xml:space="preserve"> of women in those roles – thus requiring government </w:t>
      </w:r>
      <w:r w:rsidR="00A9563A" w:rsidRPr="003F264A">
        <w:rPr>
          <w:rFonts w:cstheme="minorHAnsi"/>
        </w:rPr>
        <w:t>action</w:t>
      </w:r>
      <w:r w:rsidRPr="003F264A">
        <w:rPr>
          <w:rFonts w:cstheme="minorHAnsi"/>
        </w:rPr>
        <w:t xml:space="preserve">. Further, a potential source of market failure in labour markets is also </w:t>
      </w:r>
      <w:r w:rsidR="00B37A25" w:rsidRPr="003F264A">
        <w:rPr>
          <w:rFonts w:cstheme="minorHAnsi"/>
        </w:rPr>
        <w:t xml:space="preserve">a lack of information and transparency in relation to pay and conditions which creates information asymmetries. </w:t>
      </w:r>
    </w:p>
    <w:p w14:paraId="53C46DB2" w14:textId="77777777" w:rsidR="004B2D21" w:rsidRPr="003F264A" w:rsidRDefault="00B37A25" w:rsidP="000F6998">
      <w:pPr>
        <w:jc w:val="both"/>
        <w:rPr>
          <w:rFonts w:cstheme="minorHAnsi"/>
        </w:rPr>
      </w:pPr>
      <w:r w:rsidRPr="003F264A">
        <w:rPr>
          <w:rFonts w:cstheme="minorHAnsi"/>
        </w:rPr>
        <w:t>Government intervention</w:t>
      </w:r>
      <w:r w:rsidR="004B2D21" w:rsidRPr="003F264A">
        <w:rPr>
          <w:rFonts w:cstheme="minorHAnsi"/>
        </w:rPr>
        <w:t xml:space="preserve"> th</w:t>
      </w:r>
      <w:r w:rsidR="0037655D" w:rsidRPr="003F264A">
        <w:rPr>
          <w:rFonts w:cstheme="minorHAnsi"/>
        </w:rPr>
        <w:t>r</w:t>
      </w:r>
      <w:r w:rsidR="004B2D21" w:rsidRPr="003F264A">
        <w:rPr>
          <w:rFonts w:cstheme="minorHAnsi"/>
        </w:rPr>
        <w:t xml:space="preserve">ough reformed WGEA legislation will address the </w:t>
      </w:r>
      <w:r w:rsidRPr="003F264A">
        <w:rPr>
          <w:rFonts w:cstheme="minorHAnsi"/>
        </w:rPr>
        <w:t xml:space="preserve">economic and </w:t>
      </w:r>
      <w:r w:rsidR="004B2D21" w:rsidRPr="003F264A">
        <w:rPr>
          <w:rFonts w:cstheme="minorHAnsi"/>
        </w:rPr>
        <w:t xml:space="preserve">social inequalities that women and businesses have continued to face for </w:t>
      </w:r>
      <w:r w:rsidR="00A9563A" w:rsidRPr="003F264A">
        <w:rPr>
          <w:rFonts w:cstheme="minorHAnsi"/>
        </w:rPr>
        <w:t>generations</w:t>
      </w:r>
      <w:r w:rsidR="00AC15F0" w:rsidRPr="003F264A">
        <w:rPr>
          <w:rFonts w:cstheme="minorHAnsi"/>
        </w:rPr>
        <w:t xml:space="preserve"> while bringing with it the broader economic benefits previous</w:t>
      </w:r>
      <w:r w:rsidR="005D63C3" w:rsidRPr="003F264A">
        <w:rPr>
          <w:rFonts w:cstheme="minorHAnsi"/>
        </w:rPr>
        <w:t>ly</w:t>
      </w:r>
      <w:r w:rsidR="00AC15F0" w:rsidRPr="003F264A">
        <w:rPr>
          <w:rFonts w:cstheme="minorHAnsi"/>
        </w:rPr>
        <w:t xml:space="preserve"> discussed</w:t>
      </w:r>
      <w:r w:rsidR="004B2D21" w:rsidRPr="003F264A">
        <w:rPr>
          <w:rFonts w:cstheme="minorHAnsi"/>
        </w:rPr>
        <w:t>.</w:t>
      </w:r>
    </w:p>
    <w:p w14:paraId="31B11D68" w14:textId="1DFEA305" w:rsidR="004B2D21" w:rsidRPr="003F264A" w:rsidRDefault="004B2D21" w:rsidP="000F6998">
      <w:pPr>
        <w:jc w:val="both"/>
        <w:rPr>
          <w:rFonts w:cstheme="minorHAnsi"/>
        </w:rPr>
      </w:pPr>
      <w:r w:rsidRPr="003F264A">
        <w:rPr>
          <w:rFonts w:cstheme="minorHAnsi"/>
        </w:rPr>
        <w:t>Over many decades the market has demonstrated an inability to shift behaviour on pay</w:t>
      </w:r>
      <w:r w:rsidR="00A9563A" w:rsidRPr="003F264A">
        <w:rPr>
          <w:rFonts w:cstheme="minorHAnsi"/>
        </w:rPr>
        <w:t xml:space="preserve">/total remuneration </w:t>
      </w:r>
      <w:r w:rsidRPr="003F264A">
        <w:rPr>
          <w:rFonts w:cstheme="minorHAnsi"/>
        </w:rPr>
        <w:t>equality</w:t>
      </w:r>
      <w:r w:rsidR="00AC15F0" w:rsidRPr="003F264A">
        <w:rPr>
          <w:rFonts w:cstheme="minorHAnsi"/>
        </w:rPr>
        <w:t xml:space="preserve">. This can </w:t>
      </w:r>
      <w:r w:rsidR="0037655D" w:rsidRPr="003F264A">
        <w:rPr>
          <w:rFonts w:cstheme="minorHAnsi"/>
        </w:rPr>
        <w:t>partly</w:t>
      </w:r>
      <w:r w:rsidR="00AC15F0" w:rsidRPr="003F264A">
        <w:rPr>
          <w:rFonts w:cstheme="minorHAnsi"/>
        </w:rPr>
        <w:t xml:space="preserve"> be attributed to information asymmetries in pay data</w:t>
      </w:r>
      <w:r w:rsidRPr="003F264A">
        <w:rPr>
          <w:rFonts w:cstheme="minorHAnsi"/>
        </w:rPr>
        <w:t>. Markets’ and employers’ failure to address gender pay gaps demonstrates that they have not recognised the full social benefit of closing the gender pay gap</w:t>
      </w:r>
      <w:r w:rsidR="00A9563A" w:rsidRPr="003F264A">
        <w:rPr>
          <w:rFonts w:cstheme="minorHAnsi"/>
        </w:rPr>
        <w:t xml:space="preserve"> – that is,</w:t>
      </w:r>
      <w:r w:rsidR="00943C9C" w:rsidRPr="003F264A">
        <w:rPr>
          <w:rFonts w:cstheme="minorHAnsi"/>
        </w:rPr>
        <w:t xml:space="preserve"> </w:t>
      </w:r>
      <w:r w:rsidRPr="003F264A">
        <w:rPr>
          <w:rFonts w:cstheme="minorHAnsi"/>
        </w:rPr>
        <w:t xml:space="preserve">market failure and deadweight loss (i.e. a welfare loss to society). </w:t>
      </w:r>
    </w:p>
    <w:p w14:paraId="72C1ED27" w14:textId="19B2EF7C" w:rsidR="004B2D21" w:rsidRPr="003F264A" w:rsidRDefault="004B2D21" w:rsidP="000F6998">
      <w:pPr>
        <w:jc w:val="both"/>
        <w:rPr>
          <w:rFonts w:cstheme="minorHAnsi"/>
        </w:rPr>
      </w:pPr>
      <w:r w:rsidRPr="003F264A">
        <w:rPr>
          <w:rFonts w:cstheme="minorHAnsi"/>
        </w:rPr>
        <w:t>While some leading employers demonstrate their ability to optimally operate without government intervention, for example, through publication of their own gender pay gap and equality strategies, this is not the case for the majority</w:t>
      </w:r>
      <w:r w:rsidR="00A9563A" w:rsidRPr="003F264A">
        <w:rPr>
          <w:rFonts w:cstheme="minorHAnsi"/>
        </w:rPr>
        <w:t xml:space="preserve"> of businesses</w:t>
      </w:r>
      <w:r w:rsidRPr="003F264A">
        <w:rPr>
          <w:rFonts w:cstheme="minorHAnsi"/>
        </w:rPr>
        <w:t xml:space="preserve">. Current publications of gender pay gaps at an aggregate level (i.e. at a national and industry level) allow individual employers that are failing to address gender pay gaps a ‘free-ride’. </w:t>
      </w:r>
      <w:r w:rsidR="00943C9C" w:rsidRPr="003F264A">
        <w:rPr>
          <w:rFonts w:cstheme="minorHAnsi"/>
        </w:rPr>
        <w:t>Without additional</w:t>
      </w:r>
      <w:r w:rsidRPr="003F264A">
        <w:rPr>
          <w:rFonts w:cstheme="minorHAnsi"/>
        </w:rPr>
        <w:t xml:space="preserve"> </w:t>
      </w:r>
      <w:r w:rsidR="00943C9C" w:rsidRPr="003F264A">
        <w:rPr>
          <w:rFonts w:cstheme="minorHAnsi"/>
        </w:rPr>
        <w:t>g</w:t>
      </w:r>
      <w:r w:rsidRPr="003F264A">
        <w:rPr>
          <w:rFonts w:cstheme="minorHAnsi"/>
        </w:rPr>
        <w:t xml:space="preserve">overnment </w:t>
      </w:r>
      <w:r w:rsidR="00943C9C" w:rsidRPr="003F264A">
        <w:rPr>
          <w:rFonts w:cstheme="minorHAnsi"/>
        </w:rPr>
        <w:t xml:space="preserve">intervention, </w:t>
      </w:r>
      <w:r w:rsidRPr="003F264A">
        <w:rPr>
          <w:rFonts w:cstheme="minorHAnsi"/>
        </w:rPr>
        <w:t>gender pay gaps</w:t>
      </w:r>
      <w:r w:rsidR="00A9563A" w:rsidRPr="003F264A">
        <w:rPr>
          <w:rFonts w:cstheme="minorHAnsi"/>
        </w:rPr>
        <w:t xml:space="preserve"> are likely to</w:t>
      </w:r>
      <w:r w:rsidRPr="003F264A">
        <w:rPr>
          <w:rFonts w:cstheme="minorHAnsi"/>
        </w:rPr>
        <w:t xml:space="preserve"> persist.</w:t>
      </w:r>
      <w:r w:rsidR="00BF1758">
        <w:rPr>
          <w:rFonts w:cstheme="minorHAnsi"/>
        </w:rPr>
        <w:t xml:space="preserve"> Since the introduction of WGEA, there has been a consistent downward trend in the gender pay gap.</w:t>
      </w:r>
    </w:p>
    <w:p w14:paraId="14B3F139" w14:textId="77777777" w:rsidR="004B2D21" w:rsidRPr="003F264A" w:rsidRDefault="004B2D21" w:rsidP="000F6998">
      <w:pPr>
        <w:pStyle w:val="Heading2"/>
        <w:jc w:val="both"/>
        <w:rPr>
          <w:rFonts w:asciiTheme="minorHAnsi" w:hAnsiTheme="minorHAnsi" w:cstheme="minorHAnsi"/>
        </w:rPr>
      </w:pPr>
      <w:bookmarkStart w:id="34" w:name="_Toc118794721"/>
      <w:bookmarkStart w:id="35" w:name="_Toc125714696"/>
      <w:r w:rsidRPr="003F264A">
        <w:rPr>
          <w:rFonts w:asciiTheme="minorHAnsi" w:hAnsiTheme="minorHAnsi" w:cstheme="minorHAnsi"/>
        </w:rPr>
        <w:t>4.6 Constraints and barriers to government intervention</w:t>
      </w:r>
      <w:bookmarkEnd w:id="34"/>
      <w:bookmarkEnd w:id="35"/>
      <w:r w:rsidRPr="003F264A">
        <w:rPr>
          <w:rFonts w:asciiTheme="minorHAnsi" w:hAnsiTheme="minorHAnsi" w:cstheme="minorHAnsi"/>
        </w:rPr>
        <w:t xml:space="preserve"> </w:t>
      </w:r>
    </w:p>
    <w:p w14:paraId="5639DB84" w14:textId="77777777" w:rsidR="004B2D21" w:rsidRDefault="004B2D21" w:rsidP="000F6998">
      <w:pPr>
        <w:jc w:val="both"/>
        <w:rPr>
          <w:rFonts w:cstheme="minorHAnsi"/>
        </w:rPr>
      </w:pPr>
      <w:r w:rsidRPr="003F264A">
        <w:rPr>
          <w:rFonts w:cstheme="minorHAnsi"/>
        </w:rPr>
        <w:t xml:space="preserve">Any potential government intervention must be undertaken with an awareness of </w:t>
      </w:r>
      <w:r w:rsidR="000845ED" w:rsidRPr="003F264A">
        <w:rPr>
          <w:rFonts w:cstheme="minorHAnsi"/>
        </w:rPr>
        <w:t xml:space="preserve">limitations </w:t>
      </w:r>
      <w:r w:rsidRPr="003F264A">
        <w:rPr>
          <w:rFonts w:cstheme="minorHAnsi"/>
        </w:rPr>
        <w:t xml:space="preserve">and barriers. Successful regulatory intervention is dependent on clear and strategic communication of the Government’s commitment towards accelerating gender equality to employers and businesses. If this is not effective, it </w:t>
      </w:r>
      <w:r w:rsidR="002C3B63">
        <w:rPr>
          <w:rFonts w:cstheme="minorHAnsi"/>
        </w:rPr>
        <w:t>may</w:t>
      </w:r>
      <w:r w:rsidRPr="003F264A">
        <w:rPr>
          <w:rFonts w:cstheme="minorHAnsi"/>
        </w:rPr>
        <w:t xml:space="preserve"> lead any Australian Government regulation in this area to be misconstrued or viewed with hesitation. It is for this reason that broad consultation was carried out to inform the Review, and was carried out again to inform implementation and consideration of policy options under this </w:t>
      </w:r>
      <w:r w:rsidR="00CF5067">
        <w:rPr>
          <w:rFonts w:cstheme="minorHAnsi"/>
          <w:lang w:val="en-GB"/>
        </w:rPr>
        <w:t>IA</w:t>
      </w:r>
      <w:r w:rsidRPr="003F264A">
        <w:rPr>
          <w:rFonts w:cstheme="minorHAnsi"/>
        </w:rPr>
        <w:t>.</w:t>
      </w:r>
    </w:p>
    <w:p w14:paraId="04A73F8F" w14:textId="77777777" w:rsidR="00294D67" w:rsidRPr="00172BDC" w:rsidRDefault="00294D67" w:rsidP="000F6998">
      <w:pPr>
        <w:jc w:val="both"/>
        <w:rPr>
          <w:rFonts w:cstheme="minorHAnsi"/>
          <w:b/>
        </w:rPr>
      </w:pPr>
      <w:r w:rsidRPr="00172BDC">
        <w:rPr>
          <w:rFonts w:cstheme="minorHAnsi"/>
          <w:b/>
        </w:rPr>
        <w:t>Clear messaging and employer readiness</w:t>
      </w:r>
    </w:p>
    <w:p w14:paraId="1F3DF3F1" w14:textId="77777777" w:rsidR="004B2D21" w:rsidRPr="003F264A" w:rsidRDefault="004B2D21" w:rsidP="000F6998">
      <w:pPr>
        <w:jc w:val="both"/>
        <w:rPr>
          <w:rFonts w:cstheme="minorHAnsi"/>
        </w:rPr>
      </w:pPr>
      <w:r w:rsidRPr="003F264A">
        <w:rPr>
          <w:rFonts w:cstheme="minorHAnsi"/>
        </w:rPr>
        <w:t xml:space="preserve">The importance of clear messaging </w:t>
      </w:r>
      <w:r w:rsidR="00A9563A" w:rsidRPr="003F264A">
        <w:rPr>
          <w:rFonts w:cstheme="minorHAnsi"/>
        </w:rPr>
        <w:t xml:space="preserve">is evidenced by </w:t>
      </w:r>
      <w:r w:rsidR="0037655D" w:rsidRPr="003F264A">
        <w:rPr>
          <w:rFonts w:cstheme="minorHAnsi"/>
        </w:rPr>
        <w:t>experience</w:t>
      </w:r>
      <w:r w:rsidR="00A9563A" w:rsidRPr="003F264A">
        <w:rPr>
          <w:rFonts w:cstheme="minorHAnsi"/>
        </w:rPr>
        <w:t xml:space="preserve"> in</w:t>
      </w:r>
      <w:r w:rsidRPr="003F264A">
        <w:rPr>
          <w:rFonts w:cstheme="minorHAnsi"/>
        </w:rPr>
        <w:t xml:space="preserve"> the United</w:t>
      </w:r>
      <w:r w:rsidR="00A9563A" w:rsidRPr="003F264A">
        <w:rPr>
          <w:rFonts w:cstheme="minorHAnsi"/>
        </w:rPr>
        <w:t> </w:t>
      </w:r>
      <w:r w:rsidRPr="003F264A">
        <w:rPr>
          <w:rFonts w:cstheme="minorHAnsi"/>
        </w:rPr>
        <w:t>Kingdom</w:t>
      </w:r>
      <w:r w:rsidR="00A9563A" w:rsidRPr="003F264A">
        <w:rPr>
          <w:rFonts w:cstheme="minorHAnsi"/>
        </w:rPr>
        <w:t xml:space="preserve"> (UK)</w:t>
      </w:r>
      <w:r w:rsidRPr="003F264A">
        <w:rPr>
          <w:rFonts w:cstheme="minorHAnsi"/>
        </w:rPr>
        <w:t>. A survey conducted before changes to UK pay transparency laws came into place indicated that UK employers felt unprepared for the legislative changes</w:t>
      </w:r>
      <w:r w:rsidR="004A7CDE" w:rsidRPr="003F264A">
        <w:rPr>
          <w:rFonts w:cstheme="minorHAnsi"/>
        </w:rPr>
        <w:t>;</w:t>
      </w:r>
      <w:r w:rsidRPr="003F264A">
        <w:rPr>
          <w:rFonts w:cstheme="minorHAnsi"/>
        </w:rPr>
        <w:t xml:space="preserve"> 82</w:t>
      </w:r>
      <w:r w:rsidR="000845ED" w:rsidRPr="003F264A">
        <w:rPr>
          <w:rFonts w:cstheme="minorHAnsi"/>
        </w:rPr>
        <w:t xml:space="preserve"> per cent</w:t>
      </w:r>
      <w:r w:rsidRPr="003F264A">
        <w:rPr>
          <w:rFonts w:cstheme="minorHAnsi"/>
        </w:rPr>
        <w:t xml:space="preserve"> were not reviewing their gender equality and equal pay policies in light of the new legislation, while 58</w:t>
      </w:r>
      <w:r w:rsidR="000845ED" w:rsidRPr="003F264A">
        <w:rPr>
          <w:rFonts w:cstheme="minorHAnsi"/>
        </w:rPr>
        <w:t xml:space="preserve"> per cent</w:t>
      </w:r>
      <w:r w:rsidRPr="003F264A">
        <w:rPr>
          <w:rFonts w:cstheme="minorHAnsi"/>
        </w:rPr>
        <w:t xml:space="preserve"> did not have complete salary information across roles and gender.</w:t>
      </w:r>
      <w:r w:rsidRPr="003F264A">
        <w:rPr>
          <w:rStyle w:val="FootnoteReference"/>
          <w:rFonts w:cstheme="minorHAnsi"/>
        </w:rPr>
        <w:footnoteReference w:id="85"/>
      </w:r>
      <w:r w:rsidRPr="003F264A">
        <w:rPr>
          <w:rFonts w:cstheme="minorHAnsi"/>
        </w:rPr>
        <w:t xml:space="preserve"> This potential barrier will be mitigated in Australia as WGEA </w:t>
      </w:r>
      <w:r w:rsidR="004A7CDE" w:rsidRPr="003F264A">
        <w:rPr>
          <w:rFonts w:cstheme="minorHAnsi"/>
        </w:rPr>
        <w:t xml:space="preserve">has </w:t>
      </w:r>
      <w:r w:rsidRPr="003F264A">
        <w:rPr>
          <w:rFonts w:cstheme="minorHAnsi"/>
        </w:rPr>
        <w:t>already established communication with</w:t>
      </w:r>
      <w:r w:rsidR="00943294" w:rsidRPr="003F264A">
        <w:rPr>
          <w:rFonts w:cstheme="minorHAnsi"/>
        </w:rPr>
        <w:t xml:space="preserve"> over 10,0000 </w:t>
      </w:r>
      <w:r w:rsidRPr="003F264A">
        <w:rPr>
          <w:rFonts w:cstheme="minorHAnsi"/>
        </w:rPr>
        <w:t>relevant employer</w:t>
      </w:r>
      <w:r w:rsidR="00943294" w:rsidRPr="003F264A">
        <w:rPr>
          <w:rFonts w:cstheme="minorHAnsi"/>
        </w:rPr>
        <w:t xml:space="preserve"> contacts</w:t>
      </w:r>
      <w:r w:rsidRPr="003F264A">
        <w:rPr>
          <w:rFonts w:cstheme="minorHAnsi"/>
        </w:rPr>
        <w:t xml:space="preserve"> and will ensure that a communications campaign (along with educational resources) prepares employers for eventual mandatory changes.</w:t>
      </w:r>
      <w:r w:rsidRPr="003F264A">
        <w:rPr>
          <w:rStyle w:val="FootnoteReference"/>
          <w:rFonts w:cstheme="minorHAnsi"/>
        </w:rPr>
        <w:footnoteReference w:id="86"/>
      </w:r>
      <w:r w:rsidRPr="003F264A">
        <w:rPr>
          <w:rFonts w:cstheme="minorHAnsi"/>
        </w:rPr>
        <w:t xml:space="preserve"> </w:t>
      </w:r>
      <w:r w:rsidRPr="008C776D">
        <w:rPr>
          <w:rFonts w:cstheme="minorHAnsi"/>
        </w:rPr>
        <w:t>Further,</w:t>
      </w:r>
      <w:r w:rsidR="00542E12" w:rsidRPr="008C776D">
        <w:rPr>
          <w:rFonts w:cstheme="minorHAnsi"/>
        </w:rPr>
        <w:t xml:space="preserve"> reporting </w:t>
      </w:r>
      <w:r w:rsidR="008C776D">
        <w:rPr>
          <w:rFonts w:cstheme="minorHAnsi"/>
        </w:rPr>
        <w:t>changes made to the associated instruments of the WGE Act are required to be made before the relevant reporting period. This requirement allows employers one year’s notice before having to report on any new requirements and also allows them</w:t>
      </w:r>
      <w:r w:rsidRPr="008C776D">
        <w:rPr>
          <w:rFonts w:cstheme="minorHAnsi"/>
        </w:rPr>
        <w:t xml:space="preserve"> </w:t>
      </w:r>
      <w:r w:rsidR="00A9563A" w:rsidRPr="008C776D">
        <w:rPr>
          <w:rFonts w:cstheme="minorHAnsi"/>
        </w:rPr>
        <w:t xml:space="preserve">sufficient </w:t>
      </w:r>
      <w:r w:rsidRPr="008C776D">
        <w:rPr>
          <w:rFonts w:cstheme="minorHAnsi"/>
        </w:rPr>
        <w:t>time to prepare for new changes</w:t>
      </w:r>
      <w:r w:rsidR="004A7CDE" w:rsidRPr="008C776D">
        <w:rPr>
          <w:rFonts w:cstheme="minorHAnsi"/>
        </w:rPr>
        <w:t>.</w:t>
      </w:r>
    </w:p>
    <w:p w14:paraId="26C437B9" w14:textId="77777777" w:rsidR="004B2D21" w:rsidRPr="003F264A" w:rsidRDefault="004B2D21" w:rsidP="000F6998">
      <w:pPr>
        <w:jc w:val="both"/>
        <w:rPr>
          <w:rFonts w:cstheme="minorHAnsi"/>
        </w:rPr>
      </w:pPr>
      <w:r w:rsidRPr="003F264A">
        <w:rPr>
          <w:rFonts w:cstheme="minorHAnsi"/>
        </w:rPr>
        <w:t xml:space="preserve">In the 2022-23 Budget, WGEA was allocated funding </w:t>
      </w:r>
      <w:r w:rsidR="000845ED" w:rsidRPr="003F264A">
        <w:rPr>
          <w:rFonts w:cstheme="minorHAnsi"/>
        </w:rPr>
        <w:t>for</w:t>
      </w:r>
      <w:r w:rsidRPr="003F264A">
        <w:rPr>
          <w:rFonts w:cstheme="minorHAnsi"/>
        </w:rPr>
        <w:t xml:space="preserve"> </w:t>
      </w:r>
      <w:r w:rsidR="000845ED" w:rsidRPr="003F264A">
        <w:rPr>
          <w:rFonts w:cstheme="minorHAnsi"/>
        </w:rPr>
        <w:t xml:space="preserve">additional </w:t>
      </w:r>
      <w:r w:rsidRPr="003F264A">
        <w:rPr>
          <w:rFonts w:cstheme="minorHAnsi"/>
        </w:rPr>
        <w:t>staff. Certain ongoing staff will be hired specifically to support implementation of the Review and provide support to employers</w:t>
      </w:r>
      <w:r w:rsidR="00BE27A7" w:rsidRPr="003F264A">
        <w:rPr>
          <w:rFonts w:cstheme="minorHAnsi"/>
        </w:rPr>
        <w:t>, particularly under Recommendation 3</w:t>
      </w:r>
      <w:r w:rsidRPr="003F264A">
        <w:rPr>
          <w:rFonts w:cstheme="minorHAnsi"/>
        </w:rPr>
        <w:t>.</w:t>
      </w:r>
      <w:r w:rsidRPr="003F264A">
        <w:rPr>
          <w:rStyle w:val="FootnoteReference"/>
          <w:rFonts w:cstheme="minorHAnsi"/>
        </w:rPr>
        <w:footnoteReference w:id="87"/>
      </w:r>
      <w:r w:rsidRPr="003F264A">
        <w:rPr>
          <w:rFonts w:cstheme="minorHAnsi"/>
        </w:rPr>
        <w:t xml:space="preserve">  Finally, </w:t>
      </w:r>
      <w:r w:rsidR="00517ED7" w:rsidRPr="003F264A">
        <w:rPr>
          <w:rFonts w:cstheme="minorHAnsi"/>
        </w:rPr>
        <w:t>Recommendation</w:t>
      </w:r>
      <w:r w:rsidRPr="003F264A">
        <w:rPr>
          <w:rFonts w:cstheme="minorHAnsi"/>
        </w:rPr>
        <w:t xml:space="preserve"> 10 </w:t>
      </w:r>
      <w:r w:rsidR="004A7CDE" w:rsidRPr="003F264A">
        <w:rPr>
          <w:rFonts w:cstheme="minorHAnsi"/>
        </w:rPr>
        <w:t>stipulates</w:t>
      </w:r>
      <w:r w:rsidRPr="003F264A">
        <w:rPr>
          <w:rFonts w:cstheme="minorHAnsi"/>
        </w:rPr>
        <w:t xml:space="preserve"> that the Review recommendations are reviewed in </w:t>
      </w:r>
      <w:r w:rsidR="004A7CDE" w:rsidRPr="003F264A">
        <w:rPr>
          <w:rFonts w:cstheme="minorHAnsi"/>
        </w:rPr>
        <w:t>five</w:t>
      </w:r>
      <w:r w:rsidRPr="003F264A">
        <w:rPr>
          <w:rFonts w:cstheme="minorHAnsi"/>
        </w:rPr>
        <w:t xml:space="preserve"> years’ time.</w:t>
      </w:r>
      <w:r w:rsidRPr="003F264A">
        <w:rPr>
          <w:rStyle w:val="FootnoteReference"/>
          <w:rFonts w:cstheme="minorHAnsi"/>
        </w:rPr>
        <w:footnoteReference w:id="88"/>
      </w:r>
      <w:r w:rsidRPr="003F264A">
        <w:rPr>
          <w:rFonts w:cstheme="minorHAnsi"/>
        </w:rPr>
        <w:t xml:space="preserve"> If barriers and constraints are not overcome as is </w:t>
      </w:r>
      <w:r w:rsidR="004A7CDE" w:rsidRPr="003F264A">
        <w:rPr>
          <w:rFonts w:cstheme="minorHAnsi"/>
        </w:rPr>
        <w:t>predicted</w:t>
      </w:r>
      <w:r w:rsidRPr="003F264A">
        <w:rPr>
          <w:rFonts w:cstheme="minorHAnsi"/>
        </w:rPr>
        <w:t xml:space="preserve"> below, this will offer an opportunity to make changes. </w:t>
      </w:r>
    </w:p>
    <w:p w14:paraId="509A7F82" w14:textId="77777777" w:rsidR="004B2D21" w:rsidRPr="003F264A" w:rsidRDefault="004B2D21" w:rsidP="000F6998">
      <w:pPr>
        <w:jc w:val="both"/>
        <w:rPr>
          <w:rFonts w:cstheme="minorHAnsi"/>
        </w:rPr>
      </w:pPr>
      <w:r w:rsidRPr="003F264A">
        <w:rPr>
          <w:rFonts w:cstheme="minorHAnsi"/>
          <w:b/>
        </w:rPr>
        <w:t>Organisation</w:t>
      </w:r>
      <w:r w:rsidR="008E3E8F" w:rsidRPr="003F264A">
        <w:rPr>
          <w:rFonts w:cstheme="minorHAnsi"/>
          <w:b/>
        </w:rPr>
        <w:t>al</w:t>
      </w:r>
      <w:r w:rsidRPr="003F264A">
        <w:rPr>
          <w:rFonts w:cstheme="minorHAnsi"/>
          <w:b/>
        </w:rPr>
        <w:t xml:space="preserve"> Gender Pay Gap</w:t>
      </w:r>
    </w:p>
    <w:p w14:paraId="521A8D1F" w14:textId="77777777" w:rsidR="004B2D21" w:rsidRPr="003F264A" w:rsidRDefault="004B2D21" w:rsidP="000F6998">
      <w:pPr>
        <w:jc w:val="both"/>
        <w:rPr>
          <w:rFonts w:cstheme="minorHAnsi"/>
          <w:sz w:val="20"/>
          <w:szCs w:val="20"/>
        </w:rPr>
      </w:pPr>
      <w:r w:rsidRPr="003F264A">
        <w:rPr>
          <w:rFonts w:cstheme="minorHAnsi"/>
        </w:rPr>
        <w:t xml:space="preserve">Initial consultation undertaken by WGEA indicates that some business groups and some employers are concerned about possible negative impacts of reporting </w:t>
      </w:r>
      <w:r w:rsidR="00A9563A" w:rsidRPr="003F264A">
        <w:rPr>
          <w:rFonts w:cstheme="minorHAnsi"/>
        </w:rPr>
        <w:t xml:space="preserve">the </w:t>
      </w:r>
      <w:r w:rsidRPr="003F264A">
        <w:rPr>
          <w:rFonts w:cstheme="minorHAnsi"/>
        </w:rPr>
        <w:t xml:space="preserve">gender pay gap at an organisation level. This includes concerns about the possibility of dampening productivity due to low morale, slowing men’s </w:t>
      </w:r>
      <w:r w:rsidR="00A9563A" w:rsidRPr="003F264A">
        <w:rPr>
          <w:rFonts w:cstheme="minorHAnsi"/>
        </w:rPr>
        <w:t xml:space="preserve">wage </w:t>
      </w:r>
      <w:r w:rsidRPr="003F264A">
        <w:rPr>
          <w:rFonts w:cstheme="minorHAnsi"/>
        </w:rPr>
        <w:t xml:space="preserve">growth to raise women’s wages comparatively, and challenges for global organisations to reconcile international reporting obligations. Some stakeholders also noted remuneration is highly sensitive data that should not be made public. To mitigate these concerns, no individual remuneration is published, including the remuneration of CEOs. The Review also recommended that the size of the reporting </w:t>
      </w:r>
      <w:r w:rsidR="004D3591" w:rsidRPr="003F264A">
        <w:rPr>
          <w:rFonts w:cstheme="minorHAnsi"/>
        </w:rPr>
        <w:t>organisations</w:t>
      </w:r>
      <w:r w:rsidRPr="003F264A">
        <w:rPr>
          <w:rFonts w:cstheme="minorHAnsi"/>
        </w:rPr>
        <w:t xml:space="preserve"> </w:t>
      </w:r>
      <w:r w:rsidR="004A7CDE" w:rsidRPr="003F264A">
        <w:rPr>
          <w:rFonts w:cstheme="minorHAnsi"/>
        </w:rPr>
        <w:t>remain static</w:t>
      </w:r>
      <w:r w:rsidRPr="003F264A">
        <w:rPr>
          <w:rFonts w:cstheme="minorHAnsi"/>
        </w:rPr>
        <w:t xml:space="preserve"> (i.e. </w:t>
      </w:r>
      <w:r w:rsidR="004A7CDE" w:rsidRPr="003F264A">
        <w:rPr>
          <w:rFonts w:cstheme="minorHAnsi"/>
        </w:rPr>
        <w:t xml:space="preserve">it </w:t>
      </w:r>
      <w:r w:rsidRPr="003F264A">
        <w:rPr>
          <w:rFonts w:cstheme="minorHAnsi"/>
        </w:rPr>
        <w:t xml:space="preserve">was not lowered to include smaller organisations) to prevent any potential privacy issues that may arise from small </w:t>
      </w:r>
      <w:r w:rsidR="004D3591" w:rsidRPr="003F264A">
        <w:rPr>
          <w:rFonts w:cstheme="minorHAnsi"/>
        </w:rPr>
        <w:t>organisations</w:t>
      </w:r>
      <w:r w:rsidR="00B51DD6" w:rsidRPr="003F264A">
        <w:rPr>
          <w:rFonts w:cstheme="minorHAnsi"/>
        </w:rPr>
        <w:t xml:space="preserve"> </w:t>
      </w:r>
      <w:r w:rsidRPr="003F264A">
        <w:rPr>
          <w:rFonts w:cstheme="minorHAnsi"/>
        </w:rPr>
        <w:t>reporting their remuneration data.</w:t>
      </w:r>
      <w:r w:rsidRPr="003F264A">
        <w:rPr>
          <w:rStyle w:val="FootnoteReference"/>
          <w:rFonts w:cstheme="minorHAnsi"/>
        </w:rPr>
        <w:footnoteReference w:id="89"/>
      </w:r>
    </w:p>
    <w:p w14:paraId="5FA4B181" w14:textId="133CC58A" w:rsidR="004B2D21" w:rsidRPr="003F264A" w:rsidRDefault="004B2D21" w:rsidP="000F6998">
      <w:pPr>
        <w:jc w:val="both"/>
        <w:rPr>
          <w:rFonts w:cstheme="minorHAnsi"/>
        </w:rPr>
      </w:pPr>
      <w:r w:rsidRPr="003F264A">
        <w:rPr>
          <w:rFonts w:cstheme="minorHAnsi"/>
        </w:rPr>
        <w:t xml:space="preserve">Data from the UK and Europe has </w:t>
      </w:r>
      <w:r w:rsidR="00EA68D8">
        <w:rPr>
          <w:rFonts w:cstheme="minorHAnsi"/>
        </w:rPr>
        <w:t>shown that gender pay gap transparency can lead to a reduction in the gender pay gap.</w:t>
      </w:r>
      <w:r w:rsidR="00EA68D8">
        <w:rPr>
          <w:rStyle w:val="FootnoteReference"/>
          <w:rFonts w:cstheme="minorHAnsi"/>
        </w:rPr>
        <w:footnoteReference w:id="90"/>
      </w:r>
      <w:r w:rsidR="0022429C" w:rsidRPr="003F264A">
        <w:rPr>
          <w:rFonts w:cstheme="minorHAnsi"/>
        </w:rPr>
        <w:t xml:space="preserve"> </w:t>
      </w:r>
      <w:r w:rsidR="00D27C69">
        <w:rPr>
          <w:rFonts w:cstheme="minorHAnsi"/>
        </w:rPr>
        <w:t xml:space="preserve">The impacts of </w:t>
      </w:r>
      <w:r w:rsidRPr="003F264A">
        <w:rPr>
          <w:rFonts w:cstheme="minorHAnsi"/>
        </w:rPr>
        <w:t>pay transparency laws</w:t>
      </w:r>
      <w:r w:rsidR="0022429C">
        <w:rPr>
          <w:rFonts w:cstheme="minorHAnsi"/>
        </w:rPr>
        <w:t xml:space="preserve">, </w:t>
      </w:r>
      <w:r w:rsidR="00D27C69">
        <w:rPr>
          <w:rFonts w:cstheme="minorHAnsi"/>
        </w:rPr>
        <w:t xml:space="preserve">however, </w:t>
      </w:r>
      <w:r w:rsidR="0022429C">
        <w:rPr>
          <w:rFonts w:cstheme="minorHAnsi"/>
        </w:rPr>
        <w:t>are</w:t>
      </w:r>
      <w:r w:rsidR="00BF1758">
        <w:rPr>
          <w:rFonts w:cstheme="minorHAnsi"/>
        </w:rPr>
        <w:t xml:space="preserve"> not immune to changes in </w:t>
      </w:r>
      <w:r w:rsidR="00D27C69">
        <w:rPr>
          <w:rFonts w:cstheme="minorHAnsi"/>
        </w:rPr>
        <w:t>the global economy, the consequences from the COVID-19 pandemic, and the limited reporting enforcement mechanisms</w:t>
      </w:r>
      <w:r w:rsidRPr="003F264A">
        <w:rPr>
          <w:rFonts w:cstheme="minorHAnsi"/>
        </w:rPr>
        <w:t>.</w:t>
      </w:r>
      <w:r w:rsidRPr="003F264A">
        <w:rPr>
          <w:rStyle w:val="FootnoteReference"/>
          <w:rFonts w:cstheme="minorHAnsi"/>
        </w:rPr>
        <w:footnoteReference w:id="91"/>
      </w:r>
      <w:r w:rsidRPr="003F264A">
        <w:rPr>
          <w:rFonts w:cstheme="minorHAnsi"/>
        </w:rPr>
        <w:t xml:space="preserve"> In order to mitigate this risk, recommendations </w:t>
      </w:r>
      <w:r w:rsidR="004D3591" w:rsidRPr="003F264A">
        <w:rPr>
          <w:rFonts w:cstheme="minorHAnsi"/>
        </w:rPr>
        <w:t>made</w:t>
      </w:r>
      <w:r w:rsidR="00316F92" w:rsidRPr="003F264A">
        <w:rPr>
          <w:rFonts w:cstheme="minorHAnsi"/>
        </w:rPr>
        <w:t xml:space="preserve"> </w:t>
      </w:r>
      <w:r w:rsidRPr="003F264A">
        <w:rPr>
          <w:rFonts w:cstheme="minorHAnsi"/>
        </w:rPr>
        <w:t xml:space="preserve">by the Review focus on </w:t>
      </w:r>
      <w:r w:rsidR="002C2E2C" w:rsidRPr="003F264A">
        <w:rPr>
          <w:rFonts w:cstheme="minorHAnsi"/>
        </w:rPr>
        <w:t>publishing the gender pay ga</w:t>
      </w:r>
      <w:r w:rsidR="008C776D">
        <w:rPr>
          <w:rFonts w:cstheme="minorHAnsi"/>
        </w:rPr>
        <w:t>p</w:t>
      </w:r>
      <w:r w:rsidR="002C2E2C" w:rsidRPr="003F264A">
        <w:rPr>
          <w:rFonts w:cstheme="minorHAnsi"/>
        </w:rPr>
        <w:t xml:space="preserve"> at an organisational level </w:t>
      </w:r>
      <w:r w:rsidRPr="003F264A">
        <w:rPr>
          <w:rFonts w:cstheme="minorHAnsi"/>
          <w:i/>
        </w:rPr>
        <w:t xml:space="preserve">in addition </w:t>
      </w:r>
      <w:r w:rsidRPr="003F264A">
        <w:rPr>
          <w:rFonts w:cstheme="minorHAnsi"/>
        </w:rPr>
        <w:t xml:space="preserve">to requirements for larger </w:t>
      </w:r>
      <w:r w:rsidR="004D3591" w:rsidRPr="003F264A">
        <w:rPr>
          <w:rFonts w:cstheme="minorHAnsi"/>
        </w:rPr>
        <w:t>organisations</w:t>
      </w:r>
      <w:r w:rsidR="00316F92" w:rsidRPr="003F264A">
        <w:rPr>
          <w:rFonts w:cstheme="minorHAnsi"/>
        </w:rPr>
        <w:t xml:space="preserve"> </w:t>
      </w:r>
      <w:r w:rsidRPr="003F264A">
        <w:rPr>
          <w:rFonts w:cstheme="minorHAnsi"/>
        </w:rPr>
        <w:t>to draft actions plans and policies. As set out above, the combination of these two policy interventions offers a greater chance of success in accelerating the rate of change tha</w:t>
      </w:r>
      <w:r w:rsidR="004A7CDE" w:rsidRPr="003F264A">
        <w:rPr>
          <w:rFonts w:cstheme="minorHAnsi"/>
        </w:rPr>
        <w:t>n</w:t>
      </w:r>
      <w:r w:rsidRPr="003F264A">
        <w:rPr>
          <w:rFonts w:cstheme="minorHAnsi"/>
        </w:rPr>
        <w:t xml:space="preserve"> transparency laws on their own. </w:t>
      </w:r>
    </w:p>
    <w:p w14:paraId="4C3A9A7F" w14:textId="77777777" w:rsidR="004B2D21" w:rsidRPr="003F264A" w:rsidRDefault="004B2D21" w:rsidP="000F6998">
      <w:pPr>
        <w:jc w:val="both"/>
        <w:rPr>
          <w:rFonts w:cstheme="minorHAnsi"/>
          <w:b/>
        </w:rPr>
      </w:pPr>
      <w:r w:rsidRPr="003F264A">
        <w:rPr>
          <w:rFonts w:cstheme="minorHAnsi"/>
          <w:b/>
        </w:rPr>
        <w:t>Inaccurate reporting</w:t>
      </w:r>
    </w:p>
    <w:p w14:paraId="7F45E4E8" w14:textId="77777777" w:rsidR="004B2D21" w:rsidRPr="003F264A" w:rsidRDefault="004B2D21" w:rsidP="000F6998">
      <w:pPr>
        <w:jc w:val="both"/>
        <w:rPr>
          <w:rFonts w:cstheme="minorHAnsi"/>
        </w:rPr>
      </w:pPr>
      <w:r w:rsidRPr="003F264A">
        <w:rPr>
          <w:rFonts w:cstheme="minorHAnsi"/>
        </w:rPr>
        <w:t xml:space="preserve">After pay gap reporting was introduced in the UK, it was estimated that between </w:t>
      </w:r>
      <w:r w:rsidR="00B51DD6" w:rsidRPr="003F264A">
        <w:rPr>
          <w:rFonts w:cstheme="minorHAnsi"/>
        </w:rPr>
        <w:t>nine to seventeen</w:t>
      </w:r>
      <w:r w:rsidR="000845ED" w:rsidRPr="003F264A">
        <w:rPr>
          <w:rFonts w:cstheme="minorHAnsi"/>
        </w:rPr>
        <w:t xml:space="preserve"> per cent</w:t>
      </w:r>
      <w:r w:rsidRPr="003F264A">
        <w:rPr>
          <w:rFonts w:cstheme="minorHAnsi"/>
        </w:rPr>
        <w:t xml:space="preserve"> of gender pay gap data was wrong in the first year.</w:t>
      </w:r>
      <w:r w:rsidRPr="003F264A">
        <w:rPr>
          <w:rStyle w:val="FootnoteReference"/>
          <w:rFonts w:cstheme="minorHAnsi"/>
        </w:rPr>
        <w:footnoteReference w:id="92"/>
      </w:r>
      <w:r w:rsidRPr="003F264A">
        <w:rPr>
          <w:rFonts w:cstheme="minorHAnsi"/>
        </w:rPr>
        <w:t xml:space="preserve"> This suggest</w:t>
      </w:r>
      <w:r w:rsidR="004A7CDE" w:rsidRPr="003F264A">
        <w:rPr>
          <w:rFonts w:cstheme="minorHAnsi"/>
        </w:rPr>
        <w:t>ed</w:t>
      </w:r>
      <w:r w:rsidRPr="003F264A">
        <w:rPr>
          <w:rFonts w:cstheme="minorHAnsi"/>
        </w:rPr>
        <w:t xml:space="preserve"> many organisations struggled with the reporting. </w:t>
      </w:r>
      <w:r w:rsidR="006E6D0C">
        <w:rPr>
          <w:rFonts w:cstheme="minorHAnsi"/>
        </w:rPr>
        <w:t xml:space="preserve">However, it is important to stress that in the UK employers are required to calculate their own gender pay gaps whereas in Australia these will be calculated by WGEA. Nevertheless, </w:t>
      </w:r>
      <w:r w:rsidRPr="003F264A">
        <w:rPr>
          <w:rFonts w:cstheme="minorHAnsi"/>
        </w:rPr>
        <w:t xml:space="preserve">Australia has mitigated this barrier to success in a number of ways. Firstly, </w:t>
      </w:r>
      <w:r w:rsidR="003D2E59">
        <w:rPr>
          <w:rFonts w:cstheme="minorHAnsi"/>
        </w:rPr>
        <w:t>in order to implement the publishing of organisational pay gaps</w:t>
      </w:r>
      <w:r w:rsidRPr="003F264A">
        <w:rPr>
          <w:rFonts w:cstheme="minorHAnsi"/>
        </w:rPr>
        <w:t>, organisations are not required to report any extra data. Th</w:t>
      </w:r>
      <w:r w:rsidR="004D3591" w:rsidRPr="003F264A">
        <w:rPr>
          <w:rFonts w:cstheme="minorHAnsi"/>
        </w:rPr>
        <w:t>e necessary</w:t>
      </w:r>
      <w:r w:rsidRPr="003F264A">
        <w:rPr>
          <w:rFonts w:cstheme="minorHAnsi"/>
        </w:rPr>
        <w:t xml:space="preserve"> data </w:t>
      </w:r>
      <w:r w:rsidR="002C2E2C" w:rsidRPr="003F264A">
        <w:rPr>
          <w:rFonts w:cstheme="minorHAnsi"/>
        </w:rPr>
        <w:t>is</w:t>
      </w:r>
      <w:r w:rsidRPr="003F264A">
        <w:rPr>
          <w:rFonts w:cstheme="minorHAnsi"/>
        </w:rPr>
        <w:t xml:space="preserve"> already provided to WGEA and WGEA conducts the </w:t>
      </w:r>
      <w:r w:rsidR="004D3591" w:rsidRPr="003F264A">
        <w:rPr>
          <w:rFonts w:cstheme="minorHAnsi"/>
        </w:rPr>
        <w:t xml:space="preserve">gap </w:t>
      </w:r>
      <w:r w:rsidRPr="003F264A">
        <w:rPr>
          <w:rFonts w:cstheme="minorHAnsi"/>
        </w:rPr>
        <w:t xml:space="preserve">calculation. Secondly, through </w:t>
      </w:r>
      <w:r w:rsidR="00517ED7" w:rsidRPr="003F264A">
        <w:rPr>
          <w:rFonts w:cstheme="minorHAnsi"/>
        </w:rPr>
        <w:t>Recommendation</w:t>
      </w:r>
      <w:r w:rsidRPr="003F264A">
        <w:rPr>
          <w:rFonts w:cstheme="minorHAnsi"/>
        </w:rPr>
        <w:t xml:space="preserve"> 4, changes were </w:t>
      </w:r>
      <w:r w:rsidR="004A7CDE" w:rsidRPr="003F264A">
        <w:rPr>
          <w:rFonts w:cstheme="minorHAnsi"/>
        </w:rPr>
        <w:t xml:space="preserve">suggested </w:t>
      </w:r>
      <w:r w:rsidRPr="003F264A">
        <w:rPr>
          <w:rFonts w:cstheme="minorHAnsi"/>
        </w:rPr>
        <w:t xml:space="preserve">in order to simplify reporting for relevant employers. These simplifications </w:t>
      </w:r>
      <w:r w:rsidR="002C2E2C" w:rsidRPr="003F264A">
        <w:rPr>
          <w:rFonts w:cstheme="minorHAnsi"/>
        </w:rPr>
        <w:t xml:space="preserve">will mean increased accuracy of </w:t>
      </w:r>
      <w:r w:rsidRPr="003F264A">
        <w:rPr>
          <w:rFonts w:cstheme="minorHAnsi"/>
        </w:rPr>
        <w:t>WGEA</w:t>
      </w:r>
      <w:r w:rsidR="002C2E2C" w:rsidRPr="003F264A">
        <w:rPr>
          <w:rFonts w:cstheme="minorHAnsi"/>
        </w:rPr>
        <w:t>’s dataset</w:t>
      </w:r>
      <w:r w:rsidR="003D2E59">
        <w:rPr>
          <w:rFonts w:cstheme="minorHAnsi"/>
        </w:rPr>
        <w:t xml:space="preserve"> and also allow employers more time to focus on organisational change. </w:t>
      </w:r>
    </w:p>
    <w:p w14:paraId="376B9244" w14:textId="77777777" w:rsidR="004B2D21" w:rsidRPr="003F264A" w:rsidRDefault="004B2D21" w:rsidP="000F6998">
      <w:pPr>
        <w:jc w:val="both"/>
        <w:rPr>
          <w:rFonts w:cstheme="minorHAnsi"/>
        </w:rPr>
      </w:pPr>
      <w:r w:rsidRPr="003F264A">
        <w:rPr>
          <w:rFonts w:cstheme="minorHAnsi"/>
        </w:rPr>
        <w:br w:type="page"/>
      </w:r>
    </w:p>
    <w:p w14:paraId="34D70974" w14:textId="77777777" w:rsidR="000E0C33" w:rsidRPr="00015E51" w:rsidRDefault="004B2D21" w:rsidP="000F6998">
      <w:pPr>
        <w:pStyle w:val="Heading1"/>
        <w:numPr>
          <w:ilvl w:val="0"/>
          <w:numId w:val="26"/>
        </w:numPr>
        <w:jc w:val="both"/>
      </w:pPr>
      <w:bookmarkStart w:id="36" w:name="_Toc118794722"/>
      <w:bookmarkStart w:id="37" w:name="_Toc125714697"/>
      <w:r w:rsidRPr="003F264A">
        <w:rPr>
          <w:rStyle w:val="Heading1Char"/>
          <w:rFonts w:asciiTheme="minorHAnsi" w:hAnsiTheme="minorHAnsi" w:cstheme="minorHAnsi"/>
        </w:rPr>
        <w:t>Policy Options</w:t>
      </w:r>
      <w:bookmarkEnd w:id="36"/>
      <w:bookmarkEnd w:id="37"/>
    </w:p>
    <w:p w14:paraId="38927D4F" w14:textId="77777777" w:rsidR="00A30CE0" w:rsidRPr="003F264A" w:rsidRDefault="004B2D21" w:rsidP="000F6998">
      <w:pPr>
        <w:jc w:val="both"/>
        <w:rPr>
          <w:rFonts w:eastAsia="Calibri" w:cstheme="minorHAnsi"/>
        </w:rPr>
      </w:pPr>
      <w:r w:rsidRPr="003F264A">
        <w:rPr>
          <w:rFonts w:eastAsia="Calibri" w:cstheme="minorHAnsi"/>
        </w:rPr>
        <w:t xml:space="preserve">Three options </w:t>
      </w:r>
      <w:r w:rsidR="005F782E" w:rsidRPr="003F264A">
        <w:rPr>
          <w:rFonts w:eastAsia="Calibri" w:cstheme="minorHAnsi"/>
        </w:rPr>
        <w:t>will be</w:t>
      </w:r>
      <w:r w:rsidRPr="003F264A">
        <w:rPr>
          <w:rFonts w:eastAsia="Calibri" w:cstheme="minorHAnsi"/>
        </w:rPr>
        <w:t xml:space="preserve"> considered </w:t>
      </w:r>
      <w:r w:rsidR="005F782E" w:rsidRPr="003F264A">
        <w:rPr>
          <w:rFonts w:eastAsia="Calibri" w:cstheme="minorHAnsi"/>
        </w:rPr>
        <w:t xml:space="preserve">in this </w:t>
      </w:r>
      <w:r w:rsidR="00CF5067">
        <w:rPr>
          <w:rFonts w:cstheme="minorHAnsi"/>
          <w:lang w:val="en-GB"/>
        </w:rPr>
        <w:t>IA</w:t>
      </w:r>
      <w:r w:rsidR="00CF5067" w:rsidRPr="003F264A">
        <w:rPr>
          <w:rFonts w:cstheme="minorHAnsi"/>
          <w:lang w:val="en-GB"/>
        </w:rPr>
        <w:t xml:space="preserve"> </w:t>
      </w:r>
      <w:r w:rsidRPr="003F264A">
        <w:rPr>
          <w:rFonts w:eastAsia="Calibri" w:cstheme="minorHAnsi"/>
        </w:rPr>
        <w:t>in response to the identified problem</w:t>
      </w:r>
      <w:r w:rsidR="008E3E8F" w:rsidRPr="003F264A">
        <w:rPr>
          <w:rFonts w:eastAsia="Calibri" w:cstheme="minorHAnsi"/>
        </w:rPr>
        <w:t>s</w:t>
      </w:r>
      <w:r w:rsidRPr="003F264A">
        <w:rPr>
          <w:rFonts w:eastAsia="Calibri" w:cstheme="minorHAnsi"/>
        </w:rPr>
        <w:t>:</w:t>
      </w:r>
    </w:p>
    <w:p w14:paraId="66DE1531" w14:textId="77777777" w:rsidR="004B2D21" w:rsidRPr="003F264A" w:rsidRDefault="00E81427" w:rsidP="000F6998">
      <w:pPr>
        <w:pStyle w:val="ListParagraph"/>
        <w:numPr>
          <w:ilvl w:val="0"/>
          <w:numId w:val="39"/>
        </w:numPr>
        <w:tabs>
          <w:tab w:val="num" w:pos="360"/>
        </w:tabs>
        <w:jc w:val="both"/>
        <w:rPr>
          <w:rFonts w:eastAsiaTheme="minorEastAsia" w:cstheme="minorHAnsi"/>
        </w:rPr>
      </w:pPr>
      <w:r w:rsidRPr="003F264A">
        <w:rPr>
          <w:rFonts w:cstheme="minorHAnsi"/>
        </w:rPr>
        <w:t xml:space="preserve">Option 1: </w:t>
      </w:r>
      <w:r w:rsidR="00F041D7" w:rsidRPr="003F264A">
        <w:rPr>
          <w:rFonts w:eastAsia="Calibri" w:cstheme="minorHAnsi"/>
        </w:rPr>
        <w:t>Main</w:t>
      </w:r>
      <w:r w:rsidR="004B2D21" w:rsidRPr="003F264A">
        <w:rPr>
          <w:rFonts w:eastAsia="Calibri" w:cstheme="minorHAnsi"/>
        </w:rPr>
        <w:t>tain the status quo;</w:t>
      </w:r>
    </w:p>
    <w:p w14:paraId="70DFDC4E" w14:textId="77777777" w:rsidR="004B2D21" w:rsidRPr="003F264A" w:rsidRDefault="00E81427" w:rsidP="000F6998">
      <w:pPr>
        <w:pStyle w:val="ListParagraph"/>
        <w:numPr>
          <w:ilvl w:val="0"/>
          <w:numId w:val="39"/>
        </w:numPr>
        <w:tabs>
          <w:tab w:val="num" w:pos="360"/>
        </w:tabs>
        <w:jc w:val="both"/>
        <w:rPr>
          <w:rFonts w:eastAsiaTheme="minorEastAsia" w:cstheme="minorHAnsi"/>
        </w:rPr>
      </w:pPr>
      <w:r w:rsidRPr="003F264A">
        <w:rPr>
          <w:rFonts w:cstheme="minorHAnsi"/>
        </w:rPr>
        <w:t xml:space="preserve">Option 2: </w:t>
      </w:r>
      <w:r w:rsidR="004B2D21" w:rsidRPr="003F264A">
        <w:rPr>
          <w:rFonts w:eastAsia="Calibri" w:cstheme="minorHAnsi"/>
        </w:rPr>
        <w:t>Improve reporting for businesses</w:t>
      </w:r>
      <w:r w:rsidR="00BE27A7" w:rsidRPr="003F264A">
        <w:rPr>
          <w:rFonts w:eastAsia="Calibri" w:cstheme="minorHAnsi"/>
        </w:rPr>
        <w:t xml:space="preserve"> (</w:t>
      </w:r>
      <w:r w:rsidRPr="003F264A">
        <w:rPr>
          <w:rFonts w:eastAsia="Calibri" w:cstheme="minorHAnsi"/>
        </w:rPr>
        <w:t>Implement Recommendation 4</w:t>
      </w:r>
      <w:r w:rsidR="00BE27A7" w:rsidRPr="003F264A">
        <w:rPr>
          <w:rFonts w:eastAsia="Calibri" w:cstheme="minorHAnsi"/>
        </w:rPr>
        <w:t>)</w:t>
      </w:r>
      <w:r w:rsidR="004B2D21" w:rsidRPr="003F264A">
        <w:rPr>
          <w:rFonts w:eastAsia="Calibri" w:cstheme="minorHAnsi"/>
        </w:rPr>
        <w:t xml:space="preserve">; </w:t>
      </w:r>
      <w:r w:rsidRPr="003F264A">
        <w:rPr>
          <w:rFonts w:eastAsia="Calibri" w:cstheme="minorHAnsi"/>
        </w:rPr>
        <w:t>or</w:t>
      </w:r>
    </w:p>
    <w:p w14:paraId="57137E91" w14:textId="73889BEE" w:rsidR="004B2D21" w:rsidRPr="0022429C" w:rsidRDefault="00E81427" w:rsidP="000F6998">
      <w:pPr>
        <w:pStyle w:val="ListParagraph"/>
        <w:numPr>
          <w:ilvl w:val="0"/>
          <w:numId w:val="39"/>
        </w:numPr>
        <w:tabs>
          <w:tab w:val="num" w:pos="360"/>
        </w:tabs>
        <w:jc w:val="both"/>
        <w:rPr>
          <w:rFonts w:eastAsiaTheme="minorEastAsia" w:cstheme="minorHAnsi"/>
        </w:rPr>
      </w:pPr>
      <w:r w:rsidRPr="003F264A">
        <w:rPr>
          <w:rFonts w:cstheme="minorHAnsi"/>
        </w:rPr>
        <w:t xml:space="preserve">Option 3: </w:t>
      </w:r>
      <w:r w:rsidR="004B2D21" w:rsidRPr="003F264A">
        <w:rPr>
          <w:rFonts w:eastAsia="Calibri" w:cstheme="minorHAnsi"/>
        </w:rPr>
        <w:t xml:space="preserve">Improve reporting for businesses and drive cultural change to close the gender pay gap through </w:t>
      </w:r>
      <w:r w:rsidR="00CD71F6">
        <w:rPr>
          <w:rFonts w:eastAsia="Calibri" w:cstheme="minorHAnsi"/>
        </w:rPr>
        <w:t>improved</w:t>
      </w:r>
      <w:r w:rsidR="00CD71F6" w:rsidRPr="003F264A">
        <w:rPr>
          <w:rFonts w:eastAsia="Calibri" w:cstheme="minorHAnsi"/>
        </w:rPr>
        <w:t xml:space="preserve"> </w:t>
      </w:r>
      <w:r w:rsidR="004B2D21" w:rsidRPr="003F264A">
        <w:rPr>
          <w:rFonts w:eastAsia="Calibri" w:cstheme="minorHAnsi"/>
        </w:rPr>
        <w:t>transparency, accountability and information</w:t>
      </w:r>
      <w:r w:rsidR="00BE27A7" w:rsidRPr="003F264A">
        <w:rPr>
          <w:rFonts w:eastAsia="Calibri" w:cstheme="minorHAnsi"/>
        </w:rPr>
        <w:t xml:space="preserve"> (</w:t>
      </w:r>
      <w:r w:rsidRPr="003F264A">
        <w:rPr>
          <w:rFonts w:eastAsia="Calibri" w:cstheme="minorHAnsi"/>
        </w:rPr>
        <w:t>Implement</w:t>
      </w:r>
      <w:r w:rsidR="00380E89" w:rsidRPr="003F264A">
        <w:rPr>
          <w:rFonts w:eastAsia="Calibri" w:cstheme="minorHAnsi"/>
        </w:rPr>
        <w:t xml:space="preserve"> Recommendations 2, 3, 4, and 7</w:t>
      </w:r>
      <w:r w:rsidR="00BE27A7" w:rsidRPr="003F264A">
        <w:rPr>
          <w:rFonts w:eastAsia="Calibri" w:cstheme="minorHAnsi"/>
        </w:rPr>
        <w:t>)</w:t>
      </w:r>
      <w:r w:rsidR="004B2D21" w:rsidRPr="003F264A">
        <w:rPr>
          <w:rFonts w:eastAsia="Calibri" w:cstheme="minorHAnsi"/>
        </w:rPr>
        <w:t>.</w:t>
      </w:r>
    </w:p>
    <w:tbl>
      <w:tblPr>
        <w:tblStyle w:val="GridTable4-Accent5"/>
        <w:tblW w:w="0" w:type="auto"/>
        <w:tblLook w:val="04A0" w:firstRow="1" w:lastRow="0" w:firstColumn="1" w:lastColumn="0" w:noHBand="0" w:noVBand="1"/>
      </w:tblPr>
      <w:tblGrid>
        <w:gridCol w:w="1129"/>
        <w:gridCol w:w="2127"/>
        <w:gridCol w:w="2551"/>
        <w:gridCol w:w="3209"/>
      </w:tblGrid>
      <w:tr w:rsidR="00002159" w14:paraId="3BF29A92" w14:textId="77777777" w:rsidTr="0022429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29" w:type="dxa"/>
          </w:tcPr>
          <w:p w14:paraId="5A68B7B4" w14:textId="77777777" w:rsidR="00002159" w:rsidRDefault="00002159" w:rsidP="00002159">
            <w:pPr>
              <w:jc w:val="both"/>
              <w:rPr>
                <w:rFonts w:eastAsiaTheme="minorEastAsia" w:cstheme="minorHAnsi"/>
              </w:rPr>
            </w:pPr>
          </w:p>
        </w:tc>
        <w:tc>
          <w:tcPr>
            <w:tcW w:w="7887" w:type="dxa"/>
            <w:gridSpan w:val="3"/>
          </w:tcPr>
          <w:p w14:paraId="55FF3DCC" w14:textId="678F8432" w:rsidR="00002159" w:rsidRPr="003F264A" w:rsidRDefault="00002159" w:rsidP="0022429C">
            <w:pPr>
              <w:jc w:val="center"/>
              <w:cnfStyle w:val="100000000000" w:firstRow="1"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Elements of the Problem</w:t>
            </w:r>
          </w:p>
        </w:tc>
      </w:tr>
      <w:tr w:rsidR="00C52887" w14:paraId="73B2AB46" w14:textId="77777777" w:rsidTr="00CE6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ADBEF8E" w14:textId="77777777" w:rsidR="00002159" w:rsidRDefault="00002159" w:rsidP="00002159">
            <w:pPr>
              <w:jc w:val="both"/>
              <w:rPr>
                <w:rFonts w:eastAsiaTheme="minorEastAsia" w:cstheme="minorHAnsi"/>
              </w:rPr>
            </w:pPr>
          </w:p>
        </w:tc>
        <w:tc>
          <w:tcPr>
            <w:tcW w:w="2127" w:type="dxa"/>
          </w:tcPr>
          <w:p w14:paraId="3281DD59" w14:textId="7A4740F9" w:rsidR="00002159" w:rsidRPr="0022429C" w:rsidRDefault="00002159" w:rsidP="00002159">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rPr>
            </w:pPr>
            <w:r w:rsidRPr="0022429C">
              <w:rPr>
                <w:rFonts w:eastAsia="Calibri" w:cstheme="minorHAnsi"/>
                <w:b/>
              </w:rPr>
              <w:t>1. Gaps exist in the current dataset</w:t>
            </w:r>
          </w:p>
        </w:tc>
        <w:tc>
          <w:tcPr>
            <w:tcW w:w="2551" w:type="dxa"/>
          </w:tcPr>
          <w:p w14:paraId="3B15731A" w14:textId="4F0E85B2" w:rsidR="00002159" w:rsidRPr="0022429C" w:rsidRDefault="00002159" w:rsidP="00002159">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rPr>
            </w:pPr>
            <w:r w:rsidRPr="0022429C">
              <w:rPr>
                <w:rFonts w:eastAsia="Calibri" w:cstheme="minorHAnsi"/>
                <w:b/>
              </w:rPr>
              <w:t>2. Certain elements of reporting are burdensome on business</w:t>
            </w:r>
          </w:p>
        </w:tc>
        <w:tc>
          <w:tcPr>
            <w:tcW w:w="3209" w:type="dxa"/>
          </w:tcPr>
          <w:p w14:paraId="40ED8922" w14:textId="5B8166D6" w:rsidR="00002159" w:rsidRPr="0022429C" w:rsidRDefault="00002159" w:rsidP="00002159">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rPr>
            </w:pPr>
            <w:r w:rsidRPr="0022429C">
              <w:rPr>
                <w:rFonts w:eastAsia="Calibri" w:cstheme="minorHAnsi"/>
                <w:b/>
              </w:rPr>
              <w:t>3. Current regulation is not ambitious enough to drive change in achieving gender equality</w:t>
            </w:r>
          </w:p>
        </w:tc>
      </w:tr>
      <w:tr w:rsidR="0023702F" w14:paraId="386E4B86" w14:textId="77777777" w:rsidTr="00CE61D9">
        <w:tc>
          <w:tcPr>
            <w:cnfStyle w:val="001000000000" w:firstRow="0" w:lastRow="0" w:firstColumn="1" w:lastColumn="0" w:oddVBand="0" w:evenVBand="0" w:oddHBand="0" w:evenHBand="0" w:firstRowFirstColumn="0" w:firstRowLastColumn="0" w:lastRowFirstColumn="0" w:lastRowLastColumn="0"/>
            <w:tcW w:w="1129" w:type="dxa"/>
            <w:shd w:val="clear" w:color="auto" w:fill="DEEAF6" w:themeFill="accent1" w:themeFillTint="33"/>
          </w:tcPr>
          <w:p w14:paraId="2861990A" w14:textId="2EBCCF81" w:rsidR="0023702F" w:rsidRDefault="0023702F" w:rsidP="0023702F">
            <w:pPr>
              <w:jc w:val="both"/>
              <w:rPr>
                <w:rFonts w:eastAsiaTheme="minorEastAsia" w:cstheme="minorHAnsi"/>
              </w:rPr>
            </w:pPr>
            <w:r>
              <w:rPr>
                <w:rFonts w:eastAsiaTheme="minorEastAsia" w:cstheme="minorHAnsi"/>
              </w:rPr>
              <w:t>Option 1</w:t>
            </w:r>
          </w:p>
        </w:tc>
        <w:tc>
          <w:tcPr>
            <w:tcW w:w="2127" w:type="dxa"/>
            <w:shd w:val="clear" w:color="auto" w:fill="auto"/>
          </w:tcPr>
          <w:p w14:paraId="4338CACE" w14:textId="0CB27938" w:rsidR="0023702F" w:rsidRDefault="0023702F" w:rsidP="0023702F">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Not addressed</w:t>
            </w:r>
          </w:p>
        </w:tc>
        <w:tc>
          <w:tcPr>
            <w:tcW w:w="2551" w:type="dxa"/>
            <w:shd w:val="clear" w:color="auto" w:fill="auto"/>
          </w:tcPr>
          <w:p w14:paraId="74C9272F" w14:textId="088E73AB" w:rsidR="0023702F" w:rsidRDefault="0023702F" w:rsidP="0023702F">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79419C">
              <w:rPr>
                <w:rFonts w:eastAsiaTheme="minorEastAsia" w:cstheme="minorHAnsi"/>
              </w:rPr>
              <w:t>Not addressed</w:t>
            </w:r>
          </w:p>
        </w:tc>
        <w:tc>
          <w:tcPr>
            <w:tcW w:w="3209" w:type="dxa"/>
            <w:shd w:val="clear" w:color="auto" w:fill="auto"/>
          </w:tcPr>
          <w:p w14:paraId="63F13AEC" w14:textId="59BF1EA1" w:rsidR="0023702F" w:rsidRDefault="0023702F" w:rsidP="0023702F">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79419C">
              <w:rPr>
                <w:rFonts w:eastAsiaTheme="minorEastAsia" w:cstheme="minorHAnsi"/>
              </w:rPr>
              <w:t>Not addressed</w:t>
            </w:r>
          </w:p>
        </w:tc>
      </w:tr>
      <w:tr w:rsidR="00C52887" w14:paraId="37113BB4" w14:textId="77777777" w:rsidTr="00CE6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DEEAF6" w:themeFill="accent1" w:themeFillTint="33"/>
          </w:tcPr>
          <w:p w14:paraId="7A541AB5" w14:textId="3E555A6B" w:rsidR="00002159" w:rsidRDefault="00002159" w:rsidP="00002159">
            <w:pPr>
              <w:jc w:val="both"/>
              <w:rPr>
                <w:rFonts w:eastAsiaTheme="minorEastAsia" w:cstheme="minorHAnsi"/>
              </w:rPr>
            </w:pPr>
            <w:r>
              <w:rPr>
                <w:rFonts w:eastAsiaTheme="minorEastAsia" w:cstheme="minorHAnsi"/>
              </w:rPr>
              <w:t>Option 2</w:t>
            </w:r>
          </w:p>
        </w:tc>
        <w:tc>
          <w:tcPr>
            <w:tcW w:w="2127" w:type="dxa"/>
            <w:shd w:val="clear" w:color="auto" w:fill="auto"/>
          </w:tcPr>
          <w:p w14:paraId="07919974" w14:textId="77777777" w:rsidR="00002159" w:rsidRDefault="00002159" w:rsidP="00002159">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rPr>
            </w:pPr>
          </w:p>
        </w:tc>
        <w:tc>
          <w:tcPr>
            <w:tcW w:w="2551" w:type="dxa"/>
            <w:shd w:val="clear" w:color="auto" w:fill="auto"/>
          </w:tcPr>
          <w:p w14:paraId="77B8A8D1" w14:textId="25B58733" w:rsidR="00002159" w:rsidRDefault="00002159" w:rsidP="0059279A">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rPr>
            </w:pPr>
            <w:r>
              <w:rPr>
                <w:rFonts w:eastAsiaTheme="minorEastAsia" w:cstheme="minorHAnsi"/>
              </w:rPr>
              <w:t>Addressed by reducing the reporting burden on business (Rec 4)</w:t>
            </w:r>
            <w:r w:rsidR="00717338">
              <w:rPr>
                <w:rFonts w:eastAsiaTheme="minorEastAsia" w:cstheme="minorHAnsi"/>
              </w:rPr>
              <w:t xml:space="preserve"> through simplification of WGEA reporting requirements.</w:t>
            </w:r>
          </w:p>
        </w:tc>
        <w:tc>
          <w:tcPr>
            <w:tcW w:w="3209" w:type="dxa"/>
            <w:shd w:val="clear" w:color="auto" w:fill="auto"/>
          </w:tcPr>
          <w:p w14:paraId="0231442E" w14:textId="77777777" w:rsidR="00002159" w:rsidRDefault="00002159" w:rsidP="00002159">
            <w:pPr>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rPr>
            </w:pPr>
          </w:p>
        </w:tc>
      </w:tr>
      <w:tr w:rsidR="00C52887" w14:paraId="41956C46" w14:textId="77777777" w:rsidTr="00CE61D9">
        <w:tc>
          <w:tcPr>
            <w:cnfStyle w:val="001000000000" w:firstRow="0" w:lastRow="0" w:firstColumn="1" w:lastColumn="0" w:oddVBand="0" w:evenVBand="0" w:oddHBand="0" w:evenHBand="0" w:firstRowFirstColumn="0" w:firstRowLastColumn="0" w:lastRowFirstColumn="0" w:lastRowLastColumn="0"/>
            <w:tcW w:w="1129" w:type="dxa"/>
            <w:shd w:val="clear" w:color="auto" w:fill="DEEAF6" w:themeFill="accent1" w:themeFillTint="33"/>
          </w:tcPr>
          <w:p w14:paraId="2B2C3B91" w14:textId="612FE658" w:rsidR="00002159" w:rsidRDefault="00002159" w:rsidP="00002159">
            <w:pPr>
              <w:jc w:val="both"/>
              <w:rPr>
                <w:rFonts w:eastAsiaTheme="minorEastAsia" w:cstheme="minorHAnsi"/>
              </w:rPr>
            </w:pPr>
            <w:r>
              <w:rPr>
                <w:rFonts w:eastAsiaTheme="minorEastAsia" w:cstheme="minorHAnsi"/>
              </w:rPr>
              <w:t>Option 3</w:t>
            </w:r>
          </w:p>
        </w:tc>
        <w:tc>
          <w:tcPr>
            <w:tcW w:w="2127" w:type="dxa"/>
            <w:shd w:val="clear" w:color="auto" w:fill="auto"/>
          </w:tcPr>
          <w:p w14:paraId="5AF5E59E" w14:textId="0C656B43" w:rsidR="00002159" w:rsidRPr="0059279A" w:rsidRDefault="00C52887" w:rsidP="00CE61D9">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22429C">
              <w:rPr>
                <w:rFonts w:eastAsia="Calibri" w:cstheme="minorHAnsi"/>
              </w:rPr>
              <w:t>Addressed through expanded mandatory reporting (Rec</w:t>
            </w:r>
            <w:r w:rsidR="00002159" w:rsidRPr="0022429C">
              <w:rPr>
                <w:rFonts w:eastAsia="Calibri" w:cstheme="minorHAnsi"/>
              </w:rPr>
              <w:t xml:space="preserve"> 7</w:t>
            </w:r>
            <w:r w:rsidRPr="0022429C">
              <w:rPr>
                <w:rFonts w:eastAsia="Calibri" w:cstheme="minorHAnsi"/>
              </w:rPr>
              <w:t>)</w:t>
            </w:r>
            <w:r w:rsidR="00717338">
              <w:rPr>
                <w:rFonts w:eastAsia="Calibri" w:cstheme="minorHAnsi"/>
              </w:rPr>
              <w:t xml:space="preserve"> to WGEA </w:t>
            </w:r>
            <w:r w:rsidR="00CE61D9">
              <w:rPr>
                <w:rFonts w:eastAsia="Calibri" w:cstheme="minorHAnsi"/>
              </w:rPr>
              <w:t>to enable better understanding of intersectionality.</w:t>
            </w:r>
          </w:p>
        </w:tc>
        <w:tc>
          <w:tcPr>
            <w:tcW w:w="2551" w:type="dxa"/>
            <w:shd w:val="clear" w:color="auto" w:fill="auto"/>
          </w:tcPr>
          <w:p w14:paraId="2676C43A" w14:textId="0F14C4D7" w:rsidR="00002159" w:rsidRPr="0059279A" w:rsidRDefault="00C52887" w:rsidP="00002159">
            <w:pPr>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rPr>
              <w:t>Addressed by reducing the reporting burden on business (Rec 4)</w:t>
            </w:r>
            <w:r w:rsidR="00717338">
              <w:rPr>
                <w:rFonts w:eastAsiaTheme="minorEastAsia" w:cstheme="minorHAnsi"/>
              </w:rPr>
              <w:t xml:space="preserve"> through simplification of WGEA reporting requirements.</w:t>
            </w:r>
          </w:p>
        </w:tc>
        <w:tc>
          <w:tcPr>
            <w:tcW w:w="3209" w:type="dxa"/>
            <w:shd w:val="clear" w:color="auto" w:fill="auto"/>
          </w:tcPr>
          <w:p w14:paraId="3552B924" w14:textId="25D9BDCE" w:rsidR="00002159" w:rsidRPr="0022429C" w:rsidRDefault="00C52887" w:rsidP="00CE61D9">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2429C">
              <w:rPr>
                <w:rFonts w:eastAsia="Calibri" w:cstheme="minorHAnsi"/>
              </w:rPr>
              <w:t>Addressed through</w:t>
            </w:r>
            <w:r>
              <w:rPr>
                <w:rFonts w:eastAsia="Calibri" w:cstheme="minorHAnsi"/>
              </w:rPr>
              <w:t xml:space="preserve"> publication of the organisational gender pay gap</w:t>
            </w:r>
            <w:r w:rsidRPr="0022429C">
              <w:rPr>
                <w:rFonts w:eastAsia="Calibri" w:cstheme="minorHAnsi"/>
              </w:rPr>
              <w:t xml:space="preserve"> </w:t>
            </w:r>
            <w:r>
              <w:rPr>
                <w:rFonts w:eastAsia="Calibri" w:cstheme="minorHAnsi"/>
              </w:rPr>
              <w:t>(</w:t>
            </w:r>
            <w:r w:rsidRPr="0059279A">
              <w:rPr>
                <w:rFonts w:eastAsia="Calibri" w:cstheme="minorHAnsi"/>
              </w:rPr>
              <w:t>Rec</w:t>
            </w:r>
            <w:r w:rsidR="00002159" w:rsidRPr="0022429C">
              <w:rPr>
                <w:rFonts w:eastAsia="Calibri" w:cstheme="minorHAnsi"/>
              </w:rPr>
              <w:t xml:space="preserve"> 2</w:t>
            </w:r>
            <w:r>
              <w:rPr>
                <w:rFonts w:eastAsia="Calibri" w:cstheme="minorHAnsi"/>
              </w:rPr>
              <w:t>)</w:t>
            </w:r>
            <w:r w:rsidR="00717338">
              <w:rPr>
                <w:rFonts w:eastAsia="Calibri" w:cstheme="minorHAnsi"/>
              </w:rPr>
              <w:t xml:space="preserve"> by WGEA,</w:t>
            </w:r>
            <w:r w:rsidRPr="0022429C">
              <w:rPr>
                <w:rFonts w:eastAsia="Calibri" w:cstheme="minorHAnsi"/>
              </w:rPr>
              <w:t xml:space="preserve"> and</w:t>
            </w:r>
            <w:r>
              <w:rPr>
                <w:rFonts w:eastAsia="Calibri" w:cstheme="minorHAnsi"/>
              </w:rPr>
              <w:t xml:space="preserve"> new gender equality standards (Rec 3)</w:t>
            </w:r>
            <w:r w:rsidR="00717338">
              <w:rPr>
                <w:rFonts w:eastAsia="Calibri" w:cstheme="minorHAnsi"/>
              </w:rPr>
              <w:t xml:space="preserve"> that </w:t>
            </w:r>
            <w:r w:rsidR="00CE61D9">
              <w:rPr>
                <w:rFonts w:eastAsia="Calibri" w:cstheme="minorHAnsi"/>
              </w:rPr>
              <w:t>will set more ambitious goals for employers to achieve</w:t>
            </w:r>
          </w:p>
        </w:tc>
      </w:tr>
    </w:tbl>
    <w:p w14:paraId="5AD2E090" w14:textId="77777777" w:rsidR="00002159" w:rsidRPr="0022429C" w:rsidRDefault="00002159" w:rsidP="0022429C">
      <w:pPr>
        <w:jc w:val="both"/>
        <w:rPr>
          <w:rFonts w:eastAsiaTheme="minorEastAsia" w:cstheme="minorHAnsi"/>
        </w:rPr>
      </w:pPr>
    </w:p>
    <w:p w14:paraId="21EB5F9D" w14:textId="7C584AAE" w:rsidR="00697156" w:rsidRDefault="00215A86" w:rsidP="000F6998">
      <w:pPr>
        <w:spacing w:line="257" w:lineRule="auto"/>
        <w:jc w:val="both"/>
        <w:rPr>
          <w:rFonts w:eastAsia="Calibri" w:cstheme="minorHAnsi"/>
        </w:rPr>
      </w:pPr>
      <w:r>
        <w:rPr>
          <w:rFonts w:eastAsia="Calibri" w:cstheme="minorHAnsi"/>
        </w:rPr>
        <w:t xml:space="preserve">Option 2 – the implementation of </w:t>
      </w:r>
      <w:r w:rsidR="00CD71F6">
        <w:rPr>
          <w:rFonts w:eastAsia="Calibri" w:cstheme="minorHAnsi"/>
        </w:rPr>
        <w:t>R</w:t>
      </w:r>
      <w:r>
        <w:rPr>
          <w:rFonts w:eastAsia="Calibri" w:cstheme="minorHAnsi"/>
        </w:rPr>
        <w:t xml:space="preserve">ecommendation </w:t>
      </w:r>
      <w:r w:rsidR="00CD71F6">
        <w:rPr>
          <w:rFonts w:eastAsia="Calibri" w:cstheme="minorHAnsi"/>
        </w:rPr>
        <w:t>4</w:t>
      </w:r>
      <w:r>
        <w:rPr>
          <w:rFonts w:eastAsia="Calibri" w:cstheme="minorHAnsi"/>
        </w:rPr>
        <w:t xml:space="preserve"> </w:t>
      </w:r>
      <w:r w:rsidR="005D0D14">
        <w:rPr>
          <w:rFonts w:eastAsia="Calibri" w:cstheme="minorHAnsi"/>
        </w:rPr>
        <w:t xml:space="preserve">- </w:t>
      </w:r>
      <w:r>
        <w:rPr>
          <w:rFonts w:eastAsia="Calibri" w:cstheme="minorHAnsi"/>
        </w:rPr>
        <w:t xml:space="preserve">was chosen as it </w:t>
      </w:r>
      <w:r w:rsidR="005D0D14">
        <w:rPr>
          <w:rFonts w:eastAsia="Calibri" w:cstheme="minorHAnsi"/>
        </w:rPr>
        <w:t xml:space="preserve">reduces the </w:t>
      </w:r>
      <w:r w:rsidR="00CD71F6">
        <w:rPr>
          <w:rFonts w:eastAsia="Calibri" w:cstheme="minorHAnsi"/>
        </w:rPr>
        <w:t xml:space="preserve">regulatory </w:t>
      </w:r>
      <w:r>
        <w:rPr>
          <w:rFonts w:eastAsia="Calibri" w:cstheme="minorHAnsi"/>
        </w:rPr>
        <w:t xml:space="preserve">impact. Option 3 </w:t>
      </w:r>
      <w:r w:rsidR="005D0D14">
        <w:rPr>
          <w:rFonts w:eastAsia="Calibri" w:cstheme="minorHAnsi"/>
        </w:rPr>
        <w:t xml:space="preserve">– the </w:t>
      </w:r>
      <w:r>
        <w:rPr>
          <w:rFonts w:eastAsia="Calibri" w:cstheme="minorHAnsi"/>
        </w:rPr>
        <w:t xml:space="preserve">implementation </w:t>
      </w:r>
      <w:r w:rsidR="005D0D14">
        <w:rPr>
          <w:rFonts w:eastAsia="Calibri" w:cstheme="minorHAnsi"/>
        </w:rPr>
        <w:t xml:space="preserve">each of the </w:t>
      </w:r>
      <w:r w:rsidR="006A716D">
        <w:rPr>
          <w:rFonts w:eastAsia="Calibri" w:cstheme="minorHAnsi"/>
        </w:rPr>
        <w:t>four recommendations</w:t>
      </w:r>
      <w:r w:rsidR="005D0D14">
        <w:rPr>
          <w:rFonts w:eastAsia="Calibri" w:cstheme="minorHAnsi"/>
        </w:rPr>
        <w:t xml:space="preserve"> that have a </w:t>
      </w:r>
      <w:r w:rsidR="00CD71F6">
        <w:rPr>
          <w:rFonts w:eastAsia="Calibri" w:cstheme="minorHAnsi"/>
        </w:rPr>
        <w:t xml:space="preserve">regulatory </w:t>
      </w:r>
      <w:r w:rsidR="005D0D14">
        <w:rPr>
          <w:rFonts w:eastAsia="Calibri" w:cstheme="minorHAnsi"/>
        </w:rPr>
        <w:t>impact -</w:t>
      </w:r>
      <w:r>
        <w:rPr>
          <w:rFonts w:eastAsia="Calibri" w:cstheme="minorHAnsi"/>
        </w:rPr>
        <w:t xml:space="preserve"> was chosen as it covers the </w:t>
      </w:r>
      <w:r w:rsidR="008F3C48">
        <w:rPr>
          <w:rFonts w:eastAsia="Calibri" w:cstheme="minorHAnsi"/>
        </w:rPr>
        <w:t>broad scope of Review implementation</w:t>
      </w:r>
      <w:r w:rsidR="002E0E93">
        <w:rPr>
          <w:rFonts w:eastAsia="Calibri" w:cstheme="minorHAnsi"/>
        </w:rPr>
        <w:t>, balancing increased regulatory burden against increased social and economic benefits.</w:t>
      </w:r>
      <w:r w:rsidR="00697156">
        <w:rPr>
          <w:rFonts w:eastAsia="Calibri" w:cstheme="minorHAnsi"/>
        </w:rPr>
        <w:t xml:space="preserve"> As noted above, some recommendations of the Review have been excluded from the options as the Office of Impact Analysis assessed those recommendations as having no more than minor regulatory impacts, and therefore detailed impact analysis was not required. </w:t>
      </w:r>
    </w:p>
    <w:p w14:paraId="5DBFC2D4" w14:textId="7B779C3B" w:rsidR="008F3C48" w:rsidRDefault="00697156" w:rsidP="000F6998">
      <w:pPr>
        <w:spacing w:line="257" w:lineRule="auto"/>
        <w:jc w:val="both"/>
        <w:rPr>
          <w:rFonts w:eastAsia="Calibri" w:cstheme="minorHAnsi"/>
        </w:rPr>
      </w:pPr>
      <w:r>
        <w:rPr>
          <w:rFonts w:eastAsia="Calibri" w:cstheme="minorHAnsi"/>
        </w:rPr>
        <w:t xml:space="preserve">The recommended reforms outlined in the Review are based on likely benefits and ease of implementation, then augmented following more detailed consultation on the options through this </w:t>
      </w:r>
      <w:r w:rsidR="00727EEE">
        <w:rPr>
          <w:rFonts w:eastAsia="Calibri" w:cstheme="minorHAnsi"/>
        </w:rPr>
        <w:t xml:space="preserve">IA </w:t>
      </w:r>
      <w:r>
        <w:rPr>
          <w:rFonts w:eastAsia="Calibri" w:cstheme="minorHAnsi"/>
        </w:rPr>
        <w:t xml:space="preserve">process. </w:t>
      </w:r>
      <w:r w:rsidR="0059279A">
        <w:rPr>
          <w:rFonts w:eastAsia="Calibri" w:cstheme="minorHAnsi"/>
        </w:rPr>
        <w:t>B</w:t>
      </w:r>
      <w:r w:rsidR="0059279A" w:rsidRPr="0059279A">
        <w:rPr>
          <w:rFonts w:eastAsia="Calibri" w:cstheme="minorHAnsi"/>
        </w:rPr>
        <w:t xml:space="preserve">y confining the next set of reforms to those recommended by the </w:t>
      </w:r>
      <w:r w:rsidR="00BB0A96">
        <w:rPr>
          <w:rFonts w:eastAsia="Calibri" w:cstheme="minorHAnsi"/>
        </w:rPr>
        <w:t>R</w:t>
      </w:r>
      <w:r w:rsidR="0059279A" w:rsidRPr="0059279A">
        <w:rPr>
          <w:rFonts w:eastAsia="Calibri" w:cstheme="minorHAnsi"/>
        </w:rPr>
        <w:t>eview</w:t>
      </w:r>
      <w:r w:rsidR="004B0160">
        <w:rPr>
          <w:rFonts w:eastAsia="Calibri" w:cstheme="minorHAnsi"/>
        </w:rPr>
        <w:t>,</w:t>
      </w:r>
      <w:r w:rsidR="0059279A" w:rsidRPr="0059279A">
        <w:rPr>
          <w:rFonts w:eastAsia="Calibri" w:cstheme="minorHAnsi"/>
        </w:rPr>
        <w:t xml:space="preserve"> and heavily consulted on with stakeholders, </w:t>
      </w:r>
      <w:r w:rsidR="0059279A">
        <w:rPr>
          <w:rFonts w:eastAsia="Calibri" w:cstheme="minorHAnsi"/>
        </w:rPr>
        <w:t>there is the</w:t>
      </w:r>
      <w:r w:rsidR="0059279A" w:rsidRPr="0059279A">
        <w:rPr>
          <w:rFonts w:eastAsia="Calibri" w:cstheme="minorHAnsi"/>
        </w:rPr>
        <w:t xml:space="preserve"> </w:t>
      </w:r>
      <w:r w:rsidR="0059279A">
        <w:rPr>
          <w:rFonts w:eastAsia="Calibri" w:cstheme="minorHAnsi"/>
        </w:rPr>
        <w:t>maximum chance of success.</w:t>
      </w:r>
      <w:r w:rsidR="0059279A" w:rsidRPr="0059279A">
        <w:rPr>
          <w:rFonts w:eastAsia="Calibri" w:cstheme="minorHAnsi"/>
        </w:rPr>
        <w:t xml:space="preserve"> This is not the end of the reform pathway, just the next most effective and actionable set of changes as agreed with stakeholders</w:t>
      </w:r>
      <w:r w:rsidR="0059279A">
        <w:rPr>
          <w:rFonts w:eastAsia="Calibri" w:cstheme="minorHAnsi"/>
        </w:rPr>
        <w:t xml:space="preserve">. </w:t>
      </w:r>
      <w:r>
        <w:rPr>
          <w:rFonts w:eastAsia="Calibri" w:cstheme="minorHAnsi"/>
        </w:rPr>
        <w:t>There are opportunities for future reforms that require more consideration, su</w:t>
      </w:r>
      <w:r w:rsidR="00727EEE">
        <w:rPr>
          <w:rFonts w:eastAsia="Calibri" w:cstheme="minorHAnsi"/>
        </w:rPr>
        <w:t>ch as the inclusion of partnership data</w:t>
      </w:r>
      <w:r w:rsidR="0059279A">
        <w:rPr>
          <w:rFonts w:eastAsia="Calibri" w:cstheme="minorHAnsi"/>
        </w:rPr>
        <w:t>,</w:t>
      </w:r>
      <w:r w:rsidR="00727EEE">
        <w:rPr>
          <w:rFonts w:eastAsia="Calibri" w:cstheme="minorHAnsi"/>
        </w:rPr>
        <w:t xml:space="preserve"> more diversity data</w:t>
      </w:r>
      <w:r w:rsidR="0059279A">
        <w:rPr>
          <w:rFonts w:eastAsia="Calibri" w:cstheme="minorHAnsi"/>
        </w:rPr>
        <w:t xml:space="preserve"> and the inclusion of non-binary data</w:t>
      </w:r>
      <w:r w:rsidR="00727EEE">
        <w:rPr>
          <w:rFonts w:eastAsia="Calibri" w:cstheme="minorHAnsi"/>
        </w:rPr>
        <w:t xml:space="preserve"> in the WGEA dataset (Recs 6</w:t>
      </w:r>
      <w:r w:rsidR="0059279A">
        <w:rPr>
          <w:rFonts w:eastAsia="Calibri" w:cstheme="minorHAnsi"/>
        </w:rPr>
        <w:t>, 7.2 and</w:t>
      </w:r>
      <w:r w:rsidR="00C65F93">
        <w:rPr>
          <w:rFonts w:eastAsia="Calibri" w:cstheme="minorHAnsi"/>
        </w:rPr>
        <w:t xml:space="preserve"> </w:t>
      </w:r>
      <w:r w:rsidR="00727EEE">
        <w:rPr>
          <w:rFonts w:eastAsia="Calibri" w:cstheme="minorHAnsi"/>
        </w:rPr>
        <w:t>7.3)</w:t>
      </w:r>
      <w:r w:rsidR="0059279A">
        <w:rPr>
          <w:rFonts w:eastAsia="Calibri" w:cstheme="minorHAnsi"/>
        </w:rPr>
        <w:t>. These recommendations have been excluded for the current implementation to allow for further consultation and research to take place.</w:t>
      </w:r>
      <w:r w:rsidR="00727EEE">
        <w:rPr>
          <w:rFonts w:eastAsia="Calibri" w:cstheme="minorHAnsi"/>
        </w:rPr>
        <w:t xml:space="preserve"> </w:t>
      </w:r>
      <w:r>
        <w:rPr>
          <w:rFonts w:eastAsia="Calibri" w:cstheme="minorHAnsi"/>
        </w:rPr>
        <w:t xml:space="preserve">These are discussed at a high level under the consultation section. </w:t>
      </w:r>
      <w:r w:rsidR="0059279A">
        <w:rPr>
          <w:rFonts w:eastAsia="Calibri" w:cstheme="minorHAnsi"/>
        </w:rPr>
        <w:t xml:space="preserve">– </w:t>
      </w:r>
    </w:p>
    <w:p w14:paraId="20A23315" w14:textId="77777777" w:rsidR="00122282" w:rsidRPr="003F264A" w:rsidRDefault="004B2D21" w:rsidP="000F6998">
      <w:pPr>
        <w:spacing w:line="257" w:lineRule="auto"/>
        <w:jc w:val="both"/>
        <w:rPr>
          <w:rFonts w:cstheme="minorHAnsi"/>
        </w:rPr>
      </w:pPr>
      <w:r w:rsidRPr="003F264A">
        <w:rPr>
          <w:rFonts w:eastAsia="Calibri" w:cstheme="minorHAnsi"/>
        </w:rPr>
        <w:t xml:space="preserve">Each option is </w:t>
      </w:r>
      <w:r w:rsidR="004A7CDE" w:rsidRPr="003F264A">
        <w:rPr>
          <w:rFonts w:eastAsia="Calibri" w:cstheme="minorHAnsi"/>
        </w:rPr>
        <w:t xml:space="preserve">set out in further detail </w:t>
      </w:r>
      <w:r w:rsidRPr="003F264A">
        <w:rPr>
          <w:rFonts w:eastAsia="Calibri" w:cstheme="minorHAnsi"/>
        </w:rPr>
        <w:t xml:space="preserve">below. </w:t>
      </w:r>
    </w:p>
    <w:p w14:paraId="098E6DF8" w14:textId="77777777" w:rsidR="004B2D21" w:rsidRPr="003F264A" w:rsidRDefault="004B2D21" w:rsidP="000F6998">
      <w:pPr>
        <w:pStyle w:val="Heading2"/>
        <w:jc w:val="both"/>
        <w:rPr>
          <w:rFonts w:asciiTheme="minorHAnsi" w:eastAsia="Calibri Light" w:hAnsiTheme="minorHAnsi" w:cstheme="minorHAnsi"/>
          <w:color w:val="4472C4" w:themeColor="accent5"/>
        </w:rPr>
      </w:pPr>
      <w:bookmarkStart w:id="38" w:name="_Toc118794723"/>
      <w:bookmarkStart w:id="39" w:name="_Toc125714698"/>
      <w:r w:rsidRPr="003F264A">
        <w:rPr>
          <w:rFonts w:asciiTheme="minorHAnsi" w:hAnsiTheme="minorHAnsi" w:cstheme="minorHAnsi"/>
        </w:rPr>
        <w:t xml:space="preserve">5.1 </w:t>
      </w:r>
      <w:r w:rsidRPr="003F264A">
        <w:rPr>
          <w:rFonts w:asciiTheme="minorHAnsi" w:eastAsia="Calibri Light" w:hAnsiTheme="minorHAnsi" w:cstheme="minorHAnsi"/>
          <w:color w:val="4472C4" w:themeColor="accent5"/>
        </w:rPr>
        <w:t>Option 1: Retain the status quo</w:t>
      </w:r>
      <w:bookmarkEnd w:id="38"/>
      <w:bookmarkEnd w:id="39"/>
    </w:p>
    <w:p w14:paraId="381D858E" w14:textId="77777777" w:rsidR="004B2D21" w:rsidRPr="003F264A" w:rsidRDefault="004A7CDE" w:rsidP="000F6998">
      <w:pPr>
        <w:spacing w:line="257" w:lineRule="auto"/>
        <w:jc w:val="both"/>
        <w:rPr>
          <w:rFonts w:eastAsia="Calibri" w:cstheme="minorHAnsi"/>
        </w:rPr>
      </w:pPr>
      <w:r w:rsidRPr="003F264A">
        <w:rPr>
          <w:rFonts w:eastAsia="Calibri" w:cstheme="minorHAnsi"/>
        </w:rPr>
        <w:t xml:space="preserve">Under </w:t>
      </w:r>
      <w:r w:rsidR="004B2D21" w:rsidRPr="003F264A">
        <w:rPr>
          <w:rFonts w:eastAsia="Calibri" w:cstheme="minorHAnsi"/>
        </w:rPr>
        <w:t>Option 1 no changes to the current regulatory framework</w:t>
      </w:r>
      <w:r w:rsidR="00B80E63" w:rsidRPr="003F264A">
        <w:rPr>
          <w:rFonts w:eastAsia="Calibri" w:cstheme="minorHAnsi"/>
        </w:rPr>
        <w:t>,</w:t>
      </w:r>
      <w:r w:rsidR="004B2D21" w:rsidRPr="003F264A">
        <w:rPr>
          <w:rFonts w:eastAsia="Calibri" w:cstheme="minorHAnsi"/>
        </w:rPr>
        <w:t xml:space="preserve"> as set out </w:t>
      </w:r>
      <w:r w:rsidR="009374A4" w:rsidRPr="003F264A">
        <w:rPr>
          <w:rFonts w:eastAsia="Calibri" w:cstheme="minorHAnsi"/>
        </w:rPr>
        <w:t>in</w:t>
      </w:r>
      <w:r w:rsidR="004B2D21" w:rsidRPr="003F264A">
        <w:rPr>
          <w:rFonts w:eastAsia="Calibri" w:cstheme="minorHAnsi"/>
        </w:rPr>
        <w:t xml:space="preserve"> the WGE Act</w:t>
      </w:r>
      <w:r w:rsidR="00B80E63" w:rsidRPr="003F264A">
        <w:rPr>
          <w:rFonts w:eastAsia="Calibri" w:cstheme="minorHAnsi"/>
        </w:rPr>
        <w:t>,</w:t>
      </w:r>
      <w:r w:rsidRPr="003F264A">
        <w:rPr>
          <w:rFonts w:eastAsia="Calibri" w:cstheme="minorHAnsi"/>
        </w:rPr>
        <w:t xml:space="preserve"> would occur</w:t>
      </w:r>
      <w:r w:rsidR="004B2D21" w:rsidRPr="003F264A">
        <w:rPr>
          <w:rFonts w:eastAsia="Calibri" w:cstheme="minorHAnsi"/>
        </w:rPr>
        <w:t xml:space="preserve">. </w:t>
      </w:r>
    </w:p>
    <w:p w14:paraId="5F9976D8" w14:textId="77777777" w:rsidR="009D14B0" w:rsidRPr="003F264A" w:rsidRDefault="009D14B0" w:rsidP="000F6998">
      <w:pPr>
        <w:pStyle w:val="Heading2"/>
        <w:jc w:val="both"/>
        <w:rPr>
          <w:rFonts w:asciiTheme="minorHAnsi" w:hAnsiTheme="minorHAnsi" w:cstheme="minorHAnsi"/>
        </w:rPr>
      </w:pPr>
      <w:bookmarkStart w:id="40" w:name="_Toc118794724"/>
      <w:bookmarkStart w:id="41" w:name="_Toc125714699"/>
      <w:r w:rsidRPr="003F264A">
        <w:rPr>
          <w:rFonts w:asciiTheme="minorHAnsi" w:hAnsiTheme="minorHAnsi" w:cstheme="minorHAnsi"/>
        </w:rPr>
        <w:t>5.1.</w:t>
      </w:r>
      <w:r w:rsidR="00591421" w:rsidRPr="003F264A">
        <w:rPr>
          <w:rFonts w:asciiTheme="minorHAnsi" w:hAnsiTheme="minorHAnsi" w:cstheme="minorHAnsi"/>
        </w:rPr>
        <w:t>1</w:t>
      </w:r>
      <w:r w:rsidRPr="003F264A">
        <w:rPr>
          <w:rFonts w:asciiTheme="minorHAnsi" w:hAnsiTheme="minorHAnsi" w:cstheme="minorHAnsi"/>
        </w:rPr>
        <w:t xml:space="preserve"> What elements of the problem does Option 1 address?</w:t>
      </w:r>
      <w:bookmarkEnd w:id="40"/>
      <w:bookmarkEnd w:id="41"/>
    </w:p>
    <w:p w14:paraId="1D7129A4" w14:textId="605A56D6" w:rsidR="009D14B0" w:rsidRPr="003F264A" w:rsidRDefault="009374A4" w:rsidP="000F6998">
      <w:pPr>
        <w:spacing w:line="257" w:lineRule="auto"/>
        <w:jc w:val="both"/>
        <w:rPr>
          <w:rFonts w:eastAsia="Calibri" w:cstheme="minorHAnsi"/>
        </w:rPr>
      </w:pPr>
      <w:r w:rsidRPr="003F264A">
        <w:rPr>
          <w:rFonts w:eastAsia="Calibri" w:cstheme="minorHAnsi"/>
        </w:rPr>
        <w:t xml:space="preserve">Under the status quo, the current reporting system </w:t>
      </w:r>
      <w:r w:rsidR="001E2403">
        <w:rPr>
          <w:rFonts w:cstheme="minorHAnsi"/>
        </w:rPr>
        <w:t>will</w:t>
      </w:r>
      <w:r w:rsidR="001E2403" w:rsidRPr="003F264A">
        <w:rPr>
          <w:rFonts w:cstheme="minorHAnsi"/>
        </w:rPr>
        <w:t xml:space="preserve"> </w:t>
      </w:r>
      <w:r w:rsidRPr="003F264A">
        <w:rPr>
          <w:rFonts w:eastAsia="Calibri" w:cstheme="minorHAnsi"/>
        </w:rPr>
        <w:t>remain</w:t>
      </w:r>
      <w:r w:rsidR="00CD71F6">
        <w:rPr>
          <w:rFonts w:eastAsia="Calibri" w:cstheme="minorHAnsi"/>
        </w:rPr>
        <w:t>.</w:t>
      </w:r>
      <w:r w:rsidRPr="003F264A">
        <w:rPr>
          <w:rFonts w:eastAsia="Calibri" w:cstheme="minorHAnsi"/>
        </w:rPr>
        <w:t xml:space="preserve"> </w:t>
      </w:r>
      <w:r w:rsidR="00CD71F6">
        <w:rPr>
          <w:rFonts w:eastAsia="Calibri" w:cstheme="minorHAnsi"/>
        </w:rPr>
        <w:t xml:space="preserve">This will mean that the </w:t>
      </w:r>
      <w:r w:rsidRPr="003F264A">
        <w:rPr>
          <w:rFonts w:eastAsia="Calibri" w:cstheme="minorHAnsi"/>
        </w:rPr>
        <w:t xml:space="preserve">issues and concerns </w:t>
      </w:r>
      <w:r w:rsidR="00CD71F6">
        <w:rPr>
          <w:rFonts w:eastAsia="Calibri" w:cstheme="minorHAnsi"/>
        </w:rPr>
        <w:t>raised by</w:t>
      </w:r>
      <w:r w:rsidR="00CD71F6" w:rsidRPr="003F264A">
        <w:rPr>
          <w:rFonts w:eastAsia="Calibri" w:cstheme="minorHAnsi"/>
        </w:rPr>
        <w:t xml:space="preserve"> </w:t>
      </w:r>
      <w:r w:rsidRPr="003F264A">
        <w:rPr>
          <w:rFonts w:eastAsia="Calibri" w:cstheme="minorHAnsi"/>
        </w:rPr>
        <w:t xml:space="preserve">WGEA review stakeholders </w:t>
      </w:r>
      <w:r w:rsidR="00CD71F6">
        <w:rPr>
          <w:rFonts w:eastAsia="Calibri" w:cstheme="minorHAnsi"/>
        </w:rPr>
        <w:t>will</w:t>
      </w:r>
      <w:r w:rsidR="00CD71F6" w:rsidRPr="003F264A">
        <w:rPr>
          <w:rFonts w:eastAsia="Calibri" w:cstheme="minorHAnsi"/>
        </w:rPr>
        <w:t xml:space="preserve"> </w:t>
      </w:r>
      <w:r w:rsidRPr="003F264A">
        <w:rPr>
          <w:rFonts w:eastAsia="Calibri" w:cstheme="minorHAnsi"/>
        </w:rPr>
        <w:t>not be addressed.</w:t>
      </w:r>
      <w:r w:rsidR="009D14B0" w:rsidRPr="003F264A">
        <w:rPr>
          <w:rFonts w:eastAsia="Calibri" w:cstheme="minorHAnsi"/>
        </w:rPr>
        <w:t xml:space="preserve"> </w:t>
      </w:r>
      <w:r w:rsidR="00CD71F6">
        <w:rPr>
          <w:rFonts w:eastAsia="Calibri" w:cstheme="minorHAnsi"/>
        </w:rPr>
        <w:t>If this option were selected, t</w:t>
      </w:r>
      <w:r w:rsidR="00CD71F6" w:rsidRPr="003F264A">
        <w:rPr>
          <w:rFonts w:eastAsia="Calibri" w:cstheme="minorHAnsi"/>
        </w:rPr>
        <w:t xml:space="preserve">he </w:t>
      </w:r>
      <w:r w:rsidR="009D14B0" w:rsidRPr="003F264A">
        <w:rPr>
          <w:rFonts w:eastAsia="Calibri" w:cstheme="minorHAnsi"/>
        </w:rPr>
        <w:t>following elements of the problem will continue to persist:</w:t>
      </w:r>
    </w:p>
    <w:p w14:paraId="19574502" w14:textId="77777777" w:rsidR="009D14B0" w:rsidRPr="003F264A" w:rsidRDefault="009D14B0" w:rsidP="000F6998">
      <w:pPr>
        <w:pStyle w:val="ListParagraph"/>
        <w:numPr>
          <w:ilvl w:val="0"/>
          <w:numId w:val="40"/>
        </w:numPr>
        <w:tabs>
          <w:tab w:val="num" w:pos="360"/>
        </w:tabs>
        <w:spacing w:line="257" w:lineRule="auto"/>
        <w:jc w:val="both"/>
        <w:rPr>
          <w:rFonts w:eastAsia="Calibri" w:cstheme="minorHAnsi"/>
        </w:rPr>
      </w:pPr>
      <w:r w:rsidRPr="003F264A">
        <w:rPr>
          <w:rFonts w:eastAsia="Calibri" w:cstheme="minorHAnsi"/>
        </w:rPr>
        <w:t xml:space="preserve">Gaps exist in the current dataset; </w:t>
      </w:r>
    </w:p>
    <w:p w14:paraId="43FF1BB1" w14:textId="77777777" w:rsidR="009D14B0" w:rsidRPr="003F264A" w:rsidRDefault="009D14B0" w:rsidP="000F6998">
      <w:pPr>
        <w:pStyle w:val="ListParagraph"/>
        <w:numPr>
          <w:ilvl w:val="0"/>
          <w:numId w:val="40"/>
        </w:numPr>
        <w:tabs>
          <w:tab w:val="num" w:pos="360"/>
        </w:tabs>
        <w:spacing w:line="257" w:lineRule="auto"/>
        <w:jc w:val="both"/>
        <w:rPr>
          <w:rFonts w:eastAsia="Calibri" w:cstheme="minorHAnsi"/>
        </w:rPr>
      </w:pPr>
      <w:r w:rsidRPr="003F264A">
        <w:rPr>
          <w:rFonts w:eastAsia="Calibri" w:cstheme="minorHAnsi"/>
        </w:rPr>
        <w:t>Certain elements of reporting are burdensome on businesses; and</w:t>
      </w:r>
    </w:p>
    <w:p w14:paraId="2CD63775" w14:textId="77777777" w:rsidR="009D14B0" w:rsidRPr="003F264A" w:rsidRDefault="009D14B0" w:rsidP="000F6998">
      <w:pPr>
        <w:pStyle w:val="ListParagraph"/>
        <w:numPr>
          <w:ilvl w:val="0"/>
          <w:numId w:val="40"/>
        </w:numPr>
        <w:tabs>
          <w:tab w:val="num" w:pos="360"/>
        </w:tabs>
        <w:spacing w:line="257" w:lineRule="auto"/>
        <w:jc w:val="both"/>
        <w:rPr>
          <w:rFonts w:eastAsia="Calibri" w:cstheme="minorHAnsi"/>
        </w:rPr>
      </w:pPr>
      <w:r w:rsidRPr="003F264A">
        <w:rPr>
          <w:rFonts w:eastAsia="Calibri" w:cstheme="minorHAnsi"/>
        </w:rPr>
        <w:t xml:space="preserve">Current regulation is not ambitious enough to drive change in gender inequality </w:t>
      </w:r>
    </w:p>
    <w:p w14:paraId="6C14D9BF" w14:textId="22A21BBB" w:rsidR="00ED7555" w:rsidRPr="00F0724B" w:rsidRDefault="00203D2C" w:rsidP="000F6998">
      <w:pPr>
        <w:jc w:val="both"/>
        <w:rPr>
          <w:rFonts w:eastAsia="Calibri" w:cstheme="minorHAnsi"/>
        </w:rPr>
      </w:pPr>
      <w:r>
        <w:rPr>
          <w:rFonts w:eastAsia="Calibri" w:cstheme="minorHAnsi"/>
        </w:rPr>
        <w:t xml:space="preserve">Under the status quo, stakeholders would continue to benefit from the current WGEA-system, however the rate of change on gender quality would continue to progress </w:t>
      </w:r>
      <w:r w:rsidR="00CD71F6">
        <w:rPr>
          <w:rFonts w:eastAsia="Calibri" w:cstheme="minorHAnsi"/>
        </w:rPr>
        <w:t xml:space="preserve">only </w:t>
      </w:r>
      <w:r>
        <w:rPr>
          <w:rFonts w:eastAsia="Calibri" w:cstheme="minorHAnsi"/>
        </w:rPr>
        <w:t xml:space="preserve">at the current rate. </w:t>
      </w:r>
    </w:p>
    <w:tbl>
      <w:tblPr>
        <w:tblStyle w:val="GridTable5Dark-Accent5"/>
        <w:tblW w:w="9021" w:type="dxa"/>
        <w:tblLook w:val="04A0" w:firstRow="1" w:lastRow="0" w:firstColumn="1" w:lastColumn="0" w:noHBand="0" w:noVBand="1"/>
      </w:tblPr>
      <w:tblGrid>
        <w:gridCol w:w="1555"/>
        <w:gridCol w:w="2268"/>
        <w:gridCol w:w="2551"/>
        <w:gridCol w:w="2647"/>
      </w:tblGrid>
      <w:tr w:rsidR="00B51DD6" w:rsidRPr="00A21F77" w14:paraId="03F30DD0" w14:textId="77777777" w:rsidTr="00C65F93">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9021" w:type="dxa"/>
            <w:gridSpan w:val="4"/>
            <w:vAlign w:val="center"/>
          </w:tcPr>
          <w:p w14:paraId="5B310E00" w14:textId="77777777" w:rsidR="00B51DD6" w:rsidRPr="003F264A" w:rsidRDefault="00B51DD6" w:rsidP="00C65F93">
            <w:pPr>
              <w:jc w:val="center"/>
              <w:rPr>
                <w:rFonts w:eastAsia="Calibri" w:cstheme="minorHAnsi"/>
              </w:rPr>
            </w:pPr>
            <w:r w:rsidRPr="003F264A">
              <w:rPr>
                <w:rFonts w:eastAsia="Calibri" w:cstheme="minorHAnsi"/>
              </w:rPr>
              <w:t>Option 1</w:t>
            </w:r>
          </w:p>
        </w:tc>
      </w:tr>
      <w:tr w:rsidR="005F1ECE" w:rsidRPr="00F0290B" w14:paraId="28506DA0" w14:textId="77777777" w:rsidTr="00146267">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1555" w:type="dxa"/>
          </w:tcPr>
          <w:p w14:paraId="1E65A90D" w14:textId="77777777" w:rsidR="005F1ECE" w:rsidRPr="003F264A" w:rsidRDefault="005F1ECE" w:rsidP="000F6998">
            <w:pPr>
              <w:jc w:val="both"/>
              <w:rPr>
                <w:rFonts w:eastAsia="Calibri" w:cstheme="minorHAnsi"/>
              </w:rPr>
            </w:pPr>
            <w:r w:rsidRPr="003F264A">
              <w:rPr>
                <w:rFonts w:eastAsia="Calibri" w:cstheme="minorHAnsi"/>
              </w:rPr>
              <w:t>Element of the problem</w:t>
            </w:r>
          </w:p>
        </w:tc>
        <w:tc>
          <w:tcPr>
            <w:tcW w:w="2268" w:type="dxa"/>
          </w:tcPr>
          <w:p w14:paraId="3D130BF3" w14:textId="77777777" w:rsidR="005F1ECE" w:rsidRPr="003F264A" w:rsidRDefault="005F1ECE" w:rsidP="000F6998">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3F264A">
              <w:rPr>
                <w:rFonts w:eastAsia="Calibri" w:cstheme="minorHAnsi"/>
              </w:rPr>
              <w:t>1. Gaps exist in the current dataset</w:t>
            </w:r>
          </w:p>
        </w:tc>
        <w:tc>
          <w:tcPr>
            <w:tcW w:w="2551" w:type="dxa"/>
          </w:tcPr>
          <w:p w14:paraId="1EBE33E9" w14:textId="77777777" w:rsidR="005F1ECE" w:rsidRPr="003F264A" w:rsidRDefault="005F1ECE" w:rsidP="000F6998">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3F264A">
              <w:rPr>
                <w:rFonts w:eastAsia="Calibri" w:cstheme="minorHAnsi"/>
              </w:rPr>
              <w:t>2. Certain elements of reporting are burdensome on business</w:t>
            </w:r>
          </w:p>
        </w:tc>
        <w:tc>
          <w:tcPr>
            <w:tcW w:w="2647" w:type="dxa"/>
          </w:tcPr>
          <w:p w14:paraId="01DA21D4" w14:textId="77777777" w:rsidR="005F1ECE" w:rsidRPr="003F264A" w:rsidRDefault="005F1ECE" w:rsidP="000F6998">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3F264A">
              <w:rPr>
                <w:rFonts w:eastAsia="Calibri" w:cstheme="minorHAnsi"/>
              </w:rPr>
              <w:t>3. Current regulation is not ambitious enough to drive change in achieving gender equality</w:t>
            </w:r>
          </w:p>
        </w:tc>
      </w:tr>
      <w:tr w:rsidR="005F1ECE" w14:paraId="6257FFB9" w14:textId="77777777" w:rsidTr="00146267">
        <w:trPr>
          <w:trHeight w:val="704"/>
        </w:trPr>
        <w:tc>
          <w:tcPr>
            <w:cnfStyle w:val="001000000000" w:firstRow="0" w:lastRow="0" w:firstColumn="1" w:lastColumn="0" w:oddVBand="0" w:evenVBand="0" w:oddHBand="0" w:evenHBand="0" w:firstRowFirstColumn="0" w:firstRowLastColumn="0" w:lastRowFirstColumn="0" w:lastRowLastColumn="0"/>
            <w:tcW w:w="1555" w:type="dxa"/>
          </w:tcPr>
          <w:p w14:paraId="308A6207" w14:textId="77777777" w:rsidR="005F1ECE" w:rsidRPr="003F264A" w:rsidRDefault="00F16C8E" w:rsidP="000F6998">
            <w:pPr>
              <w:jc w:val="both"/>
              <w:rPr>
                <w:rFonts w:eastAsia="Calibri" w:cstheme="minorHAnsi"/>
              </w:rPr>
            </w:pPr>
            <w:r w:rsidRPr="003F264A">
              <w:rPr>
                <w:rFonts w:eastAsia="Calibri" w:cstheme="minorHAnsi"/>
              </w:rPr>
              <w:t>How problem addressed</w:t>
            </w:r>
          </w:p>
        </w:tc>
        <w:tc>
          <w:tcPr>
            <w:tcW w:w="2268" w:type="dxa"/>
          </w:tcPr>
          <w:p w14:paraId="47DF7B49" w14:textId="77777777" w:rsidR="005F1ECE" w:rsidRPr="003F264A" w:rsidRDefault="005F1ECE" w:rsidP="000F699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3F264A">
              <w:rPr>
                <w:rFonts w:eastAsia="Calibri" w:cstheme="minorHAnsi"/>
              </w:rPr>
              <w:t>n/a – problem not addressed</w:t>
            </w:r>
          </w:p>
        </w:tc>
        <w:tc>
          <w:tcPr>
            <w:tcW w:w="2551" w:type="dxa"/>
          </w:tcPr>
          <w:p w14:paraId="63898A11" w14:textId="77777777" w:rsidR="005F1ECE" w:rsidRPr="003F264A" w:rsidRDefault="005F1ECE" w:rsidP="000F699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3F264A">
              <w:rPr>
                <w:rFonts w:eastAsia="Calibri" w:cstheme="minorHAnsi"/>
              </w:rPr>
              <w:t>n/a – problem not addressed</w:t>
            </w:r>
          </w:p>
        </w:tc>
        <w:tc>
          <w:tcPr>
            <w:tcW w:w="2647" w:type="dxa"/>
          </w:tcPr>
          <w:p w14:paraId="2E829341" w14:textId="77777777" w:rsidR="005F1ECE" w:rsidRPr="003F264A" w:rsidRDefault="005F1ECE" w:rsidP="000F699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3F264A">
              <w:rPr>
                <w:rFonts w:eastAsia="Calibri" w:cstheme="minorHAnsi"/>
              </w:rPr>
              <w:t>n/a – problem not addressed</w:t>
            </w:r>
          </w:p>
        </w:tc>
      </w:tr>
    </w:tbl>
    <w:p w14:paraId="64FA579D" w14:textId="77777777" w:rsidR="00F0290B" w:rsidRPr="003F264A" w:rsidRDefault="00F0290B" w:rsidP="000F6998">
      <w:pPr>
        <w:jc w:val="both"/>
        <w:rPr>
          <w:rFonts w:eastAsia="Calibri" w:cstheme="minorHAnsi"/>
        </w:rPr>
      </w:pPr>
    </w:p>
    <w:p w14:paraId="73000217" w14:textId="77777777" w:rsidR="00F0290B" w:rsidRPr="003F264A" w:rsidRDefault="00F0290B" w:rsidP="000F6998">
      <w:pPr>
        <w:pStyle w:val="Heading2"/>
        <w:jc w:val="both"/>
        <w:rPr>
          <w:rFonts w:asciiTheme="minorHAnsi" w:hAnsiTheme="minorHAnsi" w:cstheme="minorHAnsi"/>
        </w:rPr>
      </w:pPr>
      <w:bookmarkStart w:id="42" w:name="_Toc118794725"/>
      <w:bookmarkStart w:id="43" w:name="_Toc125714700"/>
      <w:r w:rsidRPr="003F264A">
        <w:rPr>
          <w:rFonts w:asciiTheme="minorHAnsi" w:hAnsiTheme="minorHAnsi" w:cstheme="minorHAnsi"/>
        </w:rPr>
        <w:t xml:space="preserve">5.1.2 What would Option 1 look like for </w:t>
      </w:r>
      <w:r w:rsidR="00066827" w:rsidRPr="003F264A">
        <w:rPr>
          <w:rFonts w:asciiTheme="minorHAnsi" w:hAnsiTheme="minorHAnsi" w:cstheme="minorHAnsi"/>
        </w:rPr>
        <w:t xml:space="preserve">impacted </w:t>
      </w:r>
      <w:r w:rsidRPr="003F264A">
        <w:rPr>
          <w:rFonts w:asciiTheme="minorHAnsi" w:hAnsiTheme="minorHAnsi" w:cstheme="minorHAnsi"/>
        </w:rPr>
        <w:t>stakeholders?</w:t>
      </w:r>
      <w:bookmarkEnd w:id="42"/>
      <w:bookmarkEnd w:id="43"/>
    </w:p>
    <w:p w14:paraId="625D2750" w14:textId="47B40024" w:rsidR="004B2D21" w:rsidRPr="003F264A" w:rsidRDefault="004B2D21" w:rsidP="000F6998">
      <w:pPr>
        <w:jc w:val="both"/>
        <w:rPr>
          <w:rFonts w:eastAsia="Times New Roman" w:cstheme="minorHAnsi"/>
          <w:color w:val="000000"/>
          <w:bdr w:val="none" w:sz="0" w:space="0" w:color="auto" w:frame="1"/>
          <w:lang w:eastAsia="en-AU"/>
        </w:rPr>
      </w:pPr>
      <w:r w:rsidRPr="003F264A">
        <w:rPr>
          <w:rFonts w:eastAsia="Calibri" w:cstheme="minorHAnsi"/>
        </w:rPr>
        <w:t xml:space="preserve">Under the status quo, relevant employers </w:t>
      </w:r>
      <w:r w:rsidRPr="003F264A">
        <w:rPr>
          <w:rFonts w:eastAsia="Times New Roman" w:cstheme="minorHAnsi"/>
          <w:color w:val="000000"/>
          <w:lang w:eastAsia="en-AU"/>
        </w:rPr>
        <w:t xml:space="preserve">with 100 or more employees would continue to report </w:t>
      </w:r>
      <w:r w:rsidRPr="003F264A">
        <w:rPr>
          <w:rFonts w:eastAsia="Calibri" w:cstheme="minorHAnsi"/>
        </w:rPr>
        <w:t>to</w:t>
      </w:r>
      <w:r w:rsidRPr="003F264A">
        <w:rPr>
          <w:rFonts w:eastAsia="Times New Roman" w:cstheme="minorHAnsi"/>
          <w:color w:val="000000"/>
          <w:lang w:eastAsia="en-AU"/>
        </w:rPr>
        <w:t xml:space="preserve"> WGEA each year.  This annual reporting would continue to consist of a </w:t>
      </w:r>
      <w:r w:rsidRPr="003F264A">
        <w:rPr>
          <w:rFonts w:eastAsia="Calibri" w:cstheme="minorHAnsi"/>
        </w:rPr>
        <w:t>Questionnaire, Workforce Management Statistics and the Workplace Profile in its current form.</w:t>
      </w:r>
      <w:r w:rsidR="008A6E1A">
        <w:rPr>
          <w:rFonts w:eastAsia="Calibri" w:cstheme="minorHAnsi"/>
        </w:rPr>
        <w:t xml:space="preserve"> </w:t>
      </w:r>
    </w:p>
    <w:p w14:paraId="2ABA04C0" w14:textId="77777777" w:rsidR="0026007F" w:rsidRPr="003F264A" w:rsidRDefault="00F0290B" w:rsidP="000F6998">
      <w:pPr>
        <w:jc w:val="both"/>
        <w:rPr>
          <w:rFonts w:cstheme="minorHAnsi"/>
          <w:color w:val="000000"/>
          <w:shd w:val="clear" w:color="auto" w:fill="FFFAE6"/>
        </w:rPr>
      </w:pPr>
      <w:r w:rsidRPr="00286E51">
        <w:rPr>
          <w:rFonts w:eastAsia="Times New Roman" w:cstheme="minorHAnsi"/>
          <w:color w:val="000000"/>
          <w:bdr w:val="none" w:sz="0" w:space="0" w:color="auto" w:frame="1"/>
          <w:lang w:eastAsia="en-AU"/>
        </w:rPr>
        <w:t xml:space="preserve">Currently, </w:t>
      </w:r>
      <w:r w:rsidRPr="00286E51">
        <w:rPr>
          <w:rFonts w:ascii="Calibri" w:eastAsia="Calibri" w:hAnsi="Calibri" w:cs="Calibri"/>
        </w:rPr>
        <w:t>t</w:t>
      </w:r>
      <w:r w:rsidR="004B2D21" w:rsidRPr="00286E51">
        <w:rPr>
          <w:rFonts w:ascii="Calibri" w:eastAsia="Calibri" w:hAnsi="Calibri" w:cs="Calibri"/>
        </w:rPr>
        <w:t>he WGEA Portal opens on 1 April </w:t>
      </w:r>
      <w:r w:rsidR="00896A32" w:rsidRPr="00286E51">
        <w:rPr>
          <w:rFonts w:ascii="Calibri" w:eastAsia="Calibri" w:hAnsi="Calibri" w:cs="Calibri"/>
        </w:rPr>
        <w:t xml:space="preserve">each year </w:t>
      </w:r>
      <w:r w:rsidR="004B2D21" w:rsidRPr="00286E51">
        <w:rPr>
          <w:rFonts w:ascii="Calibri" w:eastAsia="Calibri" w:hAnsi="Calibri" w:cs="Calibri"/>
        </w:rPr>
        <w:t>for reporting. Organisations then have two months to submit their reports, with reports due on 31 May.</w:t>
      </w:r>
      <w:r w:rsidR="004B2D21" w:rsidRPr="003F264A">
        <w:rPr>
          <w:rFonts w:eastAsia="Calibri" w:cstheme="minorHAnsi"/>
        </w:rPr>
        <w:t> Reports cover the preceding 12-month reporting period. The reporting period is the same each year, from 1 April (the previous year) to 31</w:t>
      </w:r>
      <w:r w:rsidR="004D3591" w:rsidRPr="003F264A">
        <w:rPr>
          <w:rFonts w:eastAsia="Calibri" w:cstheme="minorHAnsi"/>
        </w:rPr>
        <w:t> </w:t>
      </w:r>
      <w:r w:rsidR="004B2D21" w:rsidRPr="003F264A">
        <w:rPr>
          <w:rFonts w:eastAsia="Calibri" w:cstheme="minorHAnsi"/>
        </w:rPr>
        <w:t>March (of the current year). The Questionnaire and Workforce Management Statistics reflect the entire reporting period. The Workplace Profile is completed by </w:t>
      </w:r>
      <w:hyperlink r:id="rId20" w:tgtFrame="_blank" w:tooltip="https://client-portal.wgea.gov.au/s/article/how-do-i-choose-a-reporting-date" w:history="1">
        <w:r w:rsidR="004B2D21" w:rsidRPr="003F264A">
          <w:rPr>
            <w:rFonts w:eastAsia="Calibri" w:cstheme="minorHAnsi"/>
          </w:rPr>
          <w:t>selecting a snapshot date</w:t>
        </w:r>
      </w:hyperlink>
      <w:r w:rsidR="004B2D21" w:rsidRPr="003F264A">
        <w:rPr>
          <w:rFonts w:eastAsia="Calibri" w:cstheme="minorHAnsi"/>
        </w:rPr>
        <w:t xml:space="preserve"> within the reporting period. Once submitted, organisations have a further 28 days to edit their report, </w:t>
      </w:r>
      <w:r w:rsidR="004D3591" w:rsidRPr="003F264A">
        <w:rPr>
          <w:rFonts w:eastAsia="Calibri" w:cstheme="minorHAnsi"/>
        </w:rPr>
        <w:t>to allow</w:t>
      </w:r>
      <w:r w:rsidR="004B2D21" w:rsidRPr="003F264A">
        <w:rPr>
          <w:rFonts w:eastAsia="Calibri" w:cstheme="minorHAnsi"/>
        </w:rPr>
        <w:t xml:space="preserve"> corrections or changes </w:t>
      </w:r>
      <w:r w:rsidR="004D3591" w:rsidRPr="003F264A">
        <w:rPr>
          <w:rFonts w:eastAsia="Calibri" w:cstheme="minorHAnsi"/>
        </w:rPr>
        <w:t>to be made</w:t>
      </w:r>
      <w:r w:rsidR="004B2D21" w:rsidRPr="003F264A">
        <w:rPr>
          <w:rFonts w:cstheme="minorHAnsi"/>
          <w:color w:val="000000"/>
          <w:shd w:val="clear" w:color="auto" w:fill="FFFAE6"/>
        </w:rPr>
        <w:t xml:space="preserve">. </w:t>
      </w:r>
    </w:p>
    <w:p w14:paraId="3D5507AD" w14:textId="77777777" w:rsidR="004B2D21" w:rsidRPr="003F264A" w:rsidRDefault="004B2D21" w:rsidP="000F6998">
      <w:pPr>
        <w:jc w:val="both"/>
        <w:rPr>
          <w:rFonts w:cstheme="minorHAnsi"/>
        </w:rPr>
      </w:pPr>
      <w:r w:rsidRPr="003F264A">
        <w:rPr>
          <w:rFonts w:eastAsia="Calibri" w:cstheme="minorHAnsi"/>
        </w:rPr>
        <w:t xml:space="preserve">Under Option 1, the </w:t>
      </w:r>
      <w:r w:rsidRPr="003F264A">
        <w:rPr>
          <w:rFonts w:eastAsia="Calibri" w:cstheme="minorHAnsi"/>
          <w:i/>
        </w:rPr>
        <w:t>Workplace Gender Equality (Minimum Standards) Instrument 2014 (Minimum Standards Legislative Instrument)</w:t>
      </w:r>
      <w:r w:rsidRPr="003F264A">
        <w:rPr>
          <w:rFonts w:eastAsia="Calibri" w:cstheme="minorHAnsi"/>
        </w:rPr>
        <w:t xml:space="preserve"> would continue to set out the minimum standards which apply to relevant employers with 500 or more employees. </w:t>
      </w:r>
      <w:r w:rsidRPr="003F264A">
        <w:rPr>
          <w:rFonts w:cstheme="minorHAnsi"/>
        </w:rPr>
        <w:t xml:space="preserve">Relevant employers with 500 or more employees must have policies or strategies in place to support </w:t>
      </w:r>
      <w:r w:rsidRPr="003F264A">
        <w:rPr>
          <w:rFonts w:cstheme="minorHAnsi"/>
          <w:u w:val="single"/>
        </w:rPr>
        <w:t>one or more</w:t>
      </w:r>
      <w:r w:rsidRPr="003F264A">
        <w:rPr>
          <w:rFonts w:cstheme="minorHAnsi"/>
        </w:rPr>
        <w:t xml:space="preserve"> of the following indicators:</w:t>
      </w:r>
    </w:p>
    <w:p w14:paraId="02144E18" w14:textId="77777777" w:rsidR="004B2D21" w:rsidRPr="003F264A" w:rsidRDefault="004B2D21" w:rsidP="000F6998">
      <w:pPr>
        <w:pStyle w:val="ListParagraph"/>
        <w:numPr>
          <w:ilvl w:val="0"/>
          <w:numId w:val="41"/>
        </w:numPr>
        <w:tabs>
          <w:tab w:val="num" w:pos="360"/>
        </w:tabs>
        <w:jc w:val="both"/>
        <w:rPr>
          <w:rFonts w:cstheme="minorHAnsi"/>
        </w:rPr>
      </w:pPr>
      <w:r w:rsidRPr="003F264A">
        <w:rPr>
          <w:rFonts w:cstheme="minorHAnsi"/>
        </w:rPr>
        <w:t xml:space="preserve">gender composition of the workforce; </w:t>
      </w:r>
    </w:p>
    <w:p w14:paraId="6004A4D1" w14:textId="77777777" w:rsidR="004B2D21" w:rsidRPr="003F264A" w:rsidRDefault="004B2D21" w:rsidP="000F6998">
      <w:pPr>
        <w:pStyle w:val="ListParagraph"/>
        <w:numPr>
          <w:ilvl w:val="0"/>
          <w:numId w:val="41"/>
        </w:numPr>
        <w:tabs>
          <w:tab w:val="num" w:pos="360"/>
        </w:tabs>
        <w:jc w:val="both"/>
        <w:rPr>
          <w:rFonts w:cstheme="minorHAnsi"/>
        </w:rPr>
      </w:pPr>
      <w:r w:rsidRPr="003F264A">
        <w:rPr>
          <w:rFonts w:cstheme="minorHAnsi"/>
        </w:rPr>
        <w:t xml:space="preserve">equal remuneration between women and men; </w:t>
      </w:r>
    </w:p>
    <w:p w14:paraId="2D33C550" w14:textId="77777777" w:rsidR="004B2D21" w:rsidRPr="003F264A" w:rsidRDefault="004B2D21" w:rsidP="000F6998">
      <w:pPr>
        <w:pStyle w:val="ListParagraph"/>
        <w:numPr>
          <w:ilvl w:val="0"/>
          <w:numId w:val="41"/>
        </w:numPr>
        <w:tabs>
          <w:tab w:val="num" w:pos="360"/>
        </w:tabs>
        <w:jc w:val="both"/>
        <w:rPr>
          <w:rFonts w:cstheme="minorHAnsi"/>
        </w:rPr>
      </w:pPr>
      <w:r w:rsidRPr="003F264A">
        <w:rPr>
          <w:rFonts w:cstheme="minorHAnsi"/>
        </w:rPr>
        <w:t xml:space="preserve">flexible working arrangements, and </w:t>
      </w:r>
    </w:p>
    <w:p w14:paraId="3625614F" w14:textId="77777777" w:rsidR="00122282" w:rsidRPr="003F264A" w:rsidRDefault="004B2D21" w:rsidP="000F6998">
      <w:pPr>
        <w:pStyle w:val="ListParagraph"/>
        <w:numPr>
          <w:ilvl w:val="0"/>
          <w:numId w:val="41"/>
        </w:numPr>
        <w:tabs>
          <w:tab w:val="num" w:pos="360"/>
        </w:tabs>
        <w:jc w:val="both"/>
        <w:rPr>
          <w:rFonts w:cstheme="minorHAnsi"/>
        </w:rPr>
      </w:pPr>
      <w:r w:rsidRPr="003F264A">
        <w:rPr>
          <w:rFonts w:cstheme="minorHAnsi"/>
        </w:rPr>
        <w:t xml:space="preserve">sex-based harassment and discrimination. </w:t>
      </w:r>
    </w:p>
    <w:p w14:paraId="5312E5F8" w14:textId="77777777" w:rsidR="005F1ECE" w:rsidRPr="003F264A" w:rsidRDefault="004B2D21" w:rsidP="000F6998">
      <w:pPr>
        <w:pStyle w:val="Heading2"/>
        <w:jc w:val="both"/>
        <w:rPr>
          <w:rFonts w:asciiTheme="minorHAnsi" w:eastAsia="Calibri Light" w:hAnsiTheme="minorHAnsi" w:cstheme="minorHAnsi"/>
          <w:color w:val="4472C4" w:themeColor="accent5"/>
        </w:rPr>
      </w:pPr>
      <w:bookmarkStart w:id="44" w:name="_Toc118794726"/>
      <w:bookmarkStart w:id="45" w:name="_Toc125714701"/>
      <w:r w:rsidRPr="003F264A">
        <w:rPr>
          <w:rFonts w:asciiTheme="minorHAnsi" w:hAnsiTheme="minorHAnsi" w:cstheme="minorHAnsi"/>
        </w:rPr>
        <w:t xml:space="preserve">5.2 </w:t>
      </w:r>
      <w:r w:rsidRPr="003F264A">
        <w:rPr>
          <w:rFonts w:asciiTheme="minorHAnsi" w:eastAsia="Calibri Light" w:hAnsiTheme="minorHAnsi" w:cstheme="minorHAnsi"/>
          <w:color w:val="4472C4" w:themeColor="accent5"/>
        </w:rPr>
        <w:t>Option 2: Improve WGEA reporting processes for businesses</w:t>
      </w:r>
      <w:bookmarkEnd w:id="44"/>
      <w:bookmarkEnd w:id="45"/>
    </w:p>
    <w:p w14:paraId="170D45DF" w14:textId="77777777" w:rsidR="00910874" w:rsidRPr="003F264A" w:rsidRDefault="00B956D2" w:rsidP="000F6998">
      <w:pPr>
        <w:spacing w:line="257" w:lineRule="auto"/>
        <w:jc w:val="both"/>
        <w:rPr>
          <w:rFonts w:cstheme="minorHAnsi"/>
        </w:rPr>
      </w:pPr>
      <w:r w:rsidRPr="003F264A">
        <w:rPr>
          <w:rFonts w:cstheme="minorHAnsi"/>
        </w:rPr>
        <w:t xml:space="preserve">Option 2 implements </w:t>
      </w:r>
      <w:r w:rsidR="00517ED7" w:rsidRPr="003F264A">
        <w:rPr>
          <w:rFonts w:cstheme="minorHAnsi"/>
        </w:rPr>
        <w:t>Recommendation</w:t>
      </w:r>
      <w:r w:rsidRPr="003F264A">
        <w:rPr>
          <w:rFonts w:cstheme="minorHAnsi"/>
        </w:rPr>
        <w:t xml:space="preserve"> 4 of the Review, </w:t>
      </w:r>
      <w:r w:rsidR="00823584">
        <w:rPr>
          <w:rFonts w:cstheme="minorHAnsi"/>
        </w:rPr>
        <w:t xml:space="preserve">and would address the second element of the problem by </w:t>
      </w:r>
      <w:r w:rsidRPr="003F264A">
        <w:rPr>
          <w:rFonts w:cstheme="minorHAnsi"/>
        </w:rPr>
        <w:t xml:space="preserve">reducing the regulatory burden on employers through the following </w:t>
      </w:r>
      <w:r w:rsidR="00910874" w:rsidRPr="003F264A">
        <w:rPr>
          <w:rFonts w:cstheme="minorHAnsi"/>
        </w:rPr>
        <w:t>changes to the WGE Act and associated instruments:</w:t>
      </w:r>
    </w:p>
    <w:p w14:paraId="733E2944" w14:textId="4A9B7F31" w:rsidR="00910874" w:rsidRPr="003F264A" w:rsidRDefault="00910874" w:rsidP="000F6998">
      <w:pPr>
        <w:pStyle w:val="ListParagraph"/>
        <w:numPr>
          <w:ilvl w:val="0"/>
          <w:numId w:val="46"/>
        </w:numPr>
        <w:spacing w:line="257" w:lineRule="auto"/>
        <w:jc w:val="both"/>
        <w:rPr>
          <w:rFonts w:cstheme="minorHAnsi"/>
        </w:rPr>
      </w:pPr>
      <w:r w:rsidRPr="003F264A">
        <w:rPr>
          <w:rFonts w:cstheme="minorHAnsi"/>
        </w:rPr>
        <w:t>employers would no longer need to report on managerial distance from the CEO or equivalent;</w:t>
      </w:r>
    </w:p>
    <w:p w14:paraId="32C20AD1" w14:textId="77777777" w:rsidR="00910874" w:rsidRPr="003F264A" w:rsidRDefault="00910874" w:rsidP="000F6998">
      <w:pPr>
        <w:pStyle w:val="ListParagraph"/>
        <w:numPr>
          <w:ilvl w:val="0"/>
          <w:numId w:val="46"/>
        </w:numPr>
        <w:spacing w:line="257" w:lineRule="auto"/>
        <w:jc w:val="both"/>
        <w:rPr>
          <w:rFonts w:cstheme="minorHAnsi"/>
        </w:rPr>
      </w:pPr>
      <w:r w:rsidRPr="003F264A">
        <w:rPr>
          <w:rFonts w:cstheme="minorHAnsi"/>
        </w:rPr>
        <w:t>the term ‘annualised full-time equivalent figures’ would be removed to enable employers to report on actual earnings of part-time and casual employees as well as the number of hours employees are engaged; and</w:t>
      </w:r>
    </w:p>
    <w:p w14:paraId="5925CA2B" w14:textId="77777777" w:rsidR="00A21F77" w:rsidRPr="003F264A" w:rsidRDefault="00910874" w:rsidP="000F6998">
      <w:pPr>
        <w:pStyle w:val="ListParagraph"/>
        <w:numPr>
          <w:ilvl w:val="0"/>
          <w:numId w:val="46"/>
        </w:numPr>
        <w:spacing w:line="257" w:lineRule="auto"/>
        <w:jc w:val="both"/>
        <w:rPr>
          <w:rFonts w:cstheme="minorHAnsi"/>
        </w:rPr>
      </w:pPr>
      <w:r w:rsidRPr="003F264A">
        <w:rPr>
          <w:rFonts w:cstheme="minorHAnsi"/>
        </w:rPr>
        <w:t xml:space="preserve">the term ‘proportion of workforce’ would be replaced with ‘number of employees’ who have access to paid parental leave and </w:t>
      </w:r>
      <w:r w:rsidR="00437220" w:rsidRPr="003F264A">
        <w:rPr>
          <w:rFonts w:cstheme="minorHAnsi"/>
        </w:rPr>
        <w:t xml:space="preserve">the </w:t>
      </w:r>
      <w:r w:rsidRPr="003F264A">
        <w:rPr>
          <w:rFonts w:cstheme="minorHAnsi"/>
        </w:rPr>
        <w:t>number of employees who ceased employment during or after that leave.</w:t>
      </w:r>
    </w:p>
    <w:p w14:paraId="19C9B016" w14:textId="77777777" w:rsidR="0079034D" w:rsidRPr="003F264A" w:rsidRDefault="0079034D" w:rsidP="000F6998">
      <w:pPr>
        <w:pStyle w:val="Heading2"/>
        <w:framePr w:hSpace="180" w:wrap="around" w:vAnchor="text" w:hAnchor="margin" w:y="-27"/>
        <w:jc w:val="both"/>
        <w:rPr>
          <w:rFonts w:asciiTheme="minorHAnsi" w:hAnsiTheme="minorHAnsi" w:cstheme="minorHAnsi"/>
        </w:rPr>
      </w:pPr>
      <w:bookmarkStart w:id="46" w:name="_Toc118794727"/>
      <w:bookmarkStart w:id="47" w:name="_Toc125714702"/>
      <w:r w:rsidRPr="003F264A">
        <w:rPr>
          <w:rFonts w:asciiTheme="minorHAnsi" w:hAnsiTheme="minorHAnsi" w:cstheme="minorHAnsi"/>
        </w:rPr>
        <w:t>5.2.</w:t>
      </w:r>
      <w:r w:rsidR="00B47D88" w:rsidRPr="003F264A">
        <w:rPr>
          <w:rFonts w:asciiTheme="minorHAnsi" w:hAnsiTheme="minorHAnsi" w:cstheme="minorHAnsi"/>
        </w:rPr>
        <w:t>1</w:t>
      </w:r>
      <w:r w:rsidRPr="003F264A">
        <w:rPr>
          <w:rFonts w:asciiTheme="minorHAnsi" w:hAnsiTheme="minorHAnsi" w:cstheme="minorHAnsi"/>
        </w:rPr>
        <w:t xml:space="preserve"> What eleme</w:t>
      </w:r>
      <w:r w:rsidR="002F4AF2" w:rsidRPr="003F264A">
        <w:rPr>
          <w:rFonts w:asciiTheme="minorHAnsi" w:hAnsiTheme="minorHAnsi" w:cstheme="minorHAnsi"/>
        </w:rPr>
        <w:t>nts of the problem does Option 2</w:t>
      </w:r>
      <w:r w:rsidRPr="003F264A">
        <w:rPr>
          <w:rFonts w:asciiTheme="minorHAnsi" w:hAnsiTheme="minorHAnsi" w:cstheme="minorHAnsi"/>
        </w:rPr>
        <w:t xml:space="preserve"> address?</w:t>
      </w:r>
      <w:bookmarkEnd w:id="46"/>
      <w:bookmarkEnd w:id="47"/>
    </w:p>
    <w:p w14:paraId="7D2D6A61" w14:textId="52BBF952" w:rsidR="00ED7555" w:rsidRPr="003F264A" w:rsidRDefault="00ED7555" w:rsidP="000F6998">
      <w:pPr>
        <w:jc w:val="both"/>
        <w:rPr>
          <w:rFonts w:cstheme="minorHAnsi"/>
        </w:rPr>
      </w:pPr>
    </w:p>
    <w:tbl>
      <w:tblPr>
        <w:tblStyle w:val="GridTable5Dark-Accent5"/>
        <w:tblpPr w:leftFromText="180" w:rightFromText="180" w:vertAnchor="text" w:horzAnchor="margin" w:tblpY="52"/>
        <w:tblW w:w="0" w:type="auto"/>
        <w:tblLook w:val="04A0" w:firstRow="1" w:lastRow="0" w:firstColumn="1" w:lastColumn="0" w:noHBand="0" w:noVBand="1"/>
      </w:tblPr>
      <w:tblGrid>
        <w:gridCol w:w="1954"/>
        <w:gridCol w:w="2211"/>
        <w:gridCol w:w="2553"/>
        <w:gridCol w:w="2298"/>
      </w:tblGrid>
      <w:tr w:rsidR="007806DE" w14:paraId="5A52C600" w14:textId="77777777" w:rsidTr="00C65F93">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016" w:type="dxa"/>
            <w:gridSpan w:val="4"/>
            <w:vAlign w:val="center"/>
          </w:tcPr>
          <w:p w14:paraId="46E856B2" w14:textId="77777777" w:rsidR="007806DE" w:rsidRPr="003F264A" w:rsidRDefault="007806DE" w:rsidP="00C65F93">
            <w:pPr>
              <w:jc w:val="center"/>
              <w:rPr>
                <w:rFonts w:eastAsia="Calibri" w:cstheme="minorHAnsi"/>
              </w:rPr>
            </w:pPr>
            <w:r w:rsidRPr="003F264A">
              <w:rPr>
                <w:rFonts w:eastAsia="Calibri" w:cstheme="minorHAnsi"/>
              </w:rPr>
              <w:t>Option 2</w:t>
            </w:r>
          </w:p>
        </w:tc>
      </w:tr>
      <w:tr w:rsidR="007806DE" w14:paraId="3CF5D68F" w14:textId="77777777" w:rsidTr="00780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3482D7F3" w14:textId="77777777" w:rsidR="007806DE" w:rsidRPr="003F264A" w:rsidRDefault="007806DE" w:rsidP="000F6998">
            <w:pPr>
              <w:jc w:val="both"/>
              <w:rPr>
                <w:rFonts w:eastAsia="Calibri" w:cstheme="minorHAnsi"/>
              </w:rPr>
            </w:pPr>
            <w:r w:rsidRPr="003F264A">
              <w:rPr>
                <w:rFonts w:eastAsia="Calibri" w:cstheme="minorHAnsi"/>
              </w:rPr>
              <w:t>Element of the problem</w:t>
            </w:r>
          </w:p>
        </w:tc>
        <w:tc>
          <w:tcPr>
            <w:tcW w:w="2211" w:type="dxa"/>
          </w:tcPr>
          <w:p w14:paraId="1AA358FA" w14:textId="77777777" w:rsidR="007806DE" w:rsidRPr="003F264A" w:rsidRDefault="007806DE" w:rsidP="000F6998">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3F264A">
              <w:rPr>
                <w:rFonts w:eastAsia="Calibri" w:cstheme="minorHAnsi"/>
              </w:rPr>
              <w:t>1. Gaps exist in the current dataset</w:t>
            </w:r>
          </w:p>
        </w:tc>
        <w:tc>
          <w:tcPr>
            <w:tcW w:w="2553" w:type="dxa"/>
          </w:tcPr>
          <w:p w14:paraId="07991E2E" w14:textId="77777777" w:rsidR="007806DE" w:rsidRPr="003F264A" w:rsidRDefault="007806DE" w:rsidP="000F6998">
            <w:pPr>
              <w:jc w:val="both"/>
              <w:cnfStyle w:val="000000100000" w:firstRow="0" w:lastRow="0" w:firstColumn="0" w:lastColumn="0" w:oddVBand="0" w:evenVBand="0" w:oddHBand="1" w:evenHBand="0" w:firstRowFirstColumn="0" w:firstRowLastColumn="0" w:lastRowFirstColumn="0" w:lastRowLastColumn="0"/>
              <w:rPr>
                <w:rFonts w:eastAsia="Calibri" w:cstheme="minorHAnsi"/>
                <w:b/>
              </w:rPr>
            </w:pPr>
            <w:r w:rsidRPr="003F264A">
              <w:rPr>
                <w:rFonts w:eastAsia="Calibri" w:cstheme="minorHAnsi"/>
                <w:b/>
              </w:rPr>
              <w:t>2. Certain elements of reporting are burdensome on business</w:t>
            </w:r>
          </w:p>
        </w:tc>
        <w:tc>
          <w:tcPr>
            <w:tcW w:w="2298" w:type="dxa"/>
          </w:tcPr>
          <w:p w14:paraId="18277666" w14:textId="77777777" w:rsidR="007806DE" w:rsidRPr="003F264A" w:rsidRDefault="007806DE" w:rsidP="000F6998">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3F264A">
              <w:rPr>
                <w:rFonts w:eastAsia="Calibri" w:cstheme="minorHAnsi"/>
              </w:rPr>
              <w:t>3. Current regulation is not ambitious enough to drive change in achieving gender equality</w:t>
            </w:r>
          </w:p>
        </w:tc>
      </w:tr>
      <w:tr w:rsidR="007806DE" w14:paraId="6CB74ADE" w14:textId="77777777" w:rsidTr="00146267">
        <w:trPr>
          <w:trHeight w:val="676"/>
        </w:trPr>
        <w:tc>
          <w:tcPr>
            <w:cnfStyle w:val="001000000000" w:firstRow="0" w:lastRow="0" w:firstColumn="1" w:lastColumn="0" w:oddVBand="0" w:evenVBand="0" w:oddHBand="0" w:evenHBand="0" w:firstRowFirstColumn="0" w:firstRowLastColumn="0" w:lastRowFirstColumn="0" w:lastRowLastColumn="0"/>
            <w:tcW w:w="1954" w:type="dxa"/>
          </w:tcPr>
          <w:p w14:paraId="3E350BEF" w14:textId="77777777" w:rsidR="007806DE" w:rsidRPr="003F264A" w:rsidRDefault="007806DE" w:rsidP="000F6998">
            <w:pPr>
              <w:jc w:val="both"/>
              <w:rPr>
                <w:rFonts w:eastAsia="Calibri" w:cstheme="minorHAnsi"/>
              </w:rPr>
            </w:pPr>
            <w:r w:rsidRPr="003F264A">
              <w:rPr>
                <w:rFonts w:eastAsia="Calibri" w:cstheme="minorHAnsi"/>
              </w:rPr>
              <w:t>How problem addressed</w:t>
            </w:r>
          </w:p>
        </w:tc>
        <w:tc>
          <w:tcPr>
            <w:tcW w:w="2211" w:type="dxa"/>
          </w:tcPr>
          <w:p w14:paraId="14179D74" w14:textId="77777777" w:rsidR="007806DE" w:rsidRPr="003F264A" w:rsidRDefault="007806DE" w:rsidP="000F699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3F264A">
              <w:rPr>
                <w:rFonts w:eastAsia="Calibri" w:cstheme="minorHAnsi"/>
              </w:rPr>
              <w:t>n/a – problem not addressed</w:t>
            </w:r>
          </w:p>
        </w:tc>
        <w:tc>
          <w:tcPr>
            <w:tcW w:w="2553" w:type="dxa"/>
          </w:tcPr>
          <w:p w14:paraId="69002582" w14:textId="77777777" w:rsidR="007806DE" w:rsidRPr="003F264A" w:rsidRDefault="007806DE" w:rsidP="000F6998">
            <w:pPr>
              <w:jc w:val="both"/>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3F264A">
              <w:rPr>
                <w:rFonts w:eastAsia="Calibri" w:cstheme="minorHAnsi"/>
                <w:b/>
              </w:rPr>
              <w:t xml:space="preserve">Through </w:t>
            </w:r>
            <w:r w:rsidR="008D3C39" w:rsidRPr="00D90250">
              <w:rPr>
                <w:rFonts w:cstheme="minorHAnsi"/>
                <w:b/>
              </w:rPr>
              <w:t>implementing</w:t>
            </w:r>
            <w:r w:rsidR="008D3C39" w:rsidRPr="003F264A">
              <w:rPr>
                <w:rFonts w:cstheme="minorHAnsi"/>
              </w:rPr>
              <w:t xml:space="preserve"> </w:t>
            </w:r>
            <w:r w:rsidRPr="003F264A">
              <w:rPr>
                <w:rFonts w:eastAsia="Calibri" w:cstheme="minorHAnsi"/>
                <w:b/>
              </w:rPr>
              <w:t>Recommendation 4</w:t>
            </w:r>
          </w:p>
        </w:tc>
        <w:tc>
          <w:tcPr>
            <w:tcW w:w="2298" w:type="dxa"/>
          </w:tcPr>
          <w:p w14:paraId="45ABD92C" w14:textId="77777777" w:rsidR="007806DE" w:rsidRPr="003F264A" w:rsidRDefault="007806DE" w:rsidP="000F6998">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3F264A">
              <w:rPr>
                <w:rFonts w:eastAsia="Calibri" w:cstheme="minorHAnsi"/>
              </w:rPr>
              <w:t>n/a – problem not addressed</w:t>
            </w:r>
          </w:p>
        </w:tc>
      </w:tr>
    </w:tbl>
    <w:p w14:paraId="4EC01757" w14:textId="423B5C4A" w:rsidR="007806DE" w:rsidRPr="003F264A" w:rsidRDefault="007806DE" w:rsidP="000F6998">
      <w:pPr>
        <w:spacing w:line="257" w:lineRule="auto"/>
        <w:jc w:val="both"/>
        <w:rPr>
          <w:rFonts w:cstheme="minorHAnsi"/>
        </w:rPr>
      </w:pPr>
    </w:p>
    <w:p w14:paraId="3A4C45A3" w14:textId="77777777" w:rsidR="00823584" w:rsidRPr="003F264A" w:rsidRDefault="007806DE" w:rsidP="000F6998">
      <w:pPr>
        <w:spacing w:line="257" w:lineRule="auto"/>
        <w:jc w:val="both"/>
        <w:rPr>
          <w:rFonts w:eastAsia="Calibri" w:cstheme="minorHAnsi"/>
        </w:rPr>
      </w:pPr>
      <w:r w:rsidRPr="003F264A">
        <w:rPr>
          <w:rFonts w:eastAsia="Calibri" w:cstheme="minorHAnsi"/>
        </w:rPr>
        <w:t xml:space="preserve">The </w:t>
      </w:r>
      <w:r w:rsidR="00004528" w:rsidRPr="003F264A">
        <w:rPr>
          <w:rFonts w:eastAsia="Calibri" w:cstheme="minorHAnsi"/>
        </w:rPr>
        <w:t>Review consultation revealed that employers found that the aspects of the WGEA questionnaires and Workplace Profile that t</w:t>
      </w:r>
      <w:r w:rsidR="00437220" w:rsidRPr="003F264A">
        <w:rPr>
          <w:rFonts w:eastAsia="Calibri" w:cstheme="minorHAnsi"/>
        </w:rPr>
        <w:t>ake</w:t>
      </w:r>
      <w:r w:rsidR="00004528" w:rsidRPr="003F264A">
        <w:rPr>
          <w:rFonts w:eastAsia="Calibri" w:cstheme="minorHAnsi"/>
        </w:rPr>
        <w:t xml:space="preserve"> the most time are: </w:t>
      </w:r>
    </w:p>
    <w:p w14:paraId="1B1860AC" w14:textId="0D9C90D3" w:rsidR="00004528" w:rsidRPr="008E2785" w:rsidRDefault="00004528" w:rsidP="000F6998">
      <w:pPr>
        <w:pStyle w:val="ListParagraph"/>
        <w:numPr>
          <w:ilvl w:val="0"/>
          <w:numId w:val="45"/>
        </w:numPr>
        <w:spacing w:line="257" w:lineRule="auto"/>
        <w:jc w:val="both"/>
        <w:rPr>
          <w:rFonts w:eastAsia="Calibri" w:cstheme="minorHAnsi"/>
        </w:rPr>
      </w:pPr>
      <w:r w:rsidRPr="008E2785">
        <w:rPr>
          <w:rFonts w:eastAsia="Calibri" w:cstheme="minorHAnsi"/>
        </w:rPr>
        <w:t>manual calculations of reporting l</w:t>
      </w:r>
      <w:r w:rsidR="00437220" w:rsidRPr="008E2785">
        <w:rPr>
          <w:rFonts w:eastAsia="Calibri" w:cstheme="minorHAnsi"/>
        </w:rPr>
        <w:t>evels</w:t>
      </w:r>
      <w:r w:rsidRPr="008E2785">
        <w:rPr>
          <w:rFonts w:eastAsia="Calibri" w:cstheme="minorHAnsi"/>
        </w:rPr>
        <w:t xml:space="preserve"> to the CEO; </w:t>
      </w:r>
    </w:p>
    <w:p w14:paraId="114173E3" w14:textId="77777777" w:rsidR="00004528" w:rsidRPr="003F264A" w:rsidRDefault="00004528" w:rsidP="000F6998">
      <w:pPr>
        <w:pStyle w:val="ListParagraph"/>
        <w:numPr>
          <w:ilvl w:val="0"/>
          <w:numId w:val="45"/>
        </w:numPr>
        <w:spacing w:line="257" w:lineRule="auto"/>
        <w:jc w:val="both"/>
        <w:rPr>
          <w:rFonts w:eastAsia="Calibri" w:cstheme="minorHAnsi"/>
        </w:rPr>
      </w:pPr>
      <w:r w:rsidRPr="003F264A">
        <w:rPr>
          <w:rFonts w:eastAsia="Calibri" w:cstheme="minorHAnsi"/>
        </w:rPr>
        <w:t>annualising full-time equivalent salaries for part-time and casual employees; and</w:t>
      </w:r>
    </w:p>
    <w:p w14:paraId="1707974C" w14:textId="77777777" w:rsidR="00004528" w:rsidRPr="003F264A" w:rsidRDefault="00004528" w:rsidP="000F6998">
      <w:pPr>
        <w:pStyle w:val="ListParagraph"/>
        <w:numPr>
          <w:ilvl w:val="0"/>
          <w:numId w:val="45"/>
        </w:numPr>
        <w:spacing w:line="257" w:lineRule="auto"/>
        <w:jc w:val="both"/>
        <w:rPr>
          <w:rFonts w:eastAsia="Calibri" w:cstheme="minorHAnsi"/>
        </w:rPr>
      </w:pPr>
      <w:r w:rsidRPr="003F264A">
        <w:rPr>
          <w:rFonts w:eastAsia="Calibri" w:cstheme="minorHAnsi"/>
        </w:rPr>
        <w:t xml:space="preserve">calculating ‘proportions’ of their workforce. </w:t>
      </w:r>
    </w:p>
    <w:p w14:paraId="1943EB32" w14:textId="5025D41D" w:rsidR="007E6A09" w:rsidRPr="003F264A" w:rsidRDefault="00437220" w:rsidP="000F6998">
      <w:pPr>
        <w:spacing w:line="257" w:lineRule="auto"/>
        <w:jc w:val="both"/>
        <w:rPr>
          <w:rFonts w:eastAsia="Calibri" w:cstheme="minorHAnsi"/>
        </w:rPr>
      </w:pPr>
      <w:r w:rsidRPr="003F264A">
        <w:rPr>
          <w:rFonts w:eastAsia="Calibri" w:cstheme="minorHAnsi"/>
        </w:rPr>
        <w:t xml:space="preserve">An important </w:t>
      </w:r>
      <w:r w:rsidR="007E6A09" w:rsidRPr="003F264A">
        <w:rPr>
          <w:rFonts w:eastAsia="Calibri" w:cstheme="minorHAnsi"/>
        </w:rPr>
        <w:t xml:space="preserve">function of WGEA is to ‘work with employers to maximise the effectiveness of the administration of the </w:t>
      </w:r>
      <w:r w:rsidR="007806DE" w:rsidRPr="003F264A">
        <w:rPr>
          <w:rFonts w:eastAsia="Calibri" w:cstheme="minorHAnsi"/>
        </w:rPr>
        <w:t xml:space="preserve">WGE </w:t>
      </w:r>
      <w:r w:rsidR="007E6A09" w:rsidRPr="003F264A">
        <w:rPr>
          <w:rFonts w:eastAsia="Calibri" w:cstheme="minorHAnsi"/>
        </w:rPr>
        <w:t>Act, including by minimising the regulatory burden on employers’ (section 10(1)(ea) of the WGE Act).</w:t>
      </w:r>
      <w:r w:rsidR="007E6A09" w:rsidRPr="003F264A">
        <w:rPr>
          <w:rStyle w:val="FootnoteReference"/>
          <w:rFonts w:eastAsia="Calibri" w:cstheme="minorHAnsi"/>
        </w:rPr>
        <w:footnoteReference w:id="93"/>
      </w:r>
      <w:r w:rsidR="007E6A09" w:rsidRPr="003F264A">
        <w:rPr>
          <w:rFonts w:eastAsia="Calibri" w:cstheme="minorHAnsi"/>
        </w:rPr>
        <w:t xml:space="preserve"> Consultation under the Review found that several questions accounted for major ‘pain points’ for employers. Streamlining data collection will help improve the quality and accuracy of the data WGEA collects. In turn, this will enhance the data-backed insights WGEA provides to employers to help them drive change on gender equality in their workplaces.</w:t>
      </w:r>
    </w:p>
    <w:p w14:paraId="7D0D76DE" w14:textId="04681D9A" w:rsidR="00146267" w:rsidRPr="00146267" w:rsidRDefault="00146267" w:rsidP="000F6998">
      <w:pPr>
        <w:spacing w:line="257" w:lineRule="auto"/>
        <w:jc w:val="both"/>
        <w:rPr>
          <w:rFonts w:eastAsia="Calibri" w:cstheme="minorHAnsi"/>
        </w:rPr>
      </w:pPr>
      <w:r w:rsidRPr="00146267">
        <w:rPr>
          <w:rFonts w:eastAsia="Calibri" w:cstheme="minorHAnsi"/>
          <w:noProof/>
          <w:lang w:eastAsia="en-AU"/>
        </w:rPr>
        <mc:AlternateContent>
          <mc:Choice Requires="wps">
            <w:drawing>
              <wp:anchor distT="45720" distB="45720" distL="114300" distR="114300" simplePos="0" relativeHeight="251660423" behindDoc="0" locked="0" layoutInCell="1" allowOverlap="1" wp14:anchorId="436F795F" wp14:editId="076C86D2">
                <wp:simplePos x="0" y="0"/>
                <wp:positionH relativeFrom="margin">
                  <wp:align>right</wp:align>
                </wp:positionH>
                <wp:positionV relativeFrom="paragraph">
                  <wp:posOffset>494665</wp:posOffset>
                </wp:positionV>
                <wp:extent cx="5708650" cy="2456815"/>
                <wp:effectExtent l="0" t="0" r="25400"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456815"/>
                        </a:xfrm>
                        <a:prstGeom prst="rect">
                          <a:avLst/>
                        </a:prstGeom>
                        <a:solidFill>
                          <a:schemeClr val="accent1">
                            <a:lumMod val="20000"/>
                            <a:lumOff val="80000"/>
                          </a:schemeClr>
                        </a:solidFill>
                        <a:ln w="9525">
                          <a:solidFill>
                            <a:srgbClr val="000000"/>
                          </a:solidFill>
                          <a:miter lim="800000"/>
                          <a:headEnd/>
                          <a:tailEnd/>
                        </a:ln>
                      </wps:spPr>
                      <wps:txbx>
                        <w:txbxContent>
                          <w:p w14:paraId="019BBBA8" w14:textId="77777777" w:rsidR="00D073EC" w:rsidRPr="003F264A" w:rsidRDefault="00D073EC" w:rsidP="00146267">
                            <w:pPr>
                              <w:spacing w:line="257" w:lineRule="auto"/>
                              <w:jc w:val="both"/>
                              <w:rPr>
                                <w:rFonts w:eastAsia="Calibri" w:cstheme="minorHAnsi"/>
                                <w:i/>
                              </w:rPr>
                            </w:pPr>
                            <w:r w:rsidRPr="003F264A">
                              <w:rPr>
                                <w:rFonts w:eastAsia="Calibri" w:cstheme="minorHAnsi"/>
                                <w:i/>
                              </w:rPr>
                              <w:t xml:space="preserve">Amend the Workplace Gender Equality (Matters in relation to Gender Equality Indicators) Instrument 2013 (No. 1) to: </w:t>
                            </w:r>
                          </w:p>
                          <w:p w14:paraId="4E7ADC65" w14:textId="77777777" w:rsidR="00D073EC" w:rsidRPr="003F264A" w:rsidRDefault="00D073EC" w:rsidP="00146267">
                            <w:pPr>
                              <w:pStyle w:val="ListParagraph"/>
                              <w:numPr>
                                <w:ilvl w:val="0"/>
                                <w:numId w:val="9"/>
                              </w:numPr>
                              <w:spacing w:line="257" w:lineRule="auto"/>
                              <w:jc w:val="both"/>
                              <w:rPr>
                                <w:rFonts w:cstheme="minorHAnsi"/>
                                <w:i/>
                              </w:rPr>
                            </w:pPr>
                            <w:r w:rsidRPr="003F264A">
                              <w:rPr>
                                <w:rFonts w:eastAsia="Calibri" w:cstheme="minorHAnsi"/>
                                <w:i/>
                              </w:rPr>
                              <w:t>Remove the ‘reporting levels to the CEO’ question.</w:t>
                            </w:r>
                          </w:p>
                          <w:p w14:paraId="5A65F527" w14:textId="77777777" w:rsidR="00D073EC" w:rsidRPr="003F264A" w:rsidRDefault="00D073EC" w:rsidP="00146267">
                            <w:pPr>
                              <w:pStyle w:val="ListParagraph"/>
                              <w:numPr>
                                <w:ilvl w:val="0"/>
                                <w:numId w:val="9"/>
                              </w:numPr>
                              <w:spacing w:line="257" w:lineRule="auto"/>
                              <w:jc w:val="both"/>
                              <w:rPr>
                                <w:rFonts w:cstheme="minorHAnsi"/>
                                <w:i/>
                              </w:rPr>
                            </w:pPr>
                            <w:r w:rsidRPr="003F264A">
                              <w:rPr>
                                <w:rFonts w:eastAsia="Calibri" w:cstheme="minorHAnsi"/>
                                <w:i/>
                              </w:rPr>
                              <w:t xml:space="preserve">Replace ‘annualised full-time equivalent figures’ to enable relevant employers to report on actual earnings of part-time and casual employees as well as the number of hours employees are engaged. This is instead of employers providing annualised full-time equivalent figures for part-time and casual employees as currently required. </w:t>
                            </w:r>
                          </w:p>
                          <w:p w14:paraId="147ABE53" w14:textId="77777777" w:rsidR="00D073EC" w:rsidRPr="003F264A" w:rsidRDefault="00D073EC" w:rsidP="00146267">
                            <w:pPr>
                              <w:pStyle w:val="ListParagraph"/>
                              <w:numPr>
                                <w:ilvl w:val="0"/>
                                <w:numId w:val="9"/>
                              </w:numPr>
                              <w:spacing w:line="257" w:lineRule="auto"/>
                              <w:jc w:val="both"/>
                              <w:rPr>
                                <w:rFonts w:cstheme="minorHAnsi"/>
                                <w:i/>
                              </w:rPr>
                            </w:pPr>
                            <w:r w:rsidRPr="003F264A">
                              <w:rPr>
                                <w:rFonts w:eastAsia="Calibri" w:cstheme="minorHAnsi"/>
                                <w:i/>
                              </w:rPr>
                              <w:t>Replace the parental leave questions that currently ask employers to report on the ‘proportion’ of their workforce. Instead enable relevant employers to report by gender, employment status and manager/non-manager category:</w:t>
                            </w:r>
                          </w:p>
                          <w:p w14:paraId="0B3342C7" w14:textId="21CE672C" w:rsidR="00D073EC" w:rsidRPr="00146267" w:rsidRDefault="00D073EC" w:rsidP="00146267">
                            <w:pPr>
                              <w:pStyle w:val="ListParagraph"/>
                              <w:numPr>
                                <w:ilvl w:val="1"/>
                                <w:numId w:val="8"/>
                              </w:numPr>
                              <w:spacing w:line="257" w:lineRule="auto"/>
                              <w:jc w:val="both"/>
                              <w:rPr>
                                <w:rFonts w:cstheme="minorHAnsi"/>
                                <w:i/>
                              </w:rPr>
                            </w:pPr>
                            <w:r w:rsidRPr="003F264A">
                              <w:rPr>
                                <w:rFonts w:cstheme="minorHAnsi"/>
                                <w:i/>
                              </w:rPr>
                              <w:t>The number of employees with access to employer-funded paid parental leave for primary carers and for secondary carers and the eligibilit</w:t>
                            </w:r>
                            <w:r>
                              <w:rPr>
                                <w:rFonts w:cstheme="minorHAnsi"/>
                                <w:i/>
                              </w:rPr>
                              <w:t xml:space="preserve">y period for access;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F795F" id="_x0000_s1031" type="#_x0000_t202" style="position:absolute;left:0;text-align:left;margin-left:398.3pt;margin-top:38.95pt;width:449.5pt;height:193.45pt;z-index:25166042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" fillcolor="#deeaf6 [660]">
                <v:textbox>
                  <w:txbxContent>
                    <w:p w14:paraId="019BBBA8" w14:textId="77777777" w:rsidR="00D073EC" w:rsidRPr="003F264A" w:rsidRDefault="00D073EC" w:rsidP="00146267">
                      <w:pPr>
                        <w:spacing w:line="257" w:lineRule="auto"/>
                        <w:jc w:val="both"/>
                        <w:rPr>
                          <w:rFonts w:eastAsia="Calibri" w:cstheme="minorHAnsi"/>
                          <w:i/>
                        </w:rPr>
                      </w:pPr>
                      <w:r w:rsidRPr="003F264A">
                        <w:rPr>
                          <w:rFonts w:eastAsia="Calibri" w:cstheme="minorHAnsi"/>
                          <w:i/>
                        </w:rPr>
                        <w:t xml:space="preserve">Amend the Workplace Gender Equality (Matters in relation to Gender Equality Indicators) Instrument 2013 (No. 1) to: </w:t>
                      </w:r>
                    </w:p>
                    <w:p w14:paraId="4E7ADC65" w14:textId="77777777" w:rsidR="00D073EC" w:rsidRPr="003F264A" w:rsidRDefault="00D073EC" w:rsidP="00146267">
                      <w:pPr>
                        <w:pStyle w:val="ListParagraph"/>
                        <w:numPr>
                          <w:ilvl w:val="0"/>
                          <w:numId w:val="9"/>
                        </w:numPr>
                        <w:spacing w:line="257" w:lineRule="auto"/>
                        <w:jc w:val="both"/>
                        <w:rPr>
                          <w:rFonts w:cstheme="minorHAnsi"/>
                          <w:i/>
                        </w:rPr>
                      </w:pPr>
                      <w:r w:rsidRPr="003F264A">
                        <w:rPr>
                          <w:rFonts w:eastAsia="Calibri" w:cstheme="minorHAnsi"/>
                          <w:i/>
                        </w:rPr>
                        <w:t>Remove the ‘reporting levels to the CEO’ question.</w:t>
                      </w:r>
                    </w:p>
                    <w:p w14:paraId="5A65F527" w14:textId="77777777" w:rsidR="00D073EC" w:rsidRPr="003F264A" w:rsidRDefault="00D073EC" w:rsidP="00146267">
                      <w:pPr>
                        <w:pStyle w:val="ListParagraph"/>
                        <w:numPr>
                          <w:ilvl w:val="0"/>
                          <w:numId w:val="9"/>
                        </w:numPr>
                        <w:spacing w:line="257" w:lineRule="auto"/>
                        <w:jc w:val="both"/>
                        <w:rPr>
                          <w:rFonts w:cstheme="minorHAnsi"/>
                          <w:i/>
                        </w:rPr>
                      </w:pPr>
                      <w:r w:rsidRPr="003F264A">
                        <w:rPr>
                          <w:rFonts w:eastAsia="Calibri" w:cstheme="minorHAnsi"/>
                          <w:i/>
                        </w:rPr>
                        <w:t xml:space="preserve">Replace ‘annualised full-time equivalent figures’ to enable relevant employers to report on actual earnings of part-time and casual employees as well as the number of hours employees are engaged. This is instead of employers providing annualised full-time equivalent figures for part-time and casual employees as currently required. </w:t>
                      </w:r>
                    </w:p>
                    <w:p w14:paraId="147ABE53" w14:textId="77777777" w:rsidR="00D073EC" w:rsidRPr="003F264A" w:rsidRDefault="00D073EC" w:rsidP="00146267">
                      <w:pPr>
                        <w:pStyle w:val="ListParagraph"/>
                        <w:numPr>
                          <w:ilvl w:val="0"/>
                          <w:numId w:val="9"/>
                        </w:numPr>
                        <w:spacing w:line="257" w:lineRule="auto"/>
                        <w:jc w:val="both"/>
                        <w:rPr>
                          <w:rFonts w:cstheme="minorHAnsi"/>
                          <w:i/>
                        </w:rPr>
                      </w:pPr>
                      <w:r w:rsidRPr="003F264A">
                        <w:rPr>
                          <w:rFonts w:eastAsia="Calibri" w:cstheme="minorHAnsi"/>
                          <w:i/>
                        </w:rPr>
                        <w:t>Replace the parental leave questions that currently ask employers to report on the ‘proportion’ of their workforce. Instead enable relevant employers to report by gender, employment status and manager/non-manager category:</w:t>
                      </w:r>
                    </w:p>
                    <w:p w14:paraId="0B3342C7" w14:textId="21CE672C" w:rsidR="00D073EC" w:rsidRPr="00146267" w:rsidRDefault="00D073EC" w:rsidP="00146267">
                      <w:pPr>
                        <w:pStyle w:val="ListParagraph"/>
                        <w:numPr>
                          <w:ilvl w:val="1"/>
                          <w:numId w:val="8"/>
                        </w:numPr>
                        <w:spacing w:line="257" w:lineRule="auto"/>
                        <w:jc w:val="both"/>
                        <w:rPr>
                          <w:rFonts w:cstheme="minorHAnsi"/>
                          <w:i/>
                        </w:rPr>
                      </w:pPr>
                      <w:r w:rsidRPr="003F264A">
                        <w:rPr>
                          <w:rFonts w:cstheme="minorHAnsi"/>
                          <w:i/>
                        </w:rPr>
                        <w:t>The number of employees with access to employer-funded paid parental leave for primary carers and for secondary carers and the eligibilit</w:t>
                      </w:r>
                      <w:r>
                        <w:rPr>
                          <w:rFonts w:cstheme="minorHAnsi"/>
                          <w:i/>
                        </w:rPr>
                        <w:t xml:space="preserve">y period for access; </w:t>
                      </w:r>
                    </w:p>
                  </w:txbxContent>
                </v:textbox>
                <w10:wrap type="square" anchorx="margin"/>
              </v:shape>
            </w:pict>
          </mc:Fallback>
        </mc:AlternateContent>
      </w:r>
      <w:r w:rsidR="00004528" w:rsidRPr="003F264A">
        <w:rPr>
          <w:rFonts w:eastAsia="Calibri" w:cstheme="minorHAnsi"/>
        </w:rPr>
        <w:t xml:space="preserve">Option 2 directly addresses these concerns by implementing Recommendation 4 of the WGEA Review. Recommendation 4 recommends that the Government:  </w:t>
      </w:r>
    </w:p>
    <w:p w14:paraId="384BFEDC" w14:textId="674FD78F" w:rsidR="005E03B3" w:rsidRPr="003F264A" w:rsidRDefault="005E03B3" w:rsidP="000F6998">
      <w:pPr>
        <w:spacing w:line="257" w:lineRule="auto"/>
        <w:jc w:val="both"/>
        <w:rPr>
          <w:rFonts w:eastAsia="Calibri" w:cstheme="minorHAnsi"/>
          <w:b/>
        </w:rPr>
      </w:pPr>
      <w:r w:rsidRPr="003F264A">
        <w:rPr>
          <w:rFonts w:eastAsia="Calibri" w:cstheme="minorHAnsi"/>
          <w:b/>
        </w:rPr>
        <w:t>Recommendation 4.1.a</w:t>
      </w:r>
    </w:p>
    <w:p w14:paraId="567D1DC1" w14:textId="38DF7BFE" w:rsidR="00004528" w:rsidRPr="003F264A" w:rsidRDefault="00004528" w:rsidP="000F6998">
      <w:pPr>
        <w:spacing w:line="257" w:lineRule="auto"/>
        <w:jc w:val="both"/>
        <w:rPr>
          <w:rFonts w:eastAsia="Calibri" w:cstheme="minorHAnsi"/>
        </w:rPr>
      </w:pPr>
      <w:r w:rsidRPr="003F264A">
        <w:rPr>
          <w:rFonts w:eastAsia="Calibri" w:cstheme="minorHAnsi"/>
        </w:rPr>
        <w:t>Removing the ‘reporting levels to the CEO’ question removes a major source of reporting burden for employers. Employers were highly critical of this question saying it required substantial interpreting and manual checking for accuracy. WGEA confirmed that the question effectively duplicates the ‘manager questions’ asked by WGEA. WGEA advised that removing the ‘reporting levels to CEO’ question will not diminish the gender data collected by WGEA as they obtain similar information through the ‘manager questions’ employers report on.</w:t>
      </w:r>
      <w:r w:rsidR="00FB4144">
        <w:rPr>
          <w:rFonts w:eastAsia="Calibri" w:cstheme="minorHAnsi"/>
        </w:rPr>
        <w:t xml:space="preserve"> </w:t>
      </w:r>
    </w:p>
    <w:p w14:paraId="18EB5B2B" w14:textId="77777777" w:rsidR="005E03B3" w:rsidRPr="003F264A" w:rsidRDefault="005E03B3" w:rsidP="000F6998">
      <w:pPr>
        <w:spacing w:line="257" w:lineRule="auto"/>
        <w:jc w:val="both"/>
        <w:rPr>
          <w:rFonts w:eastAsia="Calibri" w:cstheme="minorHAnsi"/>
          <w:b/>
        </w:rPr>
      </w:pPr>
      <w:r w:rsidRPr="003F264A">
        <w:rPr>
          <w:rFonts w:eastAsia="Calibri" w:cstheme="minorHAnsi"/>
          <w:b/>
        </w:rPr>
        <w:t>Recommendation 4.1.b</w:t>
      </w:r>
      <w:r w:rsidR="00573CFB" w:rsidRPr="003F264A">
        <w:rPr>
          <w:rFonts w:eastAsia="Calibri" w:cstheme="minorHAnsi"/>
          <w:b/>
        </w:rPr>
        <w:t xml:space="preserve"> and 4.1.c</w:t>
      </w:r>
    </w:p>
    <w:p w14:paraId="1815433C" w14:textId="1CCB97B1" w:rsidR="00A34C3E" w:rsidRPr="003F264A" w:rsidRDefault="005E03B3" w:rsidP="000F6998">
      <w:pPr>
        <w:spacing w:line="257" w:lineRule="auto"/>
        <w:jc w:val="both"/>
        <w:rPr>
          <w:rFonts w:eastAsia="Calibri" w:cstheme="minorHAnsi"/>
        </w:rPr>
      </w:pPr>
      <w:r w:rsidRPr="003F264A">
        <w:rPr>
          <w:rFonts w:eastAsia="Calibri" w:cstheme="minorHAnsi"/>
        </w:rPr>
        <w:t xml:space="preserve">Altering the reporting obligations to require employers to report on casual and part-time actual hours, rather than on annualised full-time equivalent figures will also relieve a source </w:t>
      </w:r>
      <w:r w:rsidR="00CD71F6">
        <w:rPr>
          <w:rFonts w:eastAsia="Calibri" w:cstheme="minorHAnsi"/>
        </w:rPr>
        <w:t>reporting burden</w:t>
      </w:r>
      <w:r w:rsidRPr="003F264A">
        <w:rPr>
          <w:rFonts w:eastAsia="Calibri" w:cstheme="minorHAnsi"/>
        </w:rPr>
        <w:t xml:space="preserve"> for employers. This calculation is often complicated for employers to conduct. By having employers report actual hours, WGEA can perform the calculations in-house thereby increasing </w:t>
      </w:r>
      <w:r w:rsidR="00437220" w:rsidRPr="003F264A">
        <w:rPr>
          <w:rFonts w:eastAsia="Calibri" w:cstheme="minorHAnsi"/>
        </w:rPr>
        <w:t xml:space="preserve">the </w:t>
      </w:r>
      <w:r w:rsidRPr="003F264A">
        <w:rPr>
          <w:rFonts w:eastAsia="Calibri" w:cstheme="minorHAnsi"/>
        </w:rPr>
        <w:t xml:space="preserve">accuracy of </w:t>
      </w:r>
      <w:r w:rsidR="00437220" w:rsidRPr="003F264A">
        <w:rPr>
          <w:rFonts w:eastAsia="Calibri" w:cstheme="minorHAnsi"/>
        </w:rPr>
        <w:t xml:space="preserve">the </w:t>
      </w:r>
      <w:r w:rsidR="00DA37F3" w:rsidRPr="003F264A">
        <w:rPr>
          <w:rFonts w:eastAsia="Calibri" w:cstheme="minorHAnsi"/>
        </w:rPr>
        <w:t xml:space="preserve">derived </w:t>
      </w:r>
      <w:r w:rsidRPr="003F264A">
        <w:rPr>
          <w:rFonts w:eastAsia="Calibri" w:cstheme="minorHAnsi"/>
        </w:rPr>
        <w:t xml:space="preserve">data. Option 2 </w:t>
      </w:r>
      <w:r w:rsidR="00577A93" w:rsidRPr="003F264A">
        <w:rPr>
          <w:rFonts w:eastAsia="Calibri" w:cstheme="minorHAnsi"/>
        </w:rPr>
        <w:t xml:space="preserve">will </w:t>
      </w:r>
      <w:r w:rsidRPr="003F264A">
        <w:rPr>
          <w:rFonts w:eastAsia="Calibri" w:cstheme="minorHAnsi"/>
        </w:rPr>
        <w:t xml:space="preserve">also </w:t>
      </w:r>
      <w:r w:rsidR="00577A93" w:rsidRPr="003F264A">
        <w:rPr>
          <w:rFonts w:eastAsia="Calibri" w:cstheme="minorHAnsi"/>
        </w:rPr>
        <w:t xml:space="preserve">replace </w:t>
      </w:r>
      <w:r w:rsidRPr="003F264A">
        <w:rPr>
          <w:rFonts w:eastAsia="Calibri" w:cstheme="minorHAnsi"/>
        </w:rPr>
        <w:t>the ‘proportion’ of the workforce questions</w:t>
      </w:r>
      <w:r w:rsidR="001D07A7" w:rsidRPr="003F264A">
        <w:rPr>
          <w:rFonts w:eastAsia="Calibri" w:cstheme="minorHAnsi"/>
        </w:rPr>
        <w:t xml:space="preserve"> in relation to parental leave</w:t>
      </w:r>
      <w:r w:rsidRPr="003F264A">
        <w:rPr>
          <w:rFonts w:eastAsia="Calibri" w:cstheme="minorHAnsi"/>
        </w:rPr>
        <w:t xml:space="preserve"> with a simpler requirement to report on ‘numbers’ of the workforce with access to parental leave. This change w</w:t>
      </w:r>
      <w:r w:rsidR="00C8652C" w:rsidRPr="003F264A">
        <w:rPr>
          <w:rFonts w:eastAsia="Calibri" w:cstheme="minorHAnsi"/>
        </w:rPr>
        <w:t>ill</w:t>
      </w:r>
      <w:r w:rsidRPr="003F264A">
        <w:rPr>
          <w:rFonts w:eastAsia="Calibri" w:cstheme="minorHAnsi"/>
        </w:rPr>
        <w:t xml:space="preserve"> also mean employers are able to report a simpler figure, allowing WGEA to calculate the proportion themselves</w:t>
      </w:r>
      <w:r w:rsidR="00C8652C" w:rsidRPr="003F264A">
        <w:rPr>
          <w:rFonts w:eastAsia="Calibri" w:cstheme="minorHAnsi"/>
        </w:rPr>
        <w:t>,</w:t>
      </w:r>
      <w:r w:rsidRPr="003F264A">
        <w:rPr>
          <w:rFonts w:eastAsia="Calibri" w:cstheme="minorHAnsi"/>
        </w:rPr>
        <w:t xml:space="preserve"> thereby increasing the accuracy of the dataset</w:t>
      </w:r>
      <w:r w:rsidR="001D07A7" w:rsidRPr="003F264A">
        <w:rPr>
          <w:rFonts w:eastAsia="Calibri" w:cstheme="minorHAnsi"/>
        </w:rPr>
        <w:t xml:space="preserve"> in relation to parental leave statistics</w:t>
      </w:r>
      <w:r w:rsidRPr="003F264A">
        <w:rPr>
          <w:rFonts w:eastAsia="Calibri" w:cstheme="minorHAnsi"/>
        </w:rPr>
        <w:t>.</w:t>
      </w:r>
    </w:p>
    <w:p w14:paraId="02C11AA2" w14:textId="0738EA8F" w:rsidR="00D423D2" w:rsidRPr="003F264A" w:rsidRDefault="00D423D2" w:rsidP="000F6998">
      <w:pPr>
        <w:pStyle w:val="Heading2"/>
        <w:jc w:val="both"/>
        <w:rPr>
          <w:rFonts w:asciiTheme="minorHAnsi" w:hAnsiTheme="minorHAnsi" w:cstheme="minorHAnsi"/>
        </w:rPr>
      </w:pPr>
      <w:bookmarkStart w:id="48" w:name="_Toc118794728"/>
      <w:bookmarkStart w:id="49" w:name="_Toc125714703"/>
      <w:r w:rsidRPr="003F264A">
        <w:rPr>
          <w:rFonts w:asciiTheme="minorHAnsi" w:hAnsiTheme="minorHAnsi" w:cstheme="minorHAnsi"/>
        </w:rPr>
        <w:t>5.2.</w:t>
      </w:r>
      <w:r w:rsidR="00B47D88" w:rsidRPr="003F264A">
        <w:rPr>
          <w:rFonts w:asciiTheme="minorHAnsi" w:hAnsiTheme="minorHAnsi" w:cstheme="minorHAnsi"/>
        </w:rPr>
        <w:t>2</w:t>
      </w:r>
      <w:r w:rsidRPr="003F264A">
        <w:rPr>
          <w:rFonts w:asciiTheme="minorHAnsi" w:hAnsiTheme="minorHAnsi" w:cstheme="minorHAnsi"/>
        </w:rPr>
        <w:t xml:space="preserve"> What does </w:t>
      </w:r>
      <w:r w:rsidR="00C15586" w:rsidRPr="003F264A">
        <w:rPr>
          <w:rFonts w:asciiTheme="minorHAnsi" w:hAnsiTheme="minorHAnsi" w:cstheme="minorHAnsi"/>
        </w:rPr>
        <w:t>Option 2</w:t>
      </w:r>
      <w:r w:rsidRPr="003F264A">
        <w:rPr>
          <w:rFonts w:asciiTheme="minorHAnsi" w:hAnsiTheme="minorHAnsi" w:cstheme="minorHAnsi"/>
        </w:rPr>
        <w:t xml:space="preserve"> look like for impacted stakeholders?</w:t>
      </w:r>
      <w:bookmarkEnd w:id="48"/>
      <w:bookmarkEnd w:id="49"/>
    </w:p>
    <w:p w14:paraId="4527776B" w14:textId="606B06D9" w:rsidR="00D423D2" w:rsidRPr="003F264A" w:rsidRDefault="00D423D2" w:rsidP="000F6998">
      <w:pPr>
        <w:spacing w:line="257" w:lineRule="auto"/>
        <w:jc w:val="both"/>
        <w:rPr>
          <w:rFonts w:eastAsia="Calibri" w:cstheme="minorHAnsi"/>
        </w:rPr>
      </w:pPr>
      <w:r w:rsidRPr="003F264A">
        <w:rPr>
          <w:rFonts w:eastAsia="Calibri" w:cstheme="minorHAnsi"/>
        </w:rPr>
        <w:t xml:space="preserve">Recommendation 4 requires changes be made to the </w:t>
      </w:r>
      <w:r w:rsidRPr="003F264A">
        <w:rPr>
          <w:rFonts w:eastAsia="Calibri" w:cstheme="minorHAnsi"/>
          <w:i/>
        </w:rPr>
        <w:t>Workplace Gender Equality (Matters in relation to Gender Equality Indicators) Instrument 2013 (No. 1)</w:t>
      </w:r>
      <w:r w:rsidRPr="003F264A">
        <w:rPr>
          <w:rFonts w:eastAsia="Calibri" w:cstheme="minorHAnsi"/>
        </w:rPr>
        <w:t>. Section 13(4) of the WGE Act contains information on relevant notice periods.</w:t>
      </w:r>
      <w:r w:rsidRPr="003F264A">
        <w:rPr>
          <w:rStyle w:val="FootnoteReference"/>
          <w:rFonts w:eastAsia="Calibri" w:cstheme="minorHAnsi"/>
        </w:rPr>
        <w:footnoteReference w:id="94"/>
      </w:r>
      <w:r w:rsidRPr="003F264A">
        <w:rPr>
          <w:rFonts w:eastAsia="Calibri" w:cstheme="minorHAnsi"/>
        </w:rPr>
        <w:t xml:space="preserve"> A legislative change to an associated ins</w:t>
      </w:r>
      <w:r w:rsidR="00C458F7" w:rsidRPr="003F264A">
        <w:rPr>
          <w:rFonts w:eastAsia="Calibri" w:cstheme="minorHAnsi"/>
        </w:rPr>
        <w:t>trument of the WGE Act is required to be made before the</w:t>
      </w:r>
      <w:r w:rsidR="008E2D1B" w:rsidRPr="003F264A">
        <w:rPr>
          <w:rFonts w:eastAsia="Calibri" w:cstheme="minorHAnsi"/>
        </w:rPr>
        <w:t xml:space="preserve"> </w:t>
      </w:r>
      <w:r w:rsidR="00C458F7" w:rsidRPr="003F264A">
        <w:rPr>
          <w:rFonts w:eastAsia="Calibri" w:cstheme="minorHAnsi"/>
        </w:rPr>
        <w:t xml:space="preserve">start of the reporting period, effectively providing the employer with one year’s notice before reporting is due. This </w:t>
      </w:r>
      <w:r w:rsidR="008A73EB">
        <w:rPr>
          <w:rFonts w:eastAsia="Calibri" w:cstheme="minorHAnsi"/>
        </w:rPr>
        <w:t>will</w:t>
      </w:r>
      <w:r w:rsidR="008A73EB" w:rsidRPr="003F264A">
        <w:rPr>
          <w:rFonts w:eastAsia="Calibri" w:cstheme="minorHAnsi"/>
        </w:rPr>
        <w:t xml:space="preserve"> </w:t>
      </w:r>
      <w:r w:rsidR="00C458F7" w:rsidRPr="003F264A">
        <w:rPr>
          <w:rFonts w:eastAsia="Calibri" w:cstheme="minorHAnsi"/>
        </w:rPr>
        <w:t xml:space="preserve">allow employers time to adapt and update HR systems and internal processes. </w:t>
      </w:r>
    </w:p>
    <w:p w14:paraId="161D110D" w14:textId="395AA2EB" w:rsidR="00D423D2" w:rsidRPr="003F264A" w:rsidRDefault="00D423D2" w:rsidP="000F6998">
      <w:pPr>
        <w:spacing w:line="257" w:lineRule="auto"/>
        <w:jc w:val="both"/>
        <w:rPr>
          <w:rFonts w:eastAsia="Calibri" w:cstheme="minorHAnsi"/>
        </w:rPr>
      </w:pPr>
      <w:r w:rsidRPr="003F264A">
        <w:rPr>
          <w:rFonts w:eastAsia="Calibri" w:cstheme="minorHAnsi"/>
        </w:rPr>
        <w:t xml:space="preserve">Current anticipated scheduling would aim for instrument changes to be made in early 2023. This would mean mandatory changes to reporting would come into effect in 2024, covering data from the 2023-2024 reporting period. </w:t>
      </w:r>
    </w:p>
    <w:p w14:paraId="7423EDA5" w14:textId="167592B6" w:rsidR="00D423D2" w:rsidRPr="003F264A" w:rsidRDefault="00D423D2" w:rsidP="000F6998">
      <w:pPr>
        <w:spacing w:line="257" w:lineRule="auto"/>
        <w:jc w:val="both"/>
        <w:rPr>
          <w:rFonts w:eastAsia="Calibri" w:cstheme="minorHAnsi"/>
        </w:rPr>
      </w:pPr>
      <w:r w:rsidRPr="003F264A">
        <w:rPr>
          <w:rFonts w:eastAsia="Calibri" w:cstheme="minorHAnsi"/>
        </w:rPr>
        <w:t xml:space="preserve">Option 2 would not require any extra </w:t>
      </w:r>
      <w:r w:rsidR="007E6A09" w:rsidRPr="003F264A">
        <w:rPr>
          <w:rFonts w:eastAsia="Calibri" w:cstheme="minorHAnsi"/>
        </w:rPr>
        <w:t>work</w:t>
      </w:r>
      <w:r w:rsidRPr="003F264A">
        <w:rPr>
          <w:rFonts w:eastAsia="Calibri" w:cstheme="minorHAnsi"/>
        </w:rPr>
        <w:t xml:space="preserve"> from employers and would, in fact, reduce their workload.  </w:t>
      </w:r>
      <w:r w:rsidR="00C8652C" w:rsidRPr="003F264A">
        <w:rPr>
          <w:rFonts w:eastAsia="Calibri" w:cstheme="minorHAnsi"/>
        </w:rPr>
        <w:t xml:space="preserve">No internal changes would be required for organisations to report data via </w:t>
      </w:r>
      <w:r w:rsidR="003F4C15" w:rsidRPr="003F264A">
        <w:rPr>
          <w:rFonts w:eastAsia="Calibri" w:cstheme="minorHAnsi"/>
        </w:rPr>
        <w:t>(</w:t>
      </w:r>
      <w:r w:rsidR="00573CFB" w:rsidRPr="003F264A">
        <w:rPr>
          <w:rFonts w:eastAsia="Calibri" w:cstheme="minorHAnsi"/>
        </w:rPr>
        <w:t xml:space="preserve">b) </w:t>
      </w:r>
      <w:r w:rsidR="003F4C15" w:rsidRPr="003F264A">
        <w:rPr>
          <w:rFonts w:eastAsia="Calibri" w:cstheme="minorHAnsi"/>
        </w:rPr>
        <w:t xml:space="preserve">‘annualised full-time’ </w:t>
      </w:r>
      <w:r w:rsidR="00573CFB" w:rsidRPr="003F264A">
        <w:rPr>
          <w:rFonts w:eastAsia="Calibri" w:cstheme="minorHAnsi"/>
        </w:rPr>
        <w:t xml:space="preserve">and </w:t>
      </w:r>
      <w:r w:rsidR="003F4C15" w:rsidRPr="003F264A">
        <w:rPr>
          <w:rFonts w:eastAsia="Calibri" w:cstheme="minorHAnsi"/>
        </w:rPr>
        <w:t>(</w:t>
      </w:r>
      <w:r w:rsidR="00573CFB" w:rsidRPr="003F264A">
        <w:rPr>
          <w:rFonts w:eastAsia="Calibri" w:cstheme="minorHAnsi"/>
        </w:rPr>
        <w:t>c)</w:t>
      </w:r>
      <w:r w:rsidR="003F4C15" w:rsidRPr="003F264A">
        <w:rPr>
          <w:rFonts w:eastAsia="Calibri" w:cstheme="minorHAnsi"/>
        </w:rPr>
        <w:t xml:space="preserve"> ‘proportions’</w:t>
      </w:r>
      <w:r w:rsidR="00C8652C" w:rsidRPr="003F264A">
        <w:rPr>
          <w:rFonts w:eastAsia="Calibri" w:cstheme="minorHAnsi"/>
        </w:rPr>
        <w:t xml:space="preserve">; </w:t>
      </w:r>
      <w:r w:rsidR="00573CFB" w:rsidRPr="003F264A">
        <w:rPr>
          <w:rFonts w:eastAsia="Calibri" w:cstheme="minorHAnsi"/>
        </w:rPr>
        <w:t xml:space="preserve">businesses would be able provide the data that they already collect, </w:t>
      </w:r>
      <w:r w:rsidR="003F4C15" w:rsidRPr="003F264A">
        <w:rPr>
          <w:rFonts w:eastAsia="Calibri" w:cstheme="minorHAnsi"/>
        </w:rPr>
        <w:t>and</w:t>
      </w:r>
      <w:r w:rsidR="00573CFB" w:rsidRPr="003F264A">
        <w:rPr>
          <w:rFonts w:eastAsia="Calibri" w:cstheme="minorHAnsi"/>
        </w:rPr>
        <w:t xml:space="preserve"> in a simpler form.  </w:t>
      </w:r>
    </w:p>
    <w:p w14:paraId="2160CF8D" w14:textId="77777777" w:rsidR="004B2D21" w:rsidRPr="003F264A" w:rsidRDefault="004B2D21" w:rsidP="000F6998">
      <w:pPr>
        <w:pStyle w:val="Heading2"/>
        <w:jc w:val="both"/>
        <w:rPr>
          <w:rFonts w:asciiTheme="minorHAnsi" w:eastAsia="Calibri Light" w:hAnsiTheme="minorHAnsi" w:cstheme="minorHAnsi"/>
          <w:b/>
          <w:color w:val="4472C4" w:themeColor="accent5"/>
        </w:rPr>
      </w:pPr>
      <w:bookmarkStart w:id="50" w:name="_Toc118794729"/>
      <w:bookmarkStart w:id="51" w:name="_Toc125714704"/>
      <w:r w:rsidRPr="003F264A">
        <w:rPr>
          <w:rFonts w:asciiTheme="minorHAnsi" w:eastAsia="Calibri Light" w:hAnsiTheme="minorHAnsi" w:cstheme="minorHAnsi"/>
          <w:color w:val="4472C4" w:themeColor="accent5"/>
        </w:rPr>
        <w:t>5.3</w:t>
      </w:r>
      <w:r w:rsidRPr="003F264A">
        <w:rPr>
          <w:rFonts w:asciiTheme="minorHAnsi" w:eastAsia="Calibri Light" w:hAnsiTheme="minorHAnsi" w:cstheme="minorHAnsi"/>
          <w:b/>
          <w:color w:val="4472C4" w:themeColor="accent5"/>
        </w:rPr>
        <w:t xml:space="preserve"> </w:t>
      </w:r>
      <w:r w:rsidRPr="003F264A">
        <w:rPr>
          <w:rFonts w:asciiTheme="minorHAnsi" w:eastAsia="Calibri Light" w:hAnsiTheme="minorHAnsi" w:cstheme="minorHAnsi"/>
          <w:color w:val="4472C4" w:themeColor="accent5"/>
        </w:rPr>
        <w:t xml:space="preserve">Option 3: Improve WGEA reporting processes for businesses and taking further action </w:t>
      </w:r>
      <w:r w:rsidR="003F4C15" w:rsidRPr="003F264A">
        <w:rPr>
          <w:rFonts w:asciiTheme="minorHAnsi" w:eastAsia="Calibri Light" w:hAnsiTheme="minorHAnsi" w:cstheme="minorHAnsi"/>
          <w:color w:val="4472C4" w:themeColor="accent5"/>
        </w:rPr>
        <w:t xml:space="preserve">to </w:t>
      </w:r>
      <w:r w:rsidRPr="003F264A">
        <w:rPr>
          <w:rFonts w:asciiTheme="minorHAnsi" w:eastAsia="Calibri Light" w:hAnsiTheme="minorHAnsi" w:cstheme="minorHAnsi"/>
          <w:color w:val="4472C4" w:themeColor="accent5"/>
        </w:rPr>
        <w:t>drive accelerated change in Australian workplaces</w:t>
      </w:r>
      <w:bookmarkEnd w:id="50"/>
      <w:bookmarkEnd w:id="51"/>
    </w:p>
    <w:p w14:paraId="1A070A66" w14:textId="0A905AC6" w:rsidR="00477265" w:rsidRPr="003F264A" w:rsidRDefault="004B2D21" w:rsidP="000F6998">
      <w:pPr>
        <w:spacing w:line="257" w:lineRule="auto"/>
        <w:jc w:val="both"/>
        <w:rPr>
          <w:rFonts w:eastAsia="Calibri" w:cstheme="minorHAnsi"/>
        </w:rPr>
      </w:pPr>
      <w:r w:rsidRPr="003F264A">
        <w:rPr>
          <w:rFonts w:eastAsia="Calibri" w:cstheme="minorHAnsi"/>
        </w:rPr>
        <w:t>Option 3 builds on the changes introduced in Option 2, but is much more ambitious in its scope</w:t>
      </w:r>
      <w:r w:rsidR="00477265" w:rsidRPr="003F264A">
        <w:rPr>
          <w:rFonts w:eastAsia="Calibri" w:cstheme="minorHAnsi"/>
        </w:rPr>
        <w:t xml:space="preserve">. </w:t>
      </w:r>
      <w:r w:rsidRPr="003F264A">
        <w:rPr>
          <w:rFonts w:eastAsia="Calibri" w:cstheme="minorHAnsi"/>
        </w:rPr>
        <w:t>Option</w:t>
      </w:r>
      <w:r w:rsidR="009C4703">
        <w:rPr>
          <w:rFonts w:eastAsia="Calibri" w:cstheme="minorHAnsi"/>
        </w:rPr>
        <w:t> </w:t>
      </w:r>
      <w:r w:rsidRPr="003F264A">
        <w:rPr>
          <w:rFonts w:eastAsia="Calibri" w:cstheme="minorHAnsi"/>
        </w:rPr>
        <w:t>3 implement</w:t>
      </w:r>
      <w:r w:rsidR="00ED62E5" w:rsidRPr="003F264A">
        <w:rPr>
          <w:rFonts w:eastAsia="Calibri" w:cstheme="minorHAnsi"/>
        </w:rPr>
        <w:t>s</w:t>
      </w:r>
      <w:r w:rsidRPr="003F264A">
        <w:rPr>
          <w:rFonts w:eastAsia="Calibri" w:cstheme="minorHAnsi"/>
        </w:rPr>
        <w:t xml:space="preserve"> </w:t>
      </w:r>
      <w:r w:rsidR="00517ED7" w:rsidRPr="003F264A">
        <w:rPr>
          <w:rFonts w:eastAsia="Calibri" w:cstheme="minorHAnsi"/>
        </w:rPr>
        <w:t>Recommendation</w:t>
      </w:r>
      <w:r w:rsidRPr="003F264A">
        <w:rPr>
          <w:rFonts w:eastAsia="Calibri" w:cstheme="minorHAnsi"/>
        </w:rPr>
        <w:t>s 2,</w:t>
      </w:r>
      <w:r w:rsidR="0013324D" w:rsidRPr="003F264A">
        <w:rPr>
          <w:rFonts w:eastAsia="Calibri" w:cstheme="minorHAnsi"/>
        </w:rPr>
        <w:t xml:space="preserve"> </w:t>
      </w:r>
      <w:r w:rsidRPr="003F264A">
        <w:rPr>
          <w:rFonts w:eastAsia="Calibri" w:cstheme="minorHAnsi"/>
        </w:rPr>
        <w:t>3</w:t>
      </w:r>
      <w:r w:rsidR="00077EFE" w:rsidRPr="003F264A">
        <w:rPr>
          <w:rFonts w:eastAsia="Calibri" w:cstheme="minorHAnsi"/>
        </w:rPr>
        <w:t>, 4</w:t>
      </w:r>
      <w:r w:rsidRPr="003F264A">
        <w:rPr>
          <w:rFonts w:eastAsia="Calibri" w:cstheme="minorHAnsi"/>
        </w:rPr>
        <w:t xml:space="preserve"> and 7</w:t>
      </w:r>
      <w:r w:rsidR="0082438E" w:rsidRPr="003F264A">
        <w:rPr>
          <w:rFonts w:eastAsia="Calibri" w:cstheme="minorHAnsi"/>
        </w:rPr>
        <w:t xml:space="preserve"> of the Review</w:t>
      </w:r>
      <w:r w:rsidR="00477265" w:rsidRPr="003F264A">
        <w:rPr>
          <w:rFonts w:eastAsia="Calibri" w:cstheme="minorHAnsi"/>
        </w:rPr>
        <w:t xml:space="preserve">. As Recommendation 4 is set out above, this section of the </w:t>
      </w:r>
      <w:r w:rsidR="00CF5067">
        <w:rPr>
          <w:rFonts w:cstheme="minorHAnsi"/>
          <w:lang w:val="en-GB"/>
        </w:rPr>
        <w:t>IA</w:t>
      </w:r>
      <w:r w:rsidR="00477265" w:rsidRPr="003F264A">
        <w:rPr>
          <w:rFonts w:eastAsia="Calibri" w:cstheme="minorHAnsi"/>
        </w:rPr>
        <w:t xml:space="preserve"> will focus on </w:t>
      </w:r>
      <w:r w:rsidR="00517ED7" w:rsidRPr="003F264A">
        <w:rPr>
          <w:rFonts w:eastAsia="Calibri" w:cstheme="minorHAnsi"/>
        </w:rPr>
        <w:t>Recommendation</w:t>
      </w:r>
      <w:r w:rsidR="00477265" w:rsidRPr="003F264A">
        <w:rPr>
          <w:rFonts w:eastAsia="Calibri" w:cstheme="minorHAnsi"/>
        </w:rPr>
        <w:t>s 2,</w:t>
      </w:r>
      <w:r w:rsidR="0013324D" w:rsidRPr="003F264A">
        <w:rPr>
          <w:rFonts w:eastAsia="Calibri" w:cstheme="minorHAnsi"/>
        </w:rPr>
        <w:t xml:space="preserve"> </w:t>
      </w:r>
      <w:r w:rsidR="00477265" w:rsidRPr="003F264A">
        <w:rPr>
          <w:rFonts w:eastAsia="Calibri" w:cstheme="minorHAnsi"/>
        </w:rPr>
        <w:t>3 and 7</w:t>
      </w:r>
      <w:r w:rsidRPr="003F264A">
        <w:rPr>
          <w:rFonts w:eastAsia="Calibri" w:cstheme="minorHAnsi"/>
        </w:rPr>
        <w:t>.</w:t>
      </w:r>
      <w:r w:rsidRPr="003F264A">
        <w:rPr>
          <w:rStyle w:val="FootnoteReference"/>
          <w:rFonts w:eastAsia="Calibri" w:cstheme="minorHAnsi"/>
        </w:rPr>
        <w:footnoteReference w:id="95"/>
      </w:r>
      <w:r w:rsidRPr="003F264A">
        <w:rPr>
          <w:rFonts w:eastAsia="Calibri" w:cstheme="minorHAnsi"/>
        </w:rPr>
        <w:t xml:space="preserve"> </w:t>
      </w:r>
    </w:p>
    <w:p w14:paraId="1B26AB0C" w14:textId="289E5D68" w:rsidR="004B2D21" w:rsidRPr="003F264A" w:rsidRDefault="004B2D21" w:rsidP="000F6998">
      <w:pPr>
        <w:spacing w:line="257" w:lineRule="auto"/>
        <w:jc w:val="both"/>
        <w:rPr>
          <w:rFonts w:eastAsia="Calibri" w:cstheme="minorHAnsi"/>
        </w:rPr>
      </w:pPr>
      <w:r w:rsidRPr="003F264A">
        <w:rPr>
          <w:rFonts w:eastAsia="Calibri" w:cstheme="minorHAnsi"/>
        </w:rPr>
        <w:t>Option 3 would allow WGEA to play a more active role in helping businesses and community organisation</w:t>
      </w:r>
      <w:r w:rsidR="00937C84" w:rsidRPr="003F264A">
        <w:rPr>
          <w:rFonts w:eastAsia="Calibri" w:cstheme="minorHAnsi"/>
        </w:rPr>
        <w:t>s</w:t>
      </w:r>
      <w:r w:rsidRPr="003F264A">
        <w:rPr>
          <w:rFonts w:eastAsia="Calibri" w:cstheme="minorHAnsi"/>
        </w:rPr>
        <w:t xml:space="preserve"> to create change within their own workplaces. This option would see </w:t>
      </w:r>
      <w:r w:rsidR="00937C84" w:rsidRPr="003F264A">
        <w:rPr>
          <w:rFonts w:eastAsia="Calibri" w:cstheme="minorHAnsi"/>
        </w:rPr>
        <w:t xml:space="preserve">WGEA </w:t>
      </w:r>
      <w:r w:rsidRPr="003F264A">
        <w:rPr>
          <w:rFonts w:cstheme="minorHAnsi"/>
        </w:rPr>
        <w:t xml:space="preserve">transformed as more than an </w:t>
      </w:r>
      <w:r w:rsidR="009C4703">
        <w:rPr>
          <w:rFonts w:cstheme="minorHAnsi"/>
        </w:rPr>
        <w:t>agency</w:t>
      </w:r>
      <w:r w:rsidR="009C4703" w:rsidRPr="003F264A">
        <w:rPr>
          <w:rFonts w:cstheme="minorHAnsi"/>
        </w:rPr>
        <w:t xml:space="preserve"> </w:t>
      </w:r>
      <w:r w:rsidRPr="003F264A">
        <w:rPr>
          <w:rFonts w:cstheme="minorHAnsi"/>
        </w:rPr>
        <w:t>for data collection</w:t>
      </w:r>
      <w:r w:rsidR="009C4703">
        <w:rPr>
          <w:rFonts w:cstheme="minorHAnsi"/>
        </w:rPr>
        <w:t xml:space="preserve"> and analysis</w:t>
      </w:r>
      <w:r w:rsidRPr="003F264A">
        <w:rPr>
          <w:rFonts w:cstheme="minorHAnsi"/>
        </w:rPr>
        <w:t xml:space="preserve"> (through which incremental improvements have been observed), but as a </w:t>
      </w:r>
      <w:r w:rsidR="009C4703">
        <w:rPr>
          <w:rFonts w:cstheme="minorHAnsi"/>
        </w:rPr>
        <w:t xml:space="preserve">genuine </w:t>
      </w:r>
      <w:r w:rsidRPr="003F264A">
        <w:rPr>
          <w:rFonts w:cstheme="minorHAnsi"/>
        </w:rPr>
        <w:t xml:space="preserve">driver of change </w:t>
      </w:r>
      <w:r w:rsidR="009C4703">
        <w:rPr>
          <w:rFonts w:cstheme="minorHAnsi"/>
        </w:rPr>
        <w:t>to advance</w:t>
      </w:r>
      <w:r w:rsidR="009C4703" w:rsidRPr="003F264A">
        <w:rPr>
          <w:rFonts w:cstheme="minorHAnsi"/>
        </w:rPr>
        <w:t xml:space="preserve"> </w:t>
      </w:r>
      <w:r w:rsidRPr="003F264A">
        <w:rPr>
          <w:rFonts w:cstheme="minorHAnsi"/>
        </w:rPr>
        <w:t xml:space="preserve">gender equality. </w:t>
      </w:r>
    </w:p>
    <w:p w14:paraId="357CA37B" w14:textId="1EB74682" w:rsidR="00A21F77" w:rsidRDefault="004B2D21" w:rsidP="000F6998">
      <w:pPr>
        <w:jc w:val="both"/>
        <w:rPr>
          <w:rFonts w:eastAsia="Calibri" w:cstheme="minorHAnsi"/>
        </w:rPr>
      </w:pPr>
      <w:r w:rsidRPr="003F264A">
        <w:rPr>
          <w:rFonts w:eastAsia="Calibri" w:cstheme="minorHAnsi"/>
        </w:rPr>
        <w:t>The current approach of publishing</w:t>
      </w:r>
      <w:r w:rsidR="00286E51">
        <w:rPr>
          <w:rFonts w:eastAsia="Calibri" w:cstheme="minorHAnsi"/>
        </w:rPr>
        <w:t xml:space="preserve"> the </w:t>
      </w:r>
      <w:r w:rsidR="00823584">
        <w:rPr>
          <w:rFonts w:eastAsia="Calibri" w:cstheme="minorHAnsi"/>
        </w:rPr>
        <w:t xml:space="preserve">gender </w:t>
      </w:r>
      <w:r w:rsidR="00286E51">
        <w:rPr>
          <w:rFonts w:eastAsia="Calibri" w:cstheme="minorHAnsi"/>
        </w:rPr>
        <w:t>pay gap across the whole of the dataset as well as</w:t>
      </w:r>
      <w:r w:rsidRPr="003F264A">
        <w:rPr>
          <w:rFonts w:eastAsia="Calibri" w:cstheme="minorHAnsi"/>
        </w:rPr>
        <w:t xml:space="preserve"> aggregate industry gender pay gaps</w:t>
      </w:r>
      <w:r w:rsidR="00286E51">
        <w:rPr>
          <w:rFonts w:eastAsia="Calibri" w:cstheme="minorHAnsi"/>
        </w:rPr>
        <w:t xml:space="preserve"> as</w:t>
      </w:r>
      <w:r w:rsidRPr="003F264A">
        <w:rPr>
          <w:rFonts w:eastAsia="Calibri" w:cstheme="minorHAnsi"/>
        </w:rPr>
        <w:t xml:space="preserve"> is not creating the transparency, accountability and insights necessary to closing the gender pay gap fast enough. Gender inequality is </w:t>
      </w:r>
      <w:r w:rsidR="00191EDE">
        <w:rPr>
          <w:rFonts w:eastAsia="Calibri" w:cstheme="minorHAnsi"/>
        </w:rPr>
        <w:t xml:space="preserve">an entrenched, systemic and </w:t>
      </w:r>
      <w:r w:rsidRPr="003F264A">
        <w:rPr>
          <w:rFonts w:eastAsia="Calibri" w:cstheme="minorHAnsi"/>
        </w:rPr>
        <w:t>‘multifaceted phenomenon’</w:t>
      </w:r>
      <w:r w:rsidRPr="003F264A">
        <w:rPr>
          <w:rStyle w:val="FootnoteReference"/>
          <w:rFonts w:eastAsia="Calibri" w:cstheme="minorHAnsi"/>
        </w:rPr>
        <w:footnoteReference w:id="96"/>
      </w:r>
      <w:r w:rsidRPr="003F264A">
        <w:rPr>
          <w:rFonts w:eastAsia="Calibri" w:cstheme="minorHAnsi"/>
        </w:rPr>
        <w:t xml:space="preserve"> that requires a multi-faceted solution. Option 3 looks at this challenge to Australian society, and sets out a multi-faceted policy option to address different drivers of Australian’s gender pay gap and the current regulatory system under the WGE Act. Option</w:t>
      </w:r>
      <w:r w:rsidR="00191EDE">
        <w:rPr>
          <w:rFonts w:eastAsia="Calibri" w:cstheme="minorHAnsi"/>
        </w:rPr>
        <w:t> </w:t>
      </w:r>
      <w:r w:rsidRPr="003F264A">
        <w:rPr>
          <w:rFonts w:eastAsia="Calibri" w:cstheme="minorHAnsi"/>
        </w:rPr>
        <w:t xml:space="preserve">3 addresses all aspects of the problem as set out in Chapter </w:t>
      </w:r>
      <w:r w:rsidR="00A4702F" w:rsidRPr="003F264A">
        <w:rPr>
          <w:rFonts w:eastAsia="Calibri" w:cstheme="minorHAnsi"/>
        </w:rPr>
        <w:t>3</w:t>
      </w:r>
      <w:r w:rsidR="0013324D" w:rsidRPr="003F264A">
        <w:rPr>
          <w:rFonts w:eastAsia="Calibri" w:cstheme="minorHAnsi"/>
        </w:rPr>
        <w:t>.</w:t>
      </w:r>
    </w:p>
    <w:p w14:paraId="09988166" w14:textId="3B582BAA" w:rsidR="008E3277" w:rsidRPr="003F264A" w:rsidRDefault="009C25FC" w:rsidP="000F6998">
      <w:pPr>
        <w:pStyle w:val="Heading2"/>
        <w:jc w:val="both"/>
        <w:rPr>
          <w:rFonts w:asciiTheme="minorHAnsi" w:eastAsia="Calibri Light" w:hAnsiTheme="minorHAnsi" w:cstheme="minorHAnsi"/>
          <w:color w:val="4472C4" w:themeColor="accent5"/>
        </w:rPr>
      </w:pPr>
      <w:bookmarkStart w:id="52" w:name="_Toc118794730"/>
      <w:bookmarkStart w:id="53" w:name="_Toc125714705"/>
      <w:r>
        <w:rPr>
          <w:rFonts w:asciiTheme="minorHAnsi" w:eastAsia="Calibri Light" w:hAnsiTheme="minorHAnsi" w:cstheme="minorHAnsi"/>
          <w:color w:val="4472C4" w:themeColor="accent5"/>
        </w:rPr>
        <w:t xml:space="preserve">5.3.1 </w:t>
      </w:r>
      <w:r w:rsidR="008E3277" w:rsidRPr="003F264A">
        <w:rPr>
          <w:rFonts w:asciiTheme="minorHAnsi" w:eastAsia="Calibri Light" w:hAnsiTheme="minorHAnsi" w:cstheme="minorHAnsi"/>
          <w:color w:val="4472C4" w:themeColor="accent5"/>
        </w:rPr>
        <w:t xml:space="preserve">What elements of the problem does </w:t>
      </w:r>
      <w:r w:rsidR="00BA44F9" w:rsidRPr="003F264A">
        <w:rPr>
          <w:rFonts w:asciiTheme="minorHAnsi" w:eastAsia="Calibri Light" w:hAnsiTheme="minorHAnsi" w:cstheme="minorHAnsi"/>
          <w:color w:val="4472C4" w:themeColor="accent5"/>
        </w:rPr>
        <w:t>Option</w:t>
      </w:r>
      <w:r w:rsidR="008E3277" w:rsidRPr="003F264A">
        <w:rPr>
          <w:rFonts w:asciiTheme="minorHAnsi" w:eastAsia="Calibri Light" w:hAnsiTheme="minorHAnsi" w:cstheme="minorHAnsi"/>
          <w:color w:val="4472C4" w:themeColor="accent5"/>
        </w:rPr>
        <w:t xml:space="preserve"> 3 address?</w:t>
      </w:r>
      <w:bookmarkEnd w:id="52"/>
      <w:bookmarkEnd w:id="53"/>
    </w:p>
    <w:p w14:paraId="3AA8E61E" w14:textId="77777777" w:rsidR="002C731E" w:rsidRPr="003F264A" w:rsidRDefault="008E3277" w:rsidP="000F6998">
      <w:pPr>
        <w:spacing w:before="240" w:after="0"/>
        <w:jc w:val="both"/>
        <w:rPr>
          <w:rFonts w:eastAsia="Calibri" w:cstheme="minorHAnsi"/>
        </w:rPr>
      </w:pPr>
      <w:r w:rsidRPr="003F264A">
        <w:rPr>
          <w:rFonts w:eastAsia="Calibri" w:cstheme="minorHAnsi"/>
        </w:rPr>
        <w:t>Option 3 addresses all three elements of the problem</w:t>
      </w:r>
      <w:r w:rsidR="00823584">
        <w:rPr>
          <w:rFonts w:eastAsia="Calibri" w:cstheme="minorHAnsi"/>
        </w:rPr>
        <w:t>:</w:t>
      </w:r>
      <w:r w:rsidR="00034948" w:rsidRPr="003F264A">
        <w:rPr>
          <w:rFonts w:eastAsia="Calibri" w:cstheme="minorHAnsi"/>
        </w:rPr>
        <w:t xml:space="preserve"> </w:t>
      </w:r>
    </w:p>
    <w:tbl>
      <w:tblPr>
        <w:tblStyle w:val="GridTable5Dark-Accent5"/>
        <w:tblpPr w:leftFromText="180" w:rightFromText="180" w:vertAnchor="text" w:horzAnchor="margin" w:tblpY="375"/>
        <w:tblW w:w="0" w:type="auto"/>
        <w:tblLook w:val="04A0" w:firstRow="1" w:lastRow="0" w:firstColumn="1" w:lastColumn="0" w:noHBand="0" w:noVBand="1"/>
      </w:tblPr>
      <w:tblGrid>
        <w:gridCol w:w="1687"/>
        <w:gridCol w:w="2453"/>
        <w:gridCol w:w="2438"/>
        <w:gridCol w:w="2438"/>
      </w:tblGrid>
      <w:tr w:rsidR="0013324D" w14:paraId="5FAE3E49" w14:textId="77777777" w:rsidTr="0013324D">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9016" w:type="dxa"/>
            <w:gridSpan w:val="4"/>
            <w:vAlign w:val="center"/>
          </w:tcPr>
          <w:p w14:paraId="7C90F259" w14:textId="77777777" w:rsidR="0013324D" w:rsidRPr="003F264A" w:rsidRDefault="0013324D" w:rsidP="000F6998">
            <w:pPr>
              <w:jc w:val="both"/>
              <w:rPr>
                <w:rFonts w:eastAsia="Calibri" w:cstheme="minorHAnsi"/>
              </w:rPr>
            </w:pPr>
            <w:r w:rsidRPr="003F264A">
              <w:rPr>
                <w:rFonts w:eastAsia="Calibri" w:cstheme="minorHAnsi"/>
              </w:rPr>
              <w:t>Option 3</w:t>
            </w:r>
          </w:p>
        </w:tc>
      </w:tr>
      <w:tr w:rsidR="0013324D" w14:paraId="19D56718" w14:textId="77777777" w:rsidTr="001332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3A985D66" w14:textId="77777777" w:rsidR="0013324D" w:rsidRPr="003F264A" w:rsidRDefault="0013324D" w:rsidP="000F6998">
            <w:pPr>
              <w:jc w:val="both"/>
              <w:rPr>
                <w:rFonts w:eastAsia="Calibri" w:cstheme="minorHAnsi"/>
              </w:rPr>
            </w:pPr>
            <w:r w:rsidRPr="003F264A">
              <w:rPr>
                <w:rFonts w:eastAsia="Calibri" w:cstheme="minorHAnsi"/>
              </w:rPr>
              <w:t>Element of the problem</w:t>
            </w:r>
          </w:p>
        </w:tc>
        <w:tc>
          <w:tcPr>
            <w:tcW w:w="2453" w:type="dxa"/>
          </w:tcPr>
          <w:p w14:paraId="0243D498" w14:textId="77777777" w:rsidR="0013324D" w:rsidRPr="008E2785" w:rsidRDefault="0013324D" w:rsidP="000F6998">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8E2785">
              <w:rPr>
                <w:rFonts w:eastAsia="Calibri" w:cstheme="minorHAnsi"/>
              </w:rPr>
              <w:t>1. Gaps exist in the current dataset</w:t>
            </w:r>
          </w:p>
        </w:tc>
        <w:tc>
          <w:tcPr>
            <w:tcW w:w="2438" w:type="dxa"/>
          </w:tcPr>
          <w:p w14:paraId="7F3F8A14" w14:textId="77777777" w:rsidR="0013324D" w:rsidRPr="008E2785" w:rsidRDefault="0013324D" w:rsidP="000F6998">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8E2785">
              <w:rPr>
                <w:rFonts w:eastAsia="Calibri" w:cstheme="minorHAnsi"/>
              </w:rPr>
              <w:t>2. Certain elements of reporting are burdensome on business</w:t>
            </w:r>
          </w:p>
        </w:tc>
        <w:tc>
          <w:tcPr>
            <w:tcW w:w="2438" w:type="dxa"/>
          </w:tcPr>
          <w:p w14:paraId="43A130AE" w14:textId="77777777" w:rsidR="0013324D" w:rsidRPr="008E2785" w:rsidRDefault="0013324D" w:rsidP="000F6998">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8E2785">
              <w:rPr>
                <w:rFonts w:eastAsia="Calibri" w:cstheme="minorHAnsi"/>
              </w:rPr>
              <w:t>3. Current regulation is not ambitious enough to drive change in achieving gender equality</w:t>
            </w:r>
          </w:p>
        </w:tc>
      </w:tr>
      <w:tr w:rsidR="0013324D" w14:paraId="2DE14337" w14:textId="77777777" w:rsidTr="0013324D">
        <w:trPr>
          <w:trHeight w:val="759"/>
        </w:trPr>
        <w:tc>
          <w:tcPr>
            <w:cnfStyle w:val="001000000000" w:firstRow="0" w:lastRow="0" w:firstColumn="1" w:lastColumn="0" w:oddVBand="0" w:evenVBand="0" w:oddHBand="0" w:evenHBand="0" w:firstRowFirstColumn="0" w:firstRowLastColumn="0" w:lastRowFirstColumn="0" w:lastRowLastColumn="0"/>
            <w:tcW w:w="1687" w:type="dxa"/>
          </w:tcPr>
          <w:p w14:paraId="2AE0BC11" w14:textId="77777777" w:rsidR="0013324D" w:rsidRPr="003F264A" w:rsidRDefault="0013324D" w:rsidP="000F6998">
            <w:pPr>
              <w:jc w:val="both"/>
              <w:rPr>
                <w:rFonts w:eastAsia="Calibri" w:cstheme="minorHAnsi"/>
                <w:b w:val="0"/>
              </w:rPr>
            </w:pPr>
            <w:r w:rsidRPr="003F264A">
              <w:rPr>
                <w:rFonts w:eastAsia="Calibri" w:cstheme="minorHAnsi"/>
              </w:rPr>
              <w:t>How option addresses</w:t>
            </w:r>
          </w:p>
        </w:tc>
        <w:tc>
          <w:tcPr>
            <w:tcW w:w="2453" w:type="dxa"/>
          </w:tcPr>
          <w:p w14:paraId="0A9BA26F" w14:textId="77777777" w:rsidR="0013324D" w:rsidRPr="003F264A" w:rsidRDefault="0013324D" w:rsidP="000F6998">
            <w:pPr>
              <w:jc w:val="both"/>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3F264A">
              <w:rPr>
                <w:rFonts w:eastAsia="Calibri" w:cstheme="minorHAnsi"/>
                <w:b/>
              </w:rPr>
              <w:t>Recommendation 7</w:t>
            </w:r>
          </w:p>
        </w:tc>
        <w:tc>
          <w:tcPr>
            <w:tcW w:w="2438" w:type="dxa"/>
          </w:tcPr>
          <w:p w14:paraId="0FB33007" w14:textId="77777777" w:rsidR="0013324D" w:rsidRPr="003F264A" w:rsidRDefault="0013324D" w:rsidP="000F6998">
            <w:pPr>
              <w:jc w:val="both"/>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3F264A">
              <w:rPr>
                <w:rFonts w:eastAsia="Calibri" w:cstheme="minorHAnsi"/>
                <w:b/>
              </w:rPr>
              <w:t>Recommendation 4</w:t>
            </w:r>
          </w:p>
        </w:tc>
        <w:tc>
          <w:tcPr>
            <w:tcW w:w="2438" w:type="dxa"/>
          </w:tcPr>
          <w:p w14:paraId="68463CC1" w14:textId="77777777" w:rsidR="0013324D" w:rsidRPr="003F264A" w:rsidRDefault="0013324D" w:rsidP="000F6998">
            <w:pPr>
              <w:jc w:val="both"/>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3F264A">
              <w:rPr>
                <w:rFonts w:eastAsia="Calibri" w:cstheme="minorHAnsi"/>
                <w:b/>
              </w:rPr>
              <w:t>Recommendation 2</w:t>
            </w:r>
          </w:p>
          <w:p w14:paraId="6995AB80" w14:textId="77777777" w:rsidR="0013324D" w:rsidRPr="003F264A" w:rsidRDefault="0013324D" w:rsidP="000F6998">
            <w:pPr>
              <w:jc w:val="both"/>
              <w:cnfStyle w:val="000000000000" w:firstRow="0" w:lastRow="0" w:firstColumn="0" w:lastColumn="0" w:oddVBand="0" w:evenVBand="0" w:oddHBand="0" w:evenHBand="0" w:firstRowFirstColumn="0" w:firstRowLastColumn="0" w:lastRowFirstColumn="0" w:lastRowLastColumn="0"/>
              <w:rPr>
                <w:rFonts w:eastAsia="Calibri" w:cstheme="minorHAnsi"/>
                <w:b/>
              </w:rPr>
            </w:pPr>
            <w:r w:rsidRPr="003F264A">
              <w:rPr>
                <w:rFonts w:eastAsia="Calibri" w:cstheme="minorHAnsi"/>
                <w:b/>
              </w:rPr>
              <w:t>Recommendation 3</w:t>
            </w:r>
          </w:p>
        </w:tc>
      </w:tr>
    </w:tbl>
    <w:p w14:paraId="35DC562B" w14:textId="121A477B" w:rsidR="0013324D" w:rsidRPr="00FE5AC3" w:rsidRDefault="0013324D" w:rsidP="000F6998">
      <w:pPr>
        <w:jc w:val="both"/>
        <w:rPr>
          <w:rFonts w:cstheme="minorHAnsi"/>
        </w:rPr>
      </w:pPr>
    </w:p>
    <w:p w14:paraId="182AB03D" w14:textId="16F7875C" w:rsidR="00E871B3" w:rsidRDefault="00E871B3" w:rsidP="000F6998">
      <w:pPr>
        <w:pStyle w:val="Heading2"/>
        <w:jc w:val="both"/>
        <w:rPr>
          <w:rFonts w:asciiTheme="minorHAnsi" w:eastAsia="Calibri Light" w:hAnsiTheme="minorHAnsi" w:cstheme="minorHAnsi"/>
          <w:color w:val="4472C4" w:themeColor="accent5"/>
        </w:rPr>
      </w:pPr>
      <w:bookmarkStart w:id="54" w:name="_Toc118794731"/>
    </w:p>
    <w:p w14:paraId="60E28A82" w14:textId="268350B8" w:rsidR="004B2D21" w:rsidRPr="003F264A" w:rsidRDefault="00F81DC6" w:rsidP="000F6998">
      <w:pPr>
        <w:pStyle w:val="Heading2"/>
        <w:jc w:val="both"/>
        <w:rPr>
          <w:rFonts w:asciiTheme="minorHAnsi" w:eastAsia="Calibri Light" w:hAnsiTheme="minorHAnsi" w:cstheme="minorHAnsi"/>
          <w:i/>
          <w:color w:val="4472C4" w:themeColor="accent5"/>
        </w:rPr>
      </w:pPr>
      <w:bookmarkStart w:id="55" w:name="_Toc125714706"/>
      <w:r w:rsidRPr="003F264A">
        <w:rPr>
          <w:rFonts w:asciiTheme="minorHAnsi" w:eastAsia="Calibri Light" w:hAnsiTheme="minorHAnsi" w:cstheme="minorHAnsi"/>
          <w:color w:val="4472C4" w:themeColor="accent5"/>
        </w:rPr>
        <w:t xml:space="preserve">5.3.2 </w:t>
      </w:r>
      <w:r w:rsidR="004B2D21" w:rsidRPr="003F264A">
        <w:rPr>
          <w:rFonts w:asciiTheme="minorHAnsi" w:eastAsia="Calibri Light" w:hAnsiTheme="minorHAnsi" w:cstheme="minorHAnsi"/>
          <w:color w:val="4472C4" w:themeColor="accent5"/>
        </w:rPr>
        <w:t xml:space="preserve">How does </w:t>
      </w:r>
      <w:r w:rsidR="001107F2">
        <w:rPr>
          <w:rFonts w:asciiTheme="minorHAnsi" w:eastAsia="Calibri Light" w:hAnsiTheme="minorHAnsi" w:cstheme="minorHAnsi"/>
          <w:color w:val="4472C4" w:themeColor="accent5"/>
        </w:rPr>
        <w:t>Option 3 address element 1</w:t>
      </w:r>
      <w:r w:rsidR="004B2D21" w:rsidRPr="003F264A">
        <w:rPr>
          <w:rFonts w:asciiTheme="minorHAnsi" w:eastAsia="Calibri Light" w:hAnsiTheme="minorHAnsi" w:cstheme="minorHAnsi"/>
          <w:color w:val="4472C4" w:themeColor="accent5"/>
        </w:rPr>
        <w:t xml:space="preserve"> ‘Gaps exist in the current dataset’</w:t>
      </w:r>
      <w:r w:rsidR="00671D94" w:rsidRPr="003F264A">
        <w:rPr>
          <w:rFonts w:asciiTheme="minorHAnsi" w:eastAsia="Calibri Light" w:hAnsiTheme="minorHAnsi" w:cstheme="minorHAnsi"/>
          <w:color w:val="4472C4" w:themeColor="accent5"/>
        </w:rPr>
        <w:t xml:space="preserve"> of the problem</w:t>
      </w:r>
      <w:r w:rsidR="004B2D21" w:rsidRPr="003F264A">
        <w:rPr>
          <w:rFonts w:asciiTheme="minorHAnsi" w:eastAsia="Calibri Light" w:hAnsiTheme="minorHAnsi" w:cstheme="minorHAnsi"/>
          <w:color w:val="4472C4" w:themeColor="accent5"/>
        </w:rPr>
        <w:t>?</w:t>
      </w:r>
      <w:bookmarkEnd w:id="54"/>
      <w:bookmarkEnd w:id="55"/>
    </w:p>
    <w:p w14:paraId="6DE883BA" w14:textId="6B06B022" w:rsidR="004B2D21" w:rsidRPr="003F264A" w:rsidRDefault="008D3C39" w:rsidP="000F6998">
      <w:pPr>
        <w:jc w:val="both"/>
        <w:rPr>
          <w:rFonts w:eastAsia="Calibri" w:cstheme="minorHAnsi"/>
        </w:rPr>
      </w:pPr>
      <w:r>
        <w:rPr>
          <w:rFonts w:cstheme="minorHAnsi"/>
        </w:rPr>
        <w:t>Implementing</w:t>
      </w:r>
      <w:r w:rsidRPr="003F264A">
        <w:rPr>
          <w:rFonts w:cstheme="minorHAnsi"/>
        </w:rPr>
        <w:t xml:space="preserve"> </w:t>
      </w:r>
      <w:r w:rsidR="007B5EBD" w:rsidRPr="003F264A">
        <w:rPr>
          <w:rFonts w:eastAsia="Calibri" w:cstheme="minorHAnsi"/>
        </w:rPr>
        <w:t xml:space="preserve">Recommendation 7 under </w:t>
      </w:r>
      <w:r w:rsidR="00BA44F9" w:rsidRPr="003F264A">
        <w:rPr>
          <w:rFonts w:eastAsia="Calibri" w:cstheme="minorHAnsi"/>
        </w:rPr>
        <w:t>Option</w:t>
      </w:r>
      <w:r w:rsidR="00B92E8E" w:rsidRPr="003F264A">
        <w:rPr>
          <w:rFonts w:eastAsia="Calibri" w:cstheme="minorHAnsi"/>
        </w:rPr>
        <w:t xml:space="preserve"> 3 </w:t>
      </w:r>
      <w:r w:rsidR="007B5EBD" w:rsidRPr="003F264A">
        <w:rPr>
          <w:rFonts w:eastAsia="Calibri" w:cstheme="minorHAnsi"/>
        </w:rPr>
        <w:t xml:space="preserve">would address the gaps that exist in the current </w:t>
      </w:r>
      <w:r w:rsidR="00191EDE">
        <w:rPr>
          <w:rFonts w:eastAsia="Calibri" w:cstheme="minorHAnsi"/>
        </w:rPr>
        <w:t xml:space="preserve">WEGA </w:t>
      </w:r>
      <w:r w:rsidR="007B5EBD" w:rsidRPr="003F264A">
        <w:rPr>
          <w:rFonts w:eastAsia="Calibri" w:cstheme="minorHAnsi"/>
        </w:rPr>
        <w:t>dataset.</w:t>
      </w:r>
      <w:r w:rsidR="005F13E2">
        <w:rPr>
          <w:rFonts w:eastAsia="Calibri" w:cstheme="minorHAnsi"/>
        </w:rPr>
        <w:t xml:space="preserve"> The WGEA dataset is lacking intersectional data so the interactions between gender and other factors, such as age and primary workplace location, to contribute to the gender pay gap and workplace inequality is not understood. </w:t>
      </w:r>
      <w:r w:rsidR="007B5EBD" w:rsidRPr="003F264A">
        <w:rPr>
          <w:rFonts w:eastAsia="Calibri" w:cstheme="minorHAnsi"/>
        </w:rPr>
        <w:t xml:space="preserve"> </w:t>
      </w:r>
      <w:r w:rsidR="008A6E1A">
        <w:rPr>
          <w:rFonts w:eastAsia="Times New Roman"/>
          <w:bCs/>
          <w:lang w:val="en-US"/>
        </w:rPr>
        <w:t>Some entities volunteer additional information, however, it is expected that mandatory reporting would significantly imp</w:t>
      </w:r>
      <w:r w:rsidR="0022429C">
        <w:rPr>
          <w:rFonts w:eastAsia="Times New Roman"/>
          <w:bCs/>
          <w:lang w:val="en-US"/>
        </w:rPr>
        <w:t>rove the dataset</w:t>
      </w:r>
      <w:r w:rsidR="008A6E1A">
        <w:rPr>
          <w:rFonts w:eastAsia="Times New Roman"/>
          <w:bCs/>
          <w:lang w:val="en-US"/>
        </w:rPr>
        <w:t>.</w:t>
      </w:r>
      <w:r w:rsidR="008A6E1A" w:rsidRPr="003F264A">
        <w:rPr>
          <w:rFonts w:eastAsia="Calibri" w:cstheme="minorHAnsi"/>
        </w:rPr>
        <w:t xml:space="preserve"> </w:t>
      </w:r>
      <w:r w:rsidR="004B2D21" w:rsidRPr="003F264A">
        <w:rPr>
          <w:rFonts w:eastAsia="Calibri" w:cstheme="minorHAnsi"/>
        </w:rPr>
        <w:t>Recommendation 7 is split into three subsections</w:t>
      </w:r>
      <w:r w:rsidR="00191EDE">
        <w:rPr>
          <w:rFonts w:eastAsia="Calibri" w:cstheme="minorHAnsi"/>
        </w:rPr>
        <w:t>,</w:t>
      </w:r>
      <w:r w:rsidR="004B2D21" w:rsidRPr="003F264A">
        <w:rPr>
          <w:rFonts w:eastAsia="Calibri" w:cstheme="minorHAnsi"/>
        </w:rPr>
        <w:t xml:space="preserve"> all of which are aimed at allowing WGEA access to a more complete picture of gender inequality in Australian workplaces</w:t>
      </w:r>
      <w:r w:rsidR="00191EDE">
        <w:rPr>
          <w:rFonts w:eastAsia="Calibri" w:cstheme="minorHAnsi"/>
        </w:rPr>
        <w:t>,</w:t>
      </w:r>
      <w:r w:rsidR="004B2D21" w:rsidRPr="003F264A">
        <w:rPr>
          <w:rFonts w:eastAsia="Calibri" w:cstheme="minorHAnsi"/>
        </w:rPr>
        <w:t xml:space="preserve"> and </w:t>
      </w:r>
      <w:r w:rsidR="00077EFE" w:rsidRPr="003F264A">
        <w:rPr>
          <w:rFonts w:eastAsia="Calibri" w:cstheme="minorHAnsi"/>
        </w:rPr>
        <w:t xml:space="preserve">to </w:t>
      </w:r>
      <w:r w:rsidR="004B2D21" w:rsidRPr="003F264A">
        <w:rPr>
          <w:rFonts w:eastAsia="Calibri" w:cstheme="minorHAnsi"/>
        </w:rPr>
        <w:t xml:space="preserve">allow WGEA </w:t>
      </w:r>
      <w:r w:rsidR="00077EFE" w:rsidRPr="003F264A">
        <w:rPr>
          <w:rFonts w:eastAsia="Calibri" w:cstheme="minorHAnsi"/>
        </w:rPr>
        <w:t xml:space="preserve">to </w:t>
      </w:r>
      <w:r w:rsidR="004B2D21" w:rsidRPr="003F264A">
        <w:rPr>
          <w:rFonts w:eastAsia="Calibri" w:cstheme="minorHAnsi"/>
        </w:rPr>
        <w:t xml:space="preserve">use this dataset for analysis to support Australian employers to </w:t>
      </w:r>
      <w:r w:rsidR="00191EDE">
        <w:rPr>
          <w:rFonts w:eastAsia="Calibri" w:cstheme="minorHAnsi"/>
        </w:rPr>
        <w:t>advance</w:t>
      </w:r>
      <w:r w:rsidR="00191EDE" w:rsidRPr="003F264A">
        <w:rPr>
          <w:rFonts w:eastAsia="Calibri" w:cstheme="minorHAnsi"/>
        </w:rPr>
        <w:t xml:space="preserve"> </w:t>
      </w:r>
      <w:r w:rsidR="004B2D21" w:rsidRPr="003F264A">
        <w:rPr>
          <w:rFonts w:eastAsia="Calibri" w:cstheme="minorHAnsi"/>
        </w:rPr>
        <w:t>gender equality in their workplaces.</w:t>
      </w:r>
    </w:p>
    <w:p w14:paraId="0C1262FF" w14:textId="3DBEB675" w:rsidR="007B5EBD" w:rsidRPr="003F264A" w:rsidRDefault="007B5EBD" w:rsidP="000F6998">
      <w:pPr>
        <w:jc w:val="both"/>
        <w:rPr>
          <w:rFonts w:eastAsia="Calibri" w:cstheme="minorHAnsi"/>
          <w:b/>
        </w:rPr>
      </w:pPr>
      <w:r w:rsidRPr="003F264A">
        <w:rPr>
          <w:rFonts w:eastAsia="Calibri" w:cstheme="minorHAnsi"/>
          <w:b/>
        </w:rPr>
        <w:t>Recommendation 7.1</w:t>
      </w:r>
    </w:p>
    <w:p w14:paraId="386C7DD2" w14:textId="31108A26" w:rsidR="004B2D21" w:rsidRDefault="00146267" w:rsidP="000F6998">
      <w:pPr>
        <w:pStyle w:val="BodyText"/>
        <w:jc w:val="both"/>
        <w:rPr>
          <w:rFonts w:asciiTheme="minorHAnsi" w:hAnsiTheme="minorHAnsi" w:cstheme="minorHAnsi"/>
          <w:noProof/>
          <w:szCs w:val="22"/>
          <w:lang w:eastAsia="en-AU"/>
        </w:rPr>
      </w:pPr>
      <w:r w:rsidRPr="00146267">
        <w:rPr>
          <w:rFonts w:eastAsia="Calibri" w:cstheme="minorHAnsi"/>
          <w:noProof/>
          <w:lang w:eastAsia="en-AU"/>
        </w:rPr>
        <mc:AlternateContent>
          <mc:Choice Requires="wps">
            <w:drawing>
              <wp:anchor distT="45720" distB="45720" distL="114300" distR="114300" simplePos="0" relativeHeight="251662471" behindDoc="0" locked="0" layoutInCell="1" allowOverlap="1" wp14:anchorId="74695F17" wp14:editId="21C5687E">
                <wp:simplePos x="0" y="0"/>
                <wp:positionH relativeFrom="margin">
                  <wp:posOffset>-24130</wp:posOffset>
                </wp:positionH>
                <wp:positionV relativeFrom="paragraph">
                  <wp:posOffset>466090</wp:posOffset>
                </wp:positionV>
                <wp:extent cx="5708650" cy="2146300"/>
                <wp:effectExtent l="0" t="0" r="25400" b="2540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146300"/>
                        </a:xfrm>
                        <a:prstGeom prst="rect">
                          <a:avLst/>
                        </a:prstGeom>
                        <a:solidFill>
                          <a:schemeClr val="accent1">
                            <a:lumMod val="20000"/>
                            <a:lumOff val="80000"/>
                          </a:schemeClr>
                        </a:solidFill>
                        <a:ln w="9525">
                          <a:solidFill>
                            <a:srgbClr val="000000"/>
                          </a:solidFill>
                          <a:miter lim="800000"/>
                          <a:headEnd/>
                          <a:tailEnd/>
                        </a:ln>
                      </wps:spPr>
                      <wps:txbx>
                        <w:txbxContent>
                          <w:p w14:paraId="2A53CBDB" w14:textId="77777777" w:rsidR="00D073EC" w:rsidRPr="003F264A" w:rsidRDefault="00D073EC" w:rsidP="00146267">
                            <w:pPr>
                              <w:jc w:val="both"/>
                              <w:rPr>
                                <w:rFonts w:eastAsia="Calibri" w:cstheme="minorHAnsi"/>
                                <w:i/>
                              </w:rPr>
                            </w:pPr>
                            <w:r w:rsidRPr="003F264A">
                              <w:rPr>
                                <w:rFonts w:eastAsia="Calibri" w:cstheme="minorHAnsi"/>
                                <w:i/>
                              </w:rPr>
                              <w:t xml:space="preserve">7.1 Amend the Workplace Gender Equality (Matters in relation to Gender Equality Indicators) Instrument 2013 (No. 1) to include mandatory reporting of: </w:t>
                            </w:r>
                          </w:p>
                          <w:p w14:paraId="6BC04D66" w14:textId="77777777" w:rsidR="00D073EC" w:rsidRPr="003F264A" w:rsidRDefault="00D073EC" w:rsidP="00146267">
                            <w:pPr>
                              <w:pStyle w:val="ListParagraph"/>
                              <w:numPr>
                                <w:ilvl w:val="0"/>
                                <w:numId w:val="12"/>
                              </w:numPr>
                              <w:spacing w:line="257" w:lineRule="auto"/>
                              <w:jc w:val="both"/>
                              <w:rPr>
                                <w:rFonts w:eastAsia="Calibri" w:cstheme="minorHAnsi"/>
                                <w:i/>
                              </w:rPr>
                            </w:pPr>
                            <w:r w:rsidRPr="003F264A">
                              <w:rPr>
                                <w:rFonts w:eastAsia="Calibri" w:cstheme="minorHAnsi"/>
                                <w:i/>
                              </w:rPr>
                              <w:t xml:space="preserve">employee age (year of birth), noting many employers report voluntarily </w:t>
                            </w:r>
                          </w:p>
                          <w:p w14:paraId="4B662EC6" w14:textId="77777777" w:rsidR="00D073EC" w:rsidRPr="003F264A" w:rsidRDefault="00D073EC" w:rsidP="00146267">
                            <w:pPr>
                              <w:pStyle w:val="ListParagraph"/>
                              <w:numPr>
                                <w:ilvl w:val="0"/>
                                <w:numId w:val="12"/>
                              </w:numPr>
                              <w:spacing w:line="257" w:lineRule="auto"/>
                              <w:jc w:val="both"/>
                              <w:rPr>
                                <w:rFonts w:eastAsia="Calibri" w:cstheme="minorHAnsi"/>
                                <w:i/>
                              </w:rPr>
                            </w:pPr>
                            <w:r w:rsidRPr="003F264A">
                              <w:rPr>
                                <w:rFonts w:eastAsia="Calibri" w:cstheme="minorHAnsi"/>
                                <w:i/>
                              </w:rPr>
                              <w:t xml:space="preserve">employee’s primary workplace location, noting many employers report voluntarily </w:t>
                            </w:r>
                          </w:p>
                          <w:p w14:paraId="2A1D515A" w14:textId="77777777" w:rsidR="00D073EC" w:rsidRPr="003F264A" w:rsidRDefault="00D073EC" w:rsidP="00146267">
                            <w:pPr>
                              <w:pStyle w:val="ListParagraph"/>
                              <w:numPr>
                                <w:ilvl w:val="0"/>
                                <w:numId w:val="12"/>
                              </w:numPr>
                              <w:spacing w:line="257" w:lineRule="auto"/>
                              <w:jc w:val="both"/>
                              <w:rPr>
                                <w:rFonts w:eastAsia="Calibri" w:cstheme="minorHAnsi"/>
                                <w:i/>
                              </w:rPr>
                            </w:pPr>
                            <w:r w:rsidRPr="003F264A">
                              <w:rPr>
                                <w:rFonts w:eastAsia="Calibri" w:cstheme="minorHAnsi"/>
                                <w:i/>
                              </w:rPr>
                              <w:t xml:space="preserve">whether superannuation is paid by an employer when an employee is on paid, unpaid employer-funded and/or government-funded parental leave, noting many employers report voluntarily, and </w:t>
                            </w:r>
                          </w:p>
                          <w:p w14:paraId="41CF83BC" w14:textId="0D698C86" w:rsidR="00D073EC" w:rsidRPr="00146267" w:rsidRDefault="00D073EC" w:rsidP="00146267">
                            <w:pPr>
                              <w:pStyle w:val="ListParagraph"/>
                              <w:numPr>
                                <w:ilvl w:val="0"/>
                                <w:numId w:val="12"/>
                              </w:numPr>
                              <w:spacing w:line="257" w:lineRule="auto"/>
                              <w:jc w:val="both"/>
                              <w:rPr>
                                <w:rFonts w:eastAsia="Calibri" w:cstheme="minorHAnsi"/>
                                <w:i/>
                              </w:rPr>
                            </w:pPr>
                            <w:r w:rsidRPr="003F264A">
                              <w:rPr>
                                <w:rFonts w:eastAsia="Calibri" w:cstheme="minorHAnsi"/>
                                <w:i/>
                              </w:rPr>
                              <w:t xml:space="preserve">remuneration data for CEOs or the equivalent (individual remuneration would not be public but would be aggregated to calculate gender pay gaps and used for other remuneration analysis and insights).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95F17" id="_x0000_s1032" type="#_x0000_t202" style="position:absolute;left:0;text-align:left;margin-left:-1.9pt;margin-top:36.7pt;width:449.5pt;height:169pt;z-index:2516624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" fillcolor="#deeaf6 [660]">
                <v:textbox>
                  <w:txbxContent>
                    <w:p w14:paraId="2A53CBDB" w14:textId="77777777" w:rsidR="00D073EC" w:rsidRPr="003F264A" w:rsidRDefault="00D073EC" w:rsidP="00146267">
                      <w:pPr>
                        <w:jc w:val="both"/>
                        <w:rPr>
                          <w:rFonts w:eastAsia="Calibri" w:cstheme="minorHAnsi"/>
                          <w:i/>
                        </w:rPr>
                      </w:pPr>
                      <w:r w:rsidRPr="003F264A">
                        <w:rPr>
                          <w:rFonts w:eastAsia="Calibri" w:cstheme="minorHAnsi"/>
                          <w:i/>
                        </w:rPr>
                        <w:t xml:space="preserve">7.1 Amend the Workplace Gender Equality (Matters in relation to Gender Equality Indicators) Instrument 2013 (No. 1) to include mandatory reporting of: </w:t>
                      </w:r>
                    </w:p>
                    <w:p w14:paraId="6BC04D66" w14:textId="77777777" w:rsidR="00D073EC" w:rsidRPr="003F264A" w:rsidRDefault="00D073EC" w:rsidP="00146267">
                      <w:pPr>
                        <w:pStyle w:val="ListParagraph"/>
                        <w:numPr>
                          <w:ilvl w:val="0"/>
                          <w:numId w:val="12"/>
                        </w:numPr>
                        <w:spacing w:line="257" w:lineRule="auto"/>
                        <w:jc w:val="both"/>
                        <w:rPr>
                          <w:rFonts w:eastAsia="Calibri" w:cstheme="minorHAnsi"/>
                          <w:i/>
                        </w:rPr>
                      </w:pPr>
                      <w:r w:rsidRPr="003F264A">
                        <w:rPr>
                          <w:rFonts w:eastAsia="Calibri" w:cstheme="minorHAnsi"/>
                          <w:i/>
                        </w:rPr>
                        <w:t xml:space="preserve">employee age (year of birth), noting many employers report voluntarily </w:t>
                      </w:r>
                    </w:p>
                    <w:p w14:paraId="4B662EC6" w14:textId="77777777" w:rsidR="00D073EC" w:rsidRPr="003F264A" w:rsidRDefault="00D073EC" w:rsidP="00146267">
                      <w:pPr>
                        <w:pStyle w:val="ListParagraph"/>
                        <w:numPr>
                          <w:ilvl w:val="0"/>
                          <w:numId w:val="12"/>
                        </w:numPr>
                        <w:spacing w:line="257" w:lineRule="auto"/>
                        <w:jc w:val="both"/>
                        <w:rPr>
                          <w:rFonts w:eastAsia="Calibri" w:cstheme="minorHAnsi"/>
                          <w:i/>
                        </w:rPr>
                      </w:pPr>
                      <w:r w:rsidRPr="003F264A">
                        <w:rPr>
                          <w:rFonts w:eastAsia="Calibri" w:cstheme="minorHAnsi"/>
                          <w:i/>
                        </w:rPr>
                        <w:t xml:space="preserve">employee’s primary workplace location, noting many employers report voluntarily </w:t>
                      </w:r>
                    </w:p>
                    <w:p w14:paraId="2A1D515A" w14:textId="77777777" w:rsidR="00D073EC" w:rsidRPr="003F264A" w:rsidRDefault="00D073EC" w:rsidP="00146267">
                      <w:pPr>
                        <w:pStyle w:val="ListParagraph"/>
                        <w:numPr>
                          <w:ilvl w:val="0"/>
                          <w:numId w:val="12"/>
                        </w:numPr>
                        <w:spacing w:line="257" w:lineRule="auto"/>
                        <w:jc w:val="both"/>
                        <w:rPr>
                          <w:rFonts w:eastAsia="Calibri" w:cstheme="minorHAnsi"/>
                          <w:i/>
                        </w:rPr>
                      </w:pPr>
                      <w:r w:rsidRPr="003F264A">
                        <w:rPr>
                          <w:rFonts w:eastAsia="Calibri" w:cstheme="minorHAnsi"/>
                          <w:i/>
                        </w:rPr>
                        <w:t xml:space="preserve">whether superannuation is paid by an employer when an employee is on paid, unpaid employer-funded and/or government-funded parental leave, noting many employers report voluntarily, and </w:t>
                      </w:r>
                    </w:p>
                    <w:p w14:paraId="41CF83BC" w14:textId="0D698C86" w:rsidR="00D073EC" w:rsidRPr="00146267" w:rsidRDefault="00D073EC" w:rsidP="00146267">
                      <w:pPr>
                        <w:pStyle w:val="ListParagraph"/>
                        <w:numPr>
                          <w:ilvl w:val="0"/>
                          <w:numId w:val="12"/>
                        </w:numPr>
                        <w:spacing w:line="257" w:lineRule="auto"/>
                        <w:jc w:val="both"/>
                        <w:rPr>
                          <w:rFonts w:eastAsia="Calibri" w:cstheme="minorHAnsi"/>
                          <w:i/>
                        </w:rPr>
                      </w:pPr>
                      <w:r w:rsidRPr="003F264A">
                        <w:rPr>
                          <w:rFonts w:eastAsia="Calibri" w:cstheme="minorHAnsi"/>
                          <w:i/>
                        </w:rPr>
                        <w:t xml:space="preserve">remuneration data for CEOs or the equivalent (individual remuneration would not be public but would be aggregated to calculate gender pay gaps and used for other remuneration analysis and insights). </w:t>
                      </w:r>
                    </w:p>
                  </w:txbxContent>
                </v:textbox>
                <w10:wrap type="square" anchorx="margin"/>
              </v:shape>
            </w:pict>
          </mc:Fallback>
        </mc:AlternateContent>
      </w:r>
      <w:r w:rsidR="004B2D21" w:rsidRPr="003F264A">
        <w:rPr>
          <w:rFonts w:asciiTheme="minorHAnsi" w:hAnsiTheme="minorHAnsi" w:cstheme="minorHAnsi"/>
          <w:szCs w:val="22"/>
        </w:rPr>
        <w:t xml:space="preserve">The data collected against the GEIs makes up WGEA’s dataset. Recommendation </w:t>
      </w:r>
      <w:r w:rsidR="004B2D21" w:rsidRPr="003F264A">
        <w:rPr>
          <w:rFonts w:asciiTheme="minorHAnsi" w:eastAsia="Calibri" w:hAnsiTheme="minorHAnsi" w:cstheme="minorHAnsi"/>
          <w:szCs w:val="22"/>
        </w:rPr>
        <w:t xml:space="preserve">7.1 </w:t>
      </w:r>
      <w:r w:rsidR="00823584">
        <w:rPr>
          <w:rFonts w:asciiTheme="minorHAnsi" w:eastAsia="Calibri" w:hAnsiTheme="minorHAnsi" w:cstheme="minorHAnsi"/>
          <w:szCs w:val="22"/>
        </w:rPr>
        <w:t>will</w:t>
      </w:r>
      <w:r w:rsidR="003F4C15" w:rsidRPr="003F264A">
        <w:rPr>
          <w:rFonts w:asciiTheme="minorHAnsi" w:eastAsia="Calibri" w:hAnsiTheme="minorHAnsi" w:cstheme="minorHAnsi"/>
          <w:szCs w:val="22"/>
        </w:rPr>
        <w:t xml:space="preserve"> make</w:t>
      </w:r>
      <w:r w:rsidR="004B2D21" w:rsidRPr="003F264A">
        <w:rPr>
          <w:rFonts w:asciiTheme="minorHAnsi" w:eastAsia="Calibri" w:hAnsiTheme="minorHAnsi" w:cstheme="minorHAnsi"/>
          <w:szCs w:val="22"/>
        </w:rPr>
        <w:t xml:space="preserve"> </w:t>
      </w:r>
      <w:r w:rsidR="00191EDE">
        <w:rPr>
          <w:rFonts w:asciiTheme="minorHAnsi" w:eastAsia="Calibri" w:hAnsiTheme="minorHAnsi" w:cstheme="minorHAnsi"/>
          <w:szCs w:val="22"/>
        </w:rPr>
        <w:t xml:space="preserve">mandatory </w:t>
      </w:r>
      <w:r w:rsidR="004B2D21" w:rsidRPr="003F264A">
        <w:rPr>
          <w:rFonts w:asciiTheme="minorHAnsi" w:eastAsia="Calibri" w:hAnsiTheme="minorHAnsi" w:cstheme="minorHAnsi"/>
          <w:szCs w:val="22"/>
        </w:rPr>
        <w:t xml:space="preserve">a number of </w:t>
      </w:r>
      <w:r w:rsidR="003F4C15" w:rsidRPr="003F264A">
        <w:rPr>
          <w:rFonts w:asciiTheme="minorHAnsi" w:eastAsia="Calibri" w:hAnsiTheme="minorHAnsi" w:cstheme="minorHAnsi"/>
          <w:szCs w:val="22"/>
        </w:rPr>
        <w:t xml:space="preserve">currently </w:t>
      </w:r>
      <w:r w:rsidR="004B2D21" w:rsidRPr="003F264A">
        <w:rPr>
          <w:rFonts w:asciiTheme="minorHAnsi" w:eastAsia="Calibri" w:hAnsiTheme="minorHAnsi" w:cstheme="minorHAnsi"/>
          <w:szCs w:val="22"/>
        </w:rPr>
        <w:t>voluntary GEI questions:</w:t>
      </w:r>
      <w:r w:rsidR="004B2D21" w:rsidRPr="003F264A">
        <w:rPr>
          <w:rFonts w:asciiTheme="minorHAnsi" w:hAnsiTheme="minorHAnsi" w:cstheme="minorHAnsi"/>
          <w:noProof/>
          <w:szCs w:val="22"/>
          <w:lang w:eastAsia="en-AU"/>
        </w:rPr>
        <w:t xml:space="preserve"> </w:t>
      </w:r>
    </w:p>
    <w:p w14:paraId="36057241" w14:textId="2C7F0C9C" w:rsidR="004B2D21" w:rsidRPr="00146267" w:rsidRDefault="004B2D21" w:rsidP="00146267">
      <w:pPr>
        <w:pStyle w:val="BodyText"/>
        <w:jc w:val="both"/>
        <w:rPr>
          <w:rFonts w:asciiTheme="minorHAnsi" w:eastAsia="Calibri" w:hAnsiTheme="minorHAnsi" w:cstheme="minorHAnsi"/>
          <w:szCs w:val="22"/>
        </w:rPr>
      </w:pPr>
      <w:r w:rsidRPr="003F264A">
        <w:rPr>
          <w:rFonts w:eastAsia="Calibri" w:cstheme="minorHAnsi"/>
          <w:i/>
        </w:rPr>
        <w:t xml:space="preserve"> </w:t>
      </w:r>
    </w:p>
    <w:p w14:paraId="09FCF8FD" w14:textId="35D89952" w:rsidR="004B2D21" w:rsidRPr="003F264A" w:rsidRDefault="00BD3C78" w:rsidP="000F6998">
      <w:pPr>
        <w:jc w:val="both"/>
        <w:rPr>
          <w:rFonts w:eastAsia="Calibri" w:cstheme="minorHAnsi"/>
        </w:rPr>
      </w:pPr>
      <w:r w:rsidRPr="003F264A">
        <w:rPr>
          <w:rFonts w:eastAsia="Calibri" w:cstheme="minorHAnsi"/>
        </w:rPr>
        <w:t>By making these four</w:t>
      </w:r>
      <w:r w:rsidR="004B2D21" w:rsidRPr="003F264A">
        <w:rPr>
          <w:rFonts w:eastAsia="Calibri" w:cstheme="minorHAnsi"/>
        </w:rPr>
        <w:t xml:space="preserve"> questions mandatory, WGEA will be able to fill key gaps in its data</w:t>
      </w:r>
      <w:r w:rsidR="00191EDE">
        <w:rPr>
          <w:rFonts w:eastAsia="Calibri" w:cstheme="minorHAnsi"/>
        </w:rPr>
        <w:t>set</w:t>
      </w:r>
      <w:r w:rsidR="004B2D21" w:rsidRPr="003F264A">
        <w:rPr>
          <w:rFonts w:eastAsia="Calibri" w:cstheme="minorHAnsi"/>
        </w:rPr>
        <w:t>. During consultation for the WGEA Review, stakeholders expressed support for the existing GEIs</w:t>
      </w:r>
      <w:r w:rsidR="00191EDE">
        <w:rPr>
          <w:rFonts w:eastAsia="Calibri" w:cstheme="minorHAnsi"/>
        </w:rPr>
        <w:t>,</w:t>
      </w:r>
      <w:r w:rsidR="004B2D21" w:rsidRPr="003F264A">
        <w:rPr>
          <w:rFonts w:eastAsia="Calibri" w:cstheme="minorHAnsi"/>
        </w:rPr>
        <w:t xml:space="preserve"> </w:t>
      </w:r>
      <w:r w:rsidR="00937C84" w:rsidRPr="003F264A">
        <w:rPr>
          <w:rFonts w:eastAsia="Calibri" w:cstheme="minorHAnsi"/>
        </w:rPr>
        <w:t>as well as support for the addition of further</w:t>
      </w:r>
      <w:r w:rsidR="001E5541">
        <w:rPr>
          <w:rFonts w:eastAsia="Calibri" w:cstheme="minorHAnsi"/>
        </w:rPr>
        <w:t xml:space="preserve"> data collected under the</w:t>
      </w:r>
      <w:r w:rsidR="004B2D21" w:rsidRPr="003F264A">
        <w:rPr>
          <w:rFonts w:eastAsia="Calibri" w:cstheme="minorHAnsi"/>
        </w:rPr>
        <w:t xml:space="preserve"> GEIs. However, in order to balance increased regulatory impact concerns against a desire for increased data, four targeted questions were recommended by the Review.  </w:t>
      </w:r>
    </w:p>
    <w:p w14:paraId="48E8BF6D" w14:textId="6EC4FF30" w:rsidR="004B2D21" w:rsidRPr="003F264A" w:rsidRDefault="004B2D21" w:rsidP="000F6998">
      <w:pPr>
        <w:jc w:val="both"/>
        <w:rPr>
          <w:rFonts w:eastAsia="Calibri" w:cstheme="minorHAnsi"/>
        </w:rPr>
      </w:pPr>
      <w:r w:rsidRPr="003F264A">
        <w:rPr>
          <w:rFonts w:eastAsia="Calibri" w:cstheme="minorHAnsi"/>
        </w:rPr>
        <w:t>Employees’ age, primary workplace location, superannuation data and CEO remuneration data are all data points that have key interactions and impacts on Australia</w:t>
      </w:r>
      <w:r w:rsidR="00DD22EF" w:rsidRPr="003F264A">
        <w:rPr>
          <w:rFonts w:eastAsia="Calibri" w:cstheme="minorHAnsi"/>
        </w:rPr>
        <w:t>’s</w:t>
      </w:r>
      <w:r w:rsidRPr="003F264A">
        <w:rPr>
          <w:rFonts w:eastAsia="Calibri" w:cstheme="minorHAnsi"/>
        </w:rPr>
        <w:t xml:space="preserve"> gender pay gap. Option 3 would allow WGEA to mandatorily collect age and location data in order to drive targeted actions in relation to specific cohorts of women. Given the significance of employers paying superannuation on parental leave as a way to accelerate gender equality, Option 3 includes a mandatory question for employers to report on whether superannuation is paid by an employer when an employee is on parental leave of any kind. Finally, the low numbers of women in CEO roles compared to men, mean</w:t>
      </w:r>
      <w:r w:rsidR="00191EDE">
        <w:rPr>
          <w:rFonts w:eastAsia="Calibri" w:cstheme="minorHAnsi"/>
        </w:rPr>
        <w:t>s</w:t>
      </w:r>
      <w:r w:rsidRPr="003F264A">
        <w:rPr>
          <w:rFonts w:eastAsia="Calibri" w:cstheme="minorHAnsi"/>
        </w:rPr>
        <w:t xml:space="preserve"> that exclusion of CEO</w:t>
      </w:r>
      <w:r w:rsidR="0013324D" w:rsidRPr="003F264A">
        <w:rPr>
          <w:rFonts w:eastAsia="Calibri" w:cstheme="minorHAnsi"/>
        </w:rPr>
        <w:t xml:space="preserve"> remuneration</w:t>
      </w:r>
      <w:r w:rsidRPr="003F264A">
        <w:rPr>
          <w:rFonts w:eastAsia="Calibri" w:cstheme="minorHAnsi"/>
        </w:rPr>
        <w:t xml:space="preserve"> is resulting in a distorted pay gap. Option 3 would address this gap in the dataset by requiring employers to report on CEO remuneration data</w:t>
      </w:r>
      <w:r w:rsidR="00191EDE">
        <w:rPr>
          <w:rFonts w:eastAsia="Calibri" w:cstheme="minorHAnsi"/>
        </w:rPr>
        <w:t>,</w:t>
      </w:r>
      <w:r w:rsidRPr="003F264A">
        <w:rPr>
          <w:rFonts w:eastAsia="Calibri" w:cstheme="minorHAnsi"/>
        </w:rPr>
        <w:t xml:space="preserve"> and would also allow CEO pay to be included in organisational pay gap calculations.</w:t>
      </w:r>
    </w:p>
    <w:p w14:paraId="6E741445" w14:textId="77777777" w:rsidR="007B5EBD" w:rsidRPr="003F264A" w:rsidRDefault="007B5EBD" w:rsidP="000F6998">
      <w:pPr>
        <w:jc w:val="both"/>
        <w:rPr>
          <w:rFonts w:eastAsia="Calibri" w:cstheme="minorHAnsi"/>
          <w:b/>
        </w:rPr>
      </w:pPr>
      <w:r w:rsidRPr="003F264A">
        <w:rPr>
          <w:rFonts w:eastAsia="Calibri" w:cstheme="minorHAnsi"/>
          <w:b/>
        </w:rPr>
        <w:t>Recommendation 7.3(c)</w:t>
      </w:r>
    </w:p>
    <w:p w14:paraId="0232F676" w14:textId="6D71049E" w:rsidR="00146267" w:rsidRDefault="00146267" w:rsidP="000F6998">
      <w:pPr>
        <w:jc w:val="both"/>
        <w:rPr>
          <w:rFonts w:eastAsia="Calibri" w:cstheme="minorHAnsi"/>
        </w:rPr>
      </w:pPr>
      <w:r w:rsidRPr="00146267">
        <w:rPr>
          <w:rFonts w:eastAsia="Calibri" w:cstheme="minorHAnsi"/>
          <w:noProof/>
          <w:lang w:eastAsia="en-AU"/>
        </w:rPr>
        <mc:AlternateContent>
          <mc:Choice Requires="wps">
            <w:drawing>
              <wp:anchor distT="45720" distB="45720" distL="114300" distR="114300" simplePos="0" relativeHeight="251664519" behindDoc="0" locked="0" layoutInCell="1" allowOverlap="1" wp14:anchorId="4101BEBA" wp14:editId="43BE2104">
                <wp:simplePos x="0" y="0"/>
                <wp:positionH relativeFrom="margin">
                  <wp:align>right</wp:align>
                </wp:positionH>
                <wp:positionV relativeFrom="paragraph">
                  <wp:posOffset>335915</wp:posOffset>
                </wp:positionV>
                <wp:extent cx="5708650" cy="635635"/>
                <wp:effectExtent l="0" t="0" r="25400" b="12065"/>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35635"/>
                        </a:xfrm>
                        <a:prstGeom prst="rect">
                          <a:avLst/>
                        </a:prstGeom>
                        <a:solidFill>
                          <a:schemeClr val="accent1">
                            <a:lumMod val="20000"/>
                            <a:lumOff val="80000"/>
                          </a:schemeClr>
                        </a:solidFill>
                        <a:ln w="9525">
                          <a:solidFill>
                            <a:srgbClr val="000000"/>
                          </a:solidFill>
                          <a:miter lim="800000"/>
                          <a:headEnd/>
                          <a:tailEnd/>
                        </a:ln>
                      </wps:spPr>
                      <wps:txbx>
                        <w:txbxContent>
                          <w:p w14:paraId="744F6D07" w14:textId="77777777" w:rsidR="00D073EC" w:rsidRPr="003F264A" w:rsidRDefault="00D073EC" w:rsidP="00146267">
                            <w:pPr>
                              <w:jc w:val="both"/>
                              <w:rPr>
                                <w:rFonts w:eastAsia="Calibri" w:cstheme="minorHAnsi"/>
                                <w:i/>
                              </w:rPr>
                            </w:pPr>
                            <w:r w:rsidRPr="003F264A">
                              <w:rPr>
                                <w:rFonts w:eastAsia="Calibri" w:cstheme="minorHAnsi"/>
                                <w:i/>
                              </w:rPr>
                              <w:t>7.3 Identify the best approach to improve other aspects of gender equality indicator report to:</w:t>
                            </w:r>
                          </w:p>
                          <w:p w14:paraId="05958B63" w14:textId="47785239" w:rsidR="00D073EC" w:rsidRPr="00146267" w:rsidRDefault="00D073EC" w:rsidP="00146267">
                            <w:pPr>
                              <w:ind w:firstLine="720"/>
                              <w:jc w:val="both"/>
                              <w:rPr>
                                <w:rFonts w:eastAsia="Calibri" w:cstheme="minorHAnsi"/>
                              </w:rPr>
                            </w:pPr>
                            <w:r w:rsidRPr="003F264A">
                              <w:rPr>
                                <w:rFonts w:eastAsia="Calibri" w:cstheme="minorHAnsi"/>
                                <w:i/>
                              </w:rPr>
                              <w:t>c. make it mandatory for individual entities within corporate structures to report.</w:t>
                            </w:r>
                            <w:r w:rsidRPr="00146267">
                              <w:rPr>
                                <w:rFonts w:eastAsia="Calibri" w:cstheme="minorHAnsi"/>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1BEBA" id="_x0000_s1033" type="#_x0000_t202" style="position:absolute;left:0;text-align:left;margin-left:398.3pt;margin-top:26.45pt;width:449.5pt;height:50.05pt;z-index:25166451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" fillcolor="#deeaf6 [660]">
                <v:textbox>
                  <w:txbxContent>
                    <w:p w14:paraId="744F6D07" w14:textId="77777777" w:rsidR="00D073EC" w:rsidRPr="003F264A" w:rsidRDefault="00D073EC" w:rsidP="00146267">
                      <w:pPr>
                        <w:jc w:val="both"/>
                        <w:rPr>
                          <w:rFonts w:eastAsia="Calibri" w:cstheme="minorHAnsi"/>
                          <w:i/>
                        </w:rPr>
                      </w:pPr>
                      <w:r w:rsidRPr="003F264A">
                        <w:rPr>
                          <w:rFonts w:eastAsia="Calibri" w:cstheme="minorHAnsi"/>
                          <w:i/>
                        </w:rPr>
                        <w:t>7.3 Identify the best approach to improve other aspects of gender equality indicator report to:</w:t>
                      </w:r>
                    </w:p>
                    <w:p w14:paraId="05958B63" w14:textId="47785239" w:rsidR="00D073EC" w:rsidRPr="00146267" w:rsidRDefault="00D073EC" w:rsidP="00146267">
                      <w:pPr>
                        <w:ind w:firstLine="720"/>
                        <w:jc w:val="both"/>
                        <w:rPr>
                          <w:rFonts w:eastAsia="Calibri" w:cstheme="minorHAnsi"/>
                        </w:rPr>
                      </w:pPr>
                      <w:r w:rsidRPr="003F264A">
                        <w:rPr>
                          <w:rFonts w:eastAsia="Calibri" w:cstheme="minorHAnsi"/>
                          <w:i/>
                        </w:rPr>
                        <w:t>c. make it mandatory for individual entities within corporate structures to report.</w:t>
                      </w:r>
                      <w:r w:rsidRPr="00146267">
                        <w:rPr>
                          <w:rFonts w:eastAsia="Calibri" w:cstheme="minorHAnsi"/>
                          <w:i/>
                        </w:rPr>
                        <w:t xml:space="preserve"> </w:t>
                      </w:r>
                    </w:p>
                  </w:txbxContent>
                </v:textbox>
                <w10:wrap type="square" anchorx="margin"/>
              </v:shape>
            </w:pict>
          </mc:Fallback>
        </mc:AlternateContent>
      </w:r>
      <w:r w:rsidR="00DD22EF" w:rsidRPr="003F264A">
        <w:rPr>
          <w:rFonts w:eastAsia="Calibri" w:cstheme="minorHAnsi"/>
        </w:rPr>
        <w:t xml:space="preserve">Option 3 </w:t>
      </w:r>
      <w:r w:rsidR="007B5EBD" w:rsidRPr="003F264A">
        <w:rPr>
          <w:rFonts w:eastAsia="Calibri" w:cstheme="minorHAnsi"/>
        </w:rPr>
        <w:t>would address gaps in the dataset relating to corporate group structures.</w:t>
      </w:r>
    </w:p>
    <w:p w14:paraId="24E48629" w14:textId="103BFD0B" w:rsidR="002C3B63" w:rsidRDefault="002C3B63" w:rsidP="000F6998">
      <w:pPr>
        <w:jc w:val="both"/>
      </w:pPr>
      <w:r>
        <w:t>WGEA currently receives data from corporate groups as a whole</w:t>
      </w:r>
      <w:r w:rsidR="00191EDE">
        <w:t>,</w:t>
      </w:r>
      <w:r>
        <w:t xml:space="preserve"> rather than as individual entities. About 90</w:t>
      </w:r>
      <w:r w:rsidR="00191EDE">
        <w:t xml:space="preserve"> per cent</w:t>
      </w:r>
      <w:r>
        <w:t xml:space="preserve"> of all corporate groups report as one employer</w:t>
      </w:r>
      <w:r w:rsidR="00191EDE">
        <w:t>,</w:t>
      </w:r>
      <w:r>
        <w:t xml:space="preserve"> meaning WGEA is unable to track certain aspects of gender equality at the entity level.  Many of these subsidiaries are significant businesses in their own right. </w:t>
      </w:r>
    </w:p>
    <w:p w14:paraId="6DFB9979" w14:textId="6BC91C5F" w:rsidR="002C3B63" w:rsidRDefault="002C3B63" w:rsidP="000F6998">
      <w:pPr>
        <w:jc w:val="both"/>
      </w:pPr>
      <w:r>
        <w:t xml:space="preserve">The subsidiaries of corporate groups </w:t>
      </w:r>
      <w:r w:rsidR="00BC054C">
        <w:t xml:space="preserve">have </w:t>
      </w:r>
      <w:r>
        <w:t>varied gender pay gaps</w:t>
      </w:r>
      <w:r w:rsidR="00191EDE">
        <w:t>,</w:t>
      </w:r>
      <w:r>
        <w:t xml:space="preserve"> </w:t>
      </w:r>
      <w:r w:rsidR="00191EDE">
        <w:t xml:space="preserve">however </w:t>
      </w:r>
      <w:r>
        <w:t xml:space="preserve">this data is not able to be legally obtained within the current statutory structure. Implementing </w:t>
      </w:r>
      <w:r w:rsidR="00191EDE">
        <w:t xml:space="preserve">Recommendation </w:t>
      </w:r>
      <w:r>
        <w:t xml:space="preserve">7.3(c) would improve the quality of the WGEA dataset by allowing WGEA to guide employers to report on data (foremost aligning managers as they relate to the entity not the corporate group) from individual entities </w:t>
      </w:r>
      <w:r w:rsidRPr="0089473A">
        <w:rPr>
          <w:i/>
        </w:rPr>
        <w:t>within</w:t>
      </w:r>
      <w:r>
        <w:t xml:space="preserve"> corporate structures, not just as a corporate group.</w:t>
      </w:r>
    </w:p>
    <w:p w14:paraId="683BBB34" w14:textId="77777777" w:rsidR="004B2D21" w:rsidRPr="003F264A" w:rsidRDefault="004B2D21" w:rsidP="000F6998">
      <w:pPr>
        <w:pStyle w:val="Heading2"/>
        <w:jc w:val="both"/>
        <w:rPr>
          <w:rFonts w:asciiTheme="minorHAnsi" w:eastAsia="Calibri Light" w:hAnsiTheme="minorHAnsi" w:cstheme="minorHAnsi"/>
          <w:color w:val="4472C4" w:themeColor="accent5"/>
        </w:rPr>
      </w:pPr>
      <w:bookmarkStart w:id="56" w:name="_Toc118794732"/>
      <w:bookmarkStart w:id="57" w:name="_Toc125714707"/>
      <w:r w:rsidRPr="003F264A">
        <w:rPr>
          <w:rFonts w:asciiTheme="minorHAnsi" w:eastAsia="Calibri Light" w:hAnsiTheme="minorHAnsi" w:cstheme="minorHAnsi"/>
          <w:color w:val="4472C4" w:themeColor="accent5"/>
        </w:rPr>
        <w:t>5.3.3</w:t>
      </w:r>
      <w:r w:rsidR="00E14155" w:rsidRPr="003F264A">
        <w:rPr>
          <w:rFonts w:asciiTheme="minorHAnsi" w:eastAsia="Calibri Light" w:hAnsiTheme="minorHAnsi" w:cstheme="minorHAnsi"/>
          <w:color w:val="4472C4" w:themeColor="accent5"/>
        </w:rPr>
        <w:t xml:space="preserve"> </w:t>
      </w:r>
      <w:r w:rsidRPr="003F264A">
        <w:rPr>
          <w:rFonts w:asciiTheme="minorHAnsi" w:eastAsia="Calibri Light" w:hAnsiTheme="minorHAnsi" w:cstheme="minorHAnsi"/>
          <w:color w:val="4472C4" w:themeColor="accent5"/>
        </w:rPr>
        <w:t xml:space="preserve">How </w:t>
      </w:r>
      <w:r w:rsidR="00E14155" w:rsidRPr="003F264A">
        <w:rPr>
          <w:rFonts w:asciiTheme="minorHAnsi" w:eastAsia="Calibri Light" w:hAnsiTheme="minorHAnsi" w:cstheme="minorHAnsi"/>
          <w:color w:val="4472C4" w:themeColor="accent5"/>
        </w:rPr>
        <w:t>does Option 3</w:t>
      </w:r>
      <w:r w:rsidR="001107F2">
        <w:rPr>
          <w:rFonts w:asciiTheme="minorHAnsi" w:eastAsia="Calibri Light" w:hAnsiTheme="minorHAnsi" w:cstheme="minorHAnsi"/>
          <w:color w:val="4472C4" w:themeColor="accent5"/>
        </w:rPr>
        <w:t xml:space="preserve"> address element 2 </w:t>
      </w:r>
      <w:r w:rsidRPr="003F264A">
        <w:rPr>
          <w:rFonts w:asciiTheme="minorHAnsi" w:eastAsia="Calibri Light" w:hAnsiTheme="minorHAnsi" w:cstheme="minorHAnsi"/>
          <w:color w:val="4472C4" w:themeColor="accent5"/>
        </w:rPr>
        <w:t>‘Certain elements of reporting are burden</w:t>
      </w:r>
      <w:r w:rsidR="00E14155" w:rsidRPr="003F264A">
        <w:rPr>
          <w:rFonts w:asciiTheme="minorHAnsi" w:eastAsia="Calibri Light" w:hAnsiTheme="minorHAnsi" w:cstheme="minorHAnsi"/>
          <w:color w:val="4472C4" w:themeColor="accent5"/>
        </w:rPr>
        <w:t>some on businesses’,</w:t>
      </w:r>
      <w:r w:rsidR="00671D94" w:rsidRPr="003F264A">
        <w:rPr>
          <w:rFonts w:asciiTheme="minorHAnsi" w:eastAsia="Calibri Light" w:hAnsiTheme="minorHAnsi" w:cstheme="minorHAnsi"/>
          <w:color w:val="4472C4" w:themeColor="accent5"/>
        </w:rPr>
        <w:t xml:space="preserve"> of the problem</w:t>
      </w:r>
      <w:r w:rsidRPr="003F264A">
        <w:rPr>
          <w:rFonts w:asciiTheme="minorHAnsi" w:eastAsia="Calibri Light" w:hAnsiTheme="minorHAnsi" w:cstheme="minorHAnsi"/>
          <w:color w:val="4472C4" w:themeColor="accent5"/>
        </w:rPr>
        <w:t>?</w:t>
      </w:r>
      <w:bookmarkEnd w:id="56"/>
      <w:bookmarkEnd w:id="57"/>
      <w:r w:rsidRPr="003F264A">
        <w:rPr>
          <w:rFonts w:asciiTheme="minorHAnsi" w:eastAsia="Calibri Light" w:hAnsiTheme="minorHAnsi" w:cstheme="minorHAnsi"/>
          <w:color w:val="4472C4" w:themeColor="accent5"/>
        </w:rPr>
        <w:t xml:space="preserve"> </w:t>
      </w:r>
    </w:p>
    <w:p w14:paraId="5689AAA8" w14:textId="77777777" w:rsidR="004B2D21" w:rsidRPr="003F264A" w:rsidRDefault="004B2D21" w:rsidP="000F6998">
      <w:pPr>
        <w:spacing w:line="257" w:lineRule="auto"/>
        <w:jc w:val="both"/>
        <w:rPr>
          <w:rFonts w:cstheme="minorHAnsi"/>
        </w:rPr>
      </w:pPr>
      <w:r w:rsidRPr="003F264A">
        <w:rPr>
          <w:rFonts w:eastAsia="Calibri" w:cstheme="minorHAnsi"/>
        </w:rPr>
        <w:t>Option 3 would address element 2 of the problem by implementing Recommendation 4 of the Review. This would be done in the same manner as set out in Option 2.</w:t>
      </w:r>
      <w:r w:rsidRPr="003F264A">
        <w:rPr>
          <w:rFonts w:cstheme="minorHAnsi"/>
        </w:rPr>
        <w:t xml:space="preserve"> Reducing the reporting burden for employers will free them up to take action on the identified gaps and opportunities and help them accelerate progress on gender equality in their workplaces.</w:t>
      </w:r>
      <w:r w:rsidRPr="003F264A">
        <w:rPr>
          <w:rFonts w:eastAsia="Calibri" w:cstheme="minorHAnsi"/>
        </w:rPr>
        <w:t xml:space="preserve"> </w:t>
      </w:r>
      <w:r w:rsidRPr="003F264A">
        <w:rPr>
          <w:rFonts w:cstheme="minorHAnsi"/>
        </w:rPr>
        <w:t>Option 3 takes into account competing stakeholder priorities, including both the need to accelerate progress on gender equality in Australian workplaces and the need to be mindful of the regulatory impact on employers.</w:t>
      </w:r>
    </w:p>
    <w:p w14:paraId="7A64D707" w14:textId="77777777" w:rsidR="004B2D21" w:rsidRPr="003F264A" w:rsidRDefault="004B2D21" w:rsidP="000F6998">
      <w:pPr>
        <w:jc w:val="both"/>
        <w:rPr>
          <w:rFonts w:eastAsia="Calibri" w:cstheme="minorHAnsi"/>
        </w:rPr>
      </w:pPr>
      <w:r w:rsidRPr="003F264A">
        <w:rPr>
          <w:rFonts w:cstheme="minorHAnsi"/>
        </w:rPr>
        <w:t xml:space="preserve">Impacted stakeholders would be affected in the same manner as outlined in Option 2 above. </w:t>
      </w:r>
    </w:p>
    <w:p w14:paraId="099A2C3F" w14:textId="77777777" w:rsidR="004B2D21" w:rsidRPr="003F264A" w:rsidRDefault="004B2D21" w:rsidP="000F6998">
      <w:pPr>
        <w:pStyle w:val="Heading2"/>
        <w:jc w:val="both"/>
        <w:rPr>
          <w:rFonts w:asciiTheme="minorHAnsi" w:eastAsia="Calibri Light" w:hAnsiTheme="minorHAnsi" w:cstheme="minorHAnsi"/>
          <w:color w:val="4472C4" w:themeColor="accent5"/>
        </w:rPr>
      </w:pPr>
      <w:bookmarkStart w:id="58" w:name="_Toc118794733"/>
      <w:bookmarkStart w:id="59" w:name="_Toc125714708"/>
      <w:r w:rsidRPr="003F264A">
        <w:rPr>
          <w:rFonts w:asciiTheme="minorHAnsi" w:eastAsia="Calibri Light" w:hAnsiTheme="minorHAnsi" w:cstheme="minorHAnsi"/>
          <w:color w:val="4472C4" w:themeColor="accent5"/>
        </w:rPr>
        <w:t xml:space="preserve">5.3.4 How </w:t>
      </w:r>
      <w:r w:rsidR="001107F2">
        <w:rPr>
          <w:rFonts w:asciiTheme="minorHAnsi" w:eastAsia="Calibri Light" w:hAnsiTheme="minorHAnsi" w:cstheme="minorHAnsi"/>
          <w:color w:val="4472C4" w:themeColor="accent5"/>
        </w:rPr>
        <w:t>does Option 3 address element 3</w:t>
      </w:r>
      <w:r w:rsidRPr="003F264A">
        <w:rPr>
          <w:rFonts w:asciiTheme="minorHAnsi" w:eastAsia="Calibri Light" w:hAnsiTheme="minorHAnsi" w:cstheme="minorHAnsi"/>
          <w:color w:val="4472C4" w:themeColor="accent5"/>
        </w:rPr>
        <w:t xml:space="preserve"> ‘Current regulation is not ambitious enough to drive change in achieving gender equality’?</w:t>
      </w:r>
      <w:bookmarkEnd w:id="58"/>
      <w:bookmarkEnd w:id="59"/>
    </w:p>
    <w:p w14:paraId="7AA0145F" w14:textId="27A426FA" w:rsidR="004B2D21" w:rsidRPr="003F264A" w:rsidRDefault="004B2D21" w:rsidP="000F6998">
      <w:pPr>
        <w:jc w:val="both"/>
        <w:rPr>
          <w:rFonts w:eastAsia="Calibri" w:cstheme="minorHAnsi"/>
        </w:rPr>
      </w:pPr>
      <w:r w:rsidRPr="003F264A">
        <w:rPr>
          <w:rFonts w:eastAsia="Calibri" w:cstheme="minorHAnsi"/>
        </w:rPr>
        <w:t xml:space="preserve">Option 3 would </w:t>
      </w:r>
      <w:r w:rsidR="00191EDE">
        <w:rPr>
          <w:rFonts w:eastAsia="Calibri" w:cstheme="minorHAnsi"/>
        </w:rPr>
        <w:t>advance gender</w:t>
      </w:r>
      <w:r w:rsidRPr="003F264A">
        <w:rPr>
          <w:rFonts w:eastAsia="Calibri" w:cstheme="minorHAnsi"/>
        </w:rPr>
        <w:t xml:space="preserve"> equality by implementing Recommendation 2 and Recommendation 3 of the WGEA Review. Recommendation 2 is a transparency measure and Recommendation 3 addresses the ‘action gap’ of larger employers by increasing requirements on large companies to develop policies and strategies</w:t>
      </w:r>
      <w:r w:rsidR="00191EDE">
        <w:rPr>
          <w:rFonts w:eastAsia="Calibri" w:cstheme="minorHAnsi"/>
        </w:rPr>
        <w:t xml:space="preserve"> that address inequality</w:t>
      </w:r>
      <w:r w:rsidRPr="003F264A">
        <w:rPr>
          <w:rFonts w:eastAsia="Calibri" w:cstheme="minorHAnsi"/>
        </w:rPr>
        <w:t xml:space="preserve">. These two recommendations build on the crucial other two pillars of Option 3 (to reduce regulatory burden and address gaps in the WGEA data set) to round out Option 3 as a </w:t>
      </w:r>
      <w:r w:rsidR="00191EDE">
        <w:rPr>
          <w:rFonts w:eastAsia="Calibri" w:cstheme="minorHAnsi"/>
        </w:rPr>
        <w:t>multifaceted</w:t>
      </w:r>
      <w:r w:rsidR="00191EDE" w:rsidRPr="003F264A">
        <w:rPr>
          <w:rFonts w:eastAsia="Calibri" w:cstheme="minorHAnsi"/>
        </w:rPr>
        <w:t xml:space="preserve"> </w:t>
      </w:r>
      <w:r w:rsidRPr="003F264A">
        <w:rPr>
          <w:rFonts w:eastAsia="Calibri" w:cstheme="minorHAnsi"/>
        </w:rPr>
        <w:t>approach to driving change.</w:t>
      </w:r>
    </w:p>
    <w:p w14:paraId="4B32C49B" w14:textId="2AEDF04B" w:rsidR="00146267" w:rsidRPr="003F264A" w:rsidRDefault="004B2D21" w:rsidP="000F6998">
      <w:pPr>
        <w:jc w:val="both"/>
        <w:rPr>
          <w:rFonts w:eastAsia="Calibri" w:cstheme="minorHAnsi"/>
        </w:rPr>
      </w:pPr>
      <w:r w:rsidRPr="003F264A">
        <w:rPr>
          <w:rFonts w:eastAsia="Calibri" w:cstheme="minorHAnsi"/>
        </w:rPr>
        <w:t xml:space="preserve">Recommendation 2 recommends that the Government: </w:t>
      </w:r>
      <w:r w:rsidR="00146267" w:rsidRPr="00146267">
        <w:rPr>
          <w:rFonts w:eastAsia="Calibri" w:cstheme="minorHAnsi"/>
          <w:noProof/>
          <w:lang w:eastAsia="en-AU"/>
        </w:rPr>
        <mc:AlternateContent>
          <mc:Choice Requires="wps">
            <w:drawing>
              <wp:anchor distT="45720" distB="45720" distL="114300" distR="114300" simplePos="0" relativeHeight="251666567" behindDoc="0" locked="0" layoutInCell="1" allowOverlap="1" wp14:anchorId="2C61FDFC" wp14:editId="45B1078E">
                <wp:simplePos x="0" y="0"/>
                <wp:positionH relativeFrom="margin">
                  <wp:align>right</wp:align>
                </wp:positionH>
                <wp:positionV relativeFrom="paragraph">
                  <wp:posOffset>335915</wp:posOffset>
                </wp:positionV>
                <wp:extent cx="5708650" cy="1089025"/>
                <wp:effectExtent l="0" t="0" r="25400" b="1587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089025"/>
                        </a:xfrm>
                        <a:prstGeom prst="rect">
                          <a:avLst/>
                        </a:prstGeom>
                        <a:solidFill>
                          <a:schemeClr val="accent1">
                            <a:lumMod val="20000"/>
                            <a:lumOff val="80000"/>
                          </a:schemeClr>
                        </a:solidFill>
                        <a:ln w="9525">
                          <a:solidFill>
                            <a:srgbClr val="000000"/>
                          </a:solidFill>
                          <a:miter lim="800000"/>
                          <a:headEnd/>
                          <a:tailEnd/>
                        </a:ln>
                      </wps:spPr>
                      <wps:txbx>
                        <w:txbxContent>
                          <w:p w14:paraId="360D2FB4" w14:textId="77777777" w:rsidR="00D073EC" w:rsidRPr="003F264A" w:rsidRDefault="00D073EC" w:rsidP="00146267">
                            <w:pPr>
                              <w:jc w:val="both"/>
                              <w:rPr>
                                <w:rFonts w:eastAsia="Calibri" w:cstheme="minorHAnsi"/>
                                <w:i/>
                              </w:rPr>
                            </w:pPr>
                            <w:r w:rsidRPr="003F264A">
                              <w:rPr>
                                <w:rFonts w:eastAsia="Calibri" w:cstheme="minorHAnsi"/>
                                <w:i/>
                              </w:rPr>
                              <w:t xml:space="preserve">2.1 Amend the Workplace Gender Equality Act 2012 to allow WGEA to publish gender pay gap information at an employer level as an overall figure and by quartile to encourage change within organisations. Individual employee pay information is not to be published. Conduct further stakeholder consultation to identify the best way to implement this recommendation and conduct a regulatory impact assessment ahead of implementation. </w:t>
                            </w:r>
                          </w:p>
                          <w:p w14:paraId="01B82BC7" w14:textId="6C830731" w:rsidR="00D073EC" w:rsidRPr="00146267" w:rsidRDefault="00D073EC" w:rsidP="00146267">
                            <w:pPr>
                              <w:jc w:val="both"/>
                              <w:rPr>
                                <w:rFonts w:eastAsia="Calibri" w:cstheme="minorHAnsi"/>
                              </w:rPr>
                            </w:pPr>
                            <w:r w:rsidRPr="00146267">
                              <w:rPr>
                                <w:rFonts w:eastAsia="Calibri" w:cstheme="minorHAnsi"/>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1FDFC" id="_x0000_s1034" type="#_x0000_t202" style="position:absolute;left:0;text-align:left;margin-left:398.3pt;margin-top:26.45pt;width:449.5pt;height:85.75pt;z-index:25166656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" fillcolor="#deeaf6 [660]">
                <v:textbox>
                  <w:txbxContent>
                    <w:p w14:paraId="360D2FB4" w14:textId="77777777" w:rsidR="00D073EC" w:rsidRPr="003F264A" w:rsidRDefault="00D073EC" w:rsidP="00146267">
                      <w:pPr>
                        <w:jc w:val="both"/>
                        <w:rPr>
                          <w:rFonts w:eastAsia="Calibri" w:cstheme="minorHAnsi"/>
                          <w:i/>
                        </w:rPr>
                      </w:pPr>
                      <w:r w:rsidRPr="003F264A">
                        <w:rPr>
                          <w:rFonts w:eastAsia="Calibri" w:cstheme="minorHAnsi"/>
                          <w:i/>
                        </w:rPr>
                        <w:t xml:space="preserve">2.1 Amend the Workplace Gender Equality Act 2012 to allow WGEA to publish gender pay gap information at an employer level as an overall figure and by quartile to encourage change within organisations. Individual employee pay information is not to be published. Conduct further stakeholder consultation to identify the best way to implement this recommendation and conduct a regulatory impact assessment ahead of implementation. </w:t>
                      </w:r>
                    </w:p>
                    <w:p w14:paraId="01B82BC7" w14:textId="6C830731" w:rsidR="00D073EC" w:rsidRPr="00146267" w:rsidRDefault="00D073EC" w:rsidP="00146267">
                      <w:pPr>
                        <w:jc w:val="both"/>
                        <w:rPr>
                          <w:rFonts w:eastAsia="Calibri" w:cstheme="minorHAnsi"/>
                        </w:rPr>
                      </w:pPr>
                      <w:r w:rsidRPr="00146267">
                        <w:rPr>
                          <w:rFonts w:eastAsia="Calibri" w:cstheme="minorHAnsi"/>
                          <w:i/>
                        </w:rPr>
                        <w:t xml:space="preserve"> </w:t>
                      </w:r>
                    </w:p>
                  </w:txbxContent>
                </v:textbox>
                <w10:wrap type="square" anchorx="margin"/>
              </v:shape>
            </w:pict>
          </mc:Fallback>
        </mc:AlternateContent>
      </w:r>
    </w:p>
    <w:p w14:paraId="4D9124B7" w14:textId="163C2A3D" w:rsidR="004B2D21" w:rsidRPr="003F264A" w:rsidRDefault="004B2D21" w:rsidP="000F6998">
      <w:pPr>
        <w:jc w:val="both"/>
        <w:rPr>
          <w:rFonts w:cstheme="minorHAnsi"/>
        </w:rPr>
      </w:pPr>
      <w:r w:rsidRPr="003F264A">
        <w:rPr>
          <w:rFonts w:cstheme="minorHAnsi"/>
        </w:rPr>
        <w:t xml:space="preserve">Further consultation </w:t>
      </w:r>
      <w:r w:rsidR="00DD22EF" w:rsidRPr="003F264A">
        <w:rPr>
          <w:rFonts w:cstheme="minorHAnsi"/>
        </w:rPr>
        <w:t>sought</w:t>
      </w:r>
      <w:r w:rsidR="00CC216D" w:rsidRPr="003F264A">
        <w:rPr>
          <w:rFonts w:cstheme="minorHAnsi"/>
        </w:rPr>
        <w:t xml:space="preserve"> </w:t>
      </w:r>
      <w:r w:rsidRPr="003F264A">
        <w:rPr>
          <w:rFonts w:cstheme="minorHAnsi"/>
        </w:rPr>
        <w:t xml:space="preserve">employer </w:t>
      </w:r>
      <w:r w:rsidR="00DD22EF" w:rsidRPr="003F264A">
        <w:rPr>
          <w:rFonts w:cstheme="minorHAnsi"/>
        </w:rPr>
        <w:t>views on</w:t>
      </w:r>
      <w:r w:rsidRPr="003F264A">
        <w:rPr>
          <w:rFonts w:cstheme="minorHAnsi"/>
        </w:rPr>
        <w:t xml:space="preserve"> </w:t>
      </w:r>
      <w:r w:rsidR="00DD22EF" w:rsidRPr="003F264A">
        <w:rPr>
          <w:rFonts w:cstheme="minorHAnsi"/>
        </w:rPr>
        <w:t xml:space="preserve">the </w:t>
      </w:r>
      <w:r w:rsidRPr="003F264A">
        <w:rPr>
          <w:rFonts w:cstheme="minorHAnsi"/>
        </w:rPr>
        <w:t xml:space="preserve">gender pay gap </w:t>
      </w:r>
      <w:r w:rsidR="00DD22EF" w:rsidRPr="003F264A">
        <w:rPr>
          <w:rFonts w:cstheme="minorHAnsi"/>
        </w:rPr>
        <w:t xml:space="preserve">metric </w:t>
      </w:r>
      <w:r w:rsidR="00191EDE">
        <w:rPr>
          <w:rFonts w:cstheme="minorHAnsi"/>
        </w:rPr>
        <w:t xml:space="preserve">that </w:t>
      </w:r>
      <w:r w:rsidRPr="003F264A">
        <w:rPr>
          <w:rFonts w:cstheme="minorHAnsi"/>
        </w:rPr>
        <w:t>they would find most use</w:t>
      </w:r>
      <w:r w:rsidR="008D00E7" w:rsidRPr="003F264A">
        <w:rPr>
          <w:rFonts w:cstheme="minorHAnsi"/>
        </w:rPr>
        <w:t xml:space="preserve">ful – median, mean or both. </w:t>
      </w:r>
    </w:p>
    <w:p w14:paraId="543A5E5D" w14:textId="5F781777" w:rsidR="004B2D21" w:rsidRPr="003F264A" w:rsidRDefault="004B2D21" w:rsidP="000F6998">
      <w:pPr>
        <w:jc w:val="both"/>
        <w:rPr>
          <w:rFonts w:cstheme="minorHAnsi"/>
        </w:rPr>
      </w:pPr>
      <w:r w:rsidRPr="003F264A">
        <w:rPr>
          <w:rFonts w:cstheme="minorHAnsi"/>
        </w:rPr>
        <w:t>WGEA will publish employer</w:t>
      </w:r>
      <w:r w:rsidR="00191EDE">
        <w:rPr>
          <w:rFonts w:cstheme="minorHAnsi"/>
        </w:rPr>
        <w:t>-</w:t>
      </w:r>
      <w:r w:rsidRPr="003F264A">
        <w:rPr>
          <w:rFonts w:cstheme="minorHAnsi"/>
        </w:rPr>
        <w:t xml:space="preserve">level gender pay gaps and workforce composition </w:t>
      </w:r>
      <w:r w:rsidR="00191EDE">
        <w:rPr>
          <w:rFonts w:cstheme="minorHAnsi"/>
        </w:rPr>
        <w:t xml:space="preserve">data </w:t>
      </w:r>
      <w:r w:rsidRPr="003F264A">
        <w:rPr>
          <w:rFonts w:cstheme="minorHAnsi"/>
        </w:rPr>
        <w:t>by quartiles</w:t>
      </w:r>
      <w:r w:rsidR="00671D94" w:rsidRPr="003F264A">
        <w:rPr>
          <w:rFonts w:cstheme="minorHAnsi"/>
        </w:rPr>
        <w:t xml:space="preserve"> and as an overall figure</w:t>
      </w:r>
      <w:r w:rsidRPr="003F264A">
        <w:rPr>
          <w:rFonts w:cstheme="minorHAnsi"/>
        </w:rPr>
        <w:t>. This means providing data on the full-time equivalent gender pay gap for the organisation’s highest paid quarter, upper middle quarter, lower middle quarter, and lowest paid quarter, along with the gender composition of each pay quart</w:t>
      </w:r>
      <w:r w:rsidR="00DD22EF" w:rsidRPr="003F264A">
        <w:rPr>
          <w:rFonts w:cstheme="minorHAnsi"/>
        </w:rPr>
        <w:t>ile</w:t>
      </w:r>
      <w:r w:rsidRPr="003F264A">
        <w:rPr>
          <w:rFonts w:cstheme="minorHAnsi"/>
        </w:rPr>
        <w:t>. The gender composition will state the proportion of women and men in each quar</w:t>
      </w:r>
      <w:r w:rsidR="008D00E7" w:rsidRPr="003F264A">
        <w:rPr>
          <w:rFonts w:cstheme="minorHAnsi"/>
        </w:rPr>
        <w:t>tile</w:t>
      </w:r>
      <w:r w:rsidRPr="003F264A">
        <w:rPr>
          <w:rFonts w:cstheme="minorHAnsi"/>
        </w:rPr>
        <w:t xml:space="preserve">. This will be available publicly on WGEA’s website and provided to each </w:t>
      </w:r>
      <w:r w:rsidRPr="003F264A">
        <w:rPr>
          <w:rFonts w:eastAsia="Calibri" w:cstheme="minorHAnsi"/>
        </w:rPr>
        <w:t>organisation</w:t>
      </w:r>
      <w:r w:rsidRPr="003F264A">
        <w:rPr>
          <w:rFonts w:cstheme="minorHAnsi"/>
        </w:rPr>
        <w:t>.</w:t>
      </w:r>
    </w:p>
    <w:p w14:paraId="5E43067A" w14:textId="5F44F0CA" w:rsidR="004B2D21" w:rsidRPr="003F264A" w:rsidRDefault="004B2D21" w:rsidP="000F6998">
      <w:pPr>
        <w:jc w:val="both"/>
        <w:rPr>
          <w:rFonts w:cstheme="minorHAnsi"/>
        </w:rPr>
      </w:pPr>
      <w:r w:rsidRPr="003F264A">
        <w:rPr>
          <w:rFonts w:cstheme="minorHAnsi"/>
        </w:rPr>
        <w:t xml:space="preserve">Pay transparency is an emerging tool used by governments to drive change to </w:t>
      </w:r>
      <w:r w:rsidR="00191EDE">
        <w:rPr>
          <w:rFonts w:cstheme="minorHAnsi"/>
        </w:rPr>
        <w:t>advance gender</w:t>
      </w:r>
      <w:r w:rsidRPr="003F264A">
        <w:rPr>
          <w:rFonts w:cstheme="minorHAnsi"/>
        </w:rPr>
        <w:t xml:space="preserve"> equality. Though the evidence base is still nascent, initial studies of targeted populations (as outlined in</w:t>
      </w:r>
      <w:r w:rsidR="00C848D7" w:rsidRPr="003F264A">
        <w:rPr>
          <w:rFonts w:cstheme="minorHAnsi"/>
          <w:i/>
        </w:rPr>
        <w:t xml:space="preserve"> </w:t>
      </w:r>
      <w:r w:rsidR="00C848D7" w:rsidRPr="003F264A">
        <w:rPr>
          <w:rFonts w:cstheme="minorHAnsi"/>
        </w:rPr>
        <w:t>Chapter 3</w:t>
      </w:r>
      <w:r w:rsidRPr="003F264A">
        <w:rPr>
          <w:rFonts w:cstheme="minorHAnsi"/>
        </w:rPr>
        <w:t>) demonstrate promising results.</w:t>
      </w:r>
      <w:r w:rsidR="00BC51ED">
        <w:rPr>
          <w:rStyle w:val="FootnoteReference"/>
          <w:rFonts w:cstheme="minorHAnsi"/>
        </w:rPr>
        <w:footnoteReference w:id="97"/>
      </w:r>
      <w:r w:rsidR="00BC51ED">
        <w:rPr>
          <w:rFonts w:cstheme="minorHAnsi"/>
        </w:rPr>
        <w:t xml:space="preserve"> </w:t>
      </w:r>
      <w:r w:rsidR="00DD22EF" w:rsidRPr="003F264A">
        <w:rPr>
          <w:rFonts w:cstheme="minorHAnsi"/>
        </w:rPr>
        <w:t xml:space="preserve">The Organisation for Economic </w:t>
      </w:r>
      <w:r w:rsidR="00006515">
        <w:rPr>
          <w:rFonts w:cstheme="minorHAnsi"/>
        </w:rPr>
        <w:t xml:space="preserve">Co-operation and </w:t>
      </w:r>
      <w:r w:rsidR="00DD22EF" w:rsidRPr="003F264A">
        <w:rPr>
          <w:rFonts w:cstheme="minorHAnsi"/>
        </w:rPr>
        <w:t>Development (</w:t>
      </w:r>
      <w:r w:rsidRPr="003F264A">
        <w:rPr>
          <w:rFonts w:cstheme="minorHAnsi"/>
        </w:rPr>
        <w:t>OECD</w:t>
      </w:r>
      <w:r w:rsidR="00DD22EF" w:rsidRPr="003F264A">
        <w:rPr>
          <w:rFonts w:cstheme="minorHAnsi"/>
        </w:rPr>
        <w:t>)</w:t>
      </w:r>
      <w:r w:rsidR="00D53257">
        <w:rPr>
          <w:rFonts w:cstheme="minorHAnsi"/>
        </w:rPr>
        <w:t xml:space="preserve"> </w:t>
      </w:r>
      <w:r w:rsidR="00191EDE">
        <w:rPr>
          <w:rFonts w:cstheme="minorHAnsi"/>
        </w:rPr>
        <w:t xml:space="preserve">have </w:t>
      </w:r>
      <w:r w:rsidRPr="003F264A">
        <w:rPr>
          <w:rFonts w:cstheme="minorHAnsi"/>
        </w:rPr>
        <w:t xml:space="preserve">stated ‘although the evidence base is still being built, pay transparency policies hold significant appeal. Pay transparency measures represent a relatively simple, intuitive tool both to identify and to take action against the gender wage gap in the workplace – particularly in mid-sized and larger organisations with dedicated human resources management that can calculate gender gaps. Crucially, pay transparency policies give workers, employers and the public an important tool to combat gender inequality: they offer an acknowledgement of the existence and the size of gender </w:t>
      </w:r>
      <w:r w:rsidRPr="003F264A">
        <w:rPr>
          <w:rFonts w:eastAsia="Calibri" w:cstheme="minorHAnsi"/>
        </w:rPr>
        <w:t>pay</w:t>
      </w:r>
      <w:r w:rsidRPr="003F264A">
        <w:rPr>
          <w:rFonts w:cstheme="minorHAnsi"/>
        </w:rPr>
        <w:t xml:space="preserve"> gaps.’</w:t>
      </w:r>
      <w:r w:rsidR="00BC51ED">
        <w:rPr>
          <w:rStyle w:val="FootnoteReference"/>
          <w:rFonts w:cstheme="minorHAnsi"/>
        </w:rPr>
        <w:footnoteReference w:id="98"/>
      </w:r>
    </w:p>
    <w:p w14:paraId="1A1B78D2" w14:textId="77777777" w:rsidR="00146267" w:rsidRDefault="00146267" w:rsidP="000F6998">
      <w:pPr>
        <w:jc w:val="both"/>
        <w:rPr>
          <w:rFonts w:eastAsia="Calibri" w:cstheme="minorHAnsi"/>
        </w:rPr>
      </w:pPr>
      <w:r w:rsidRPr="00146267">
        <w:rPr>
          <w:rFonts w:eastAsia="Calibri" w:cstheme="minorHAnsi"/>
          <w:noProof/>
          <w:lang w:eastAsia="en-AU"/>
        </w:rPr>
        <mc:AlternateContent>
          <mc:Choice Requires="wps">
            <w:drawing>
              <wp:anchor distT="45720" distB="45720" distL="114300" distR="114300" simplePos="0" relativeHeight="251668615" behindDoc="0" locked="0" layoutInCell="1" allowOverlap="1" wp14:anchorId="57470FFD" wp14:editId="47F93D58">
                <wp:simplePos x="0" y="0"/>
                <wp:positionH relativeFrom="margin">
                  <wp:align>right</wp:align>
                </wp:positionH>
                <wp:positionV relativeFrom="paragraph">
                  <wp:posOffset>850900</wp:posOffset>
                </wp:positionV>
                <wp:extent cx="5708650" cy="2210435"/>
                <wp:effectExtent l="0" t="0" r="25400" b="18415"/>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2210435"/>
                        </a:xfrm>
                        <a:prstGeom prst="rect">
                          <a:avLst/>
                        </a:prstGeom>
                        <a:solidFill>
                          <a:schemeClr val="accent1">
                            <a:lumMod val="20000"/>
                            <a:lumOff val="80000"/>
                          </a:schemeClr>
                        </a:solidFill>
                        <a:ln w="9525">
                          <a:solidFill>
                            <a:srgbClr val="000000"/>
                          </a:solidFill>
                          <a:miter lim="800000"/>
                          <a:headEnd/>
                          <a:tailEnd/>
                        </a:ln>
                      </wps:spPr>
                      <wps:txbx>
                        <w:txbxContent>
                          <w:p w14:paraId="0A7ECD79" w14:textId="77777777" w:rsidR="00D073EC" w:rsidRPr="003F264A" w:rsidRDefault="00D073EC" w:rsidP="00146267">
                            <w:pPr>
                              <w:jc w:val="both"/>
                              <w:rPr>
                                <w:rFonts w:eastAsia="Calibri" w:cstheme="minorHAnsi"/>
                                <w:i/>
                              </w:rPr>
                            </w:pPr>
                            <w:r>
                              <w:rPr>
                                <w:rFonts w:eastAsia="Calibri" w:cstheme="minorHAnsi"/>
                                <w:i/>
                              </w:rPr>
                              <w:t>3</w:t>
                            </w:r>
                            <w:r w:rsidRPr="003F264A">
                              <w:rPr>
                                <w:rFonts w:cstheme="minorHAnsi"/>
                                <w:i/>
                              </w:rPr>
                              <w:t>.1 Bridge the ‘action gap’</w:t>
                            </w:r>
                            <w:r w:rsidRPr="003F264A">
                              <w:rPr>
                                <w:rFonts w:eastAsia="Calibri" w:cstheme="minorHAnsi"/>
                                <w:i/>
                              </w:rPr>
                              <w:t xml:space="preserve"> to strengthen existing minimum standards by amending the Workplace Gender Equality (Minimum Standards) Instrument 2014 to:</w:t>
                            </w:r>
                          </w:p>
                          <w:p w14:paraId="3D9D6237" w14:textId="77777777" w:rsidR="00D073EC" w:rsidRPr="003F264A" w:rsidRDefault="00D073EC" w:rsidP="00146267">
                            <w:pPr>
                              <w:pStyle w:val="ListParagraph"/>
                              <w:numPr>
                                <w:ilvl w:val="0"/>
                                <w:numId w:val="10"/>
                              </w:numPr>
                              <w:spacing w:line="257" w:lineRule="auto"/>
                              <w:jc w:val="both"/>
                              <w:rPr>
                                <w:rFonts w:cstheme="minorHAnsi"/>
                                <w:i/>
                              </w:rPr>
                            </w:pPr>
                            <w:r w:rsidRPr="003F264A">
                              <w:rPr>
                                <w:rFonts w:cstheme="minorHAnsi"/>
                                <w:i/>
                              </w:rPr>
                              <w:t>Add a new minimum standard to require relevant employers with 500 or more employees to commit to, achieve and report to WGEA on measurable genuine targets to improve gender equality in their workplace against</w:t>
                            </w:r>
                            <w:r w:rsidRPr="003F264A">
                              <w:rPr>
                                <w:rFonts w:cstheme="minorHAnsi"/>
                                <w:b/>
                                <w:i/>
                              </w:rPr>
                              <w:t xml:space="preserve"> three</w:t>
                            </w:r>
                            <w:r w:rsidRPr="003F264A">
                              <w:rPr>
                                <w:rFonts w:cstheme="minorHAnsi"/>
                                <w:i/>
                              </w:rPr>
                              <w:t xml:space="preserve"> of the six gender equality indicators.</w:t>
                            </w:r>
                          </w:p>
                          <w:p w14:paraId="59CDA7DA" w14:textId="77777777" w:rsidR="00D073EC" w:rsidRPr="003F264A" w:rsidRDefault="00D073EC" w:rsidP="00146267">
                            <w:pPr>
                              <w:pStyle w:val="ListParagraph"/>
                              <w:numPr>
                                <w:ilvl w:val="0"/>
                                <w:numId w:val="10"/>
                              </w:numPr>
                              <w:spacing w:line="257" w:lineRule="auto"/>
                              <w:jc w:val="both"/>
                              <w:rPr>
                                <w:rFonts w:cstheme="minorHAnsi"/>
                                <w:i/>
                              </w:rPr>
                            </w:pPr>
                            <w:r w:rsidRPr="003F264A">
                              <w:rPr>
                                <w:rFonts w:cstheme="minorHAnsi"/>
                                <w:i/>
                              </w:rPr>
                              <w:t xml:space="preserve">Strengthen the existing minimum standards to require relevant employers with 500 or more employees to have policies or strategies that cover </w:t>
                            </w:r>
                            <w:r w:rsidRPr="003F264A">
                              <w:rPr>
                                <w:rFonts w:cstheme="minorHAnsi"/>
                                <w:b/>
                                <w:i/>
                              </w:rPr>
                              <w:t>all six</w:t>
                            </w:r>
                            <w:r w:rsidRPr="003F264A">
                              <w:rPr>
                                <w:rFonts w:cstheme="minorHAnsi"/>
                                <w:i/>
                              </w:rPr>
                              <w:t xml:space="preserve"> gender equality indicators (not just one policy or strategy for one gender equality indicator in the current minimum standards).</w:t>
                            </w:r>
                          </w:p>
                          <w:p w14:paraId="41AD4829" w14:textId="77777777" w:rsidR="00D073EC" w:rsidRPr="003F264A" w:rsidRDefault="00D073EC" w:rsidP="00146267">
                            <w:pPr>
                              <w:pStyle w:val="ListParagraph"/>
                              <w:numPr>
                                <w:ilvl w:val="0"/>
                                <w:numId w:val="10"/>
                              </w:numPr>
                              <w:spacing w:line="257" w:lineRule="auto"/>
                              <w:jc w:val="both"/>
                              <w:rPr>
                                <w:rFonts w:cstheme="minorHAnsi"/>
                                <w:i/>
                              </w:rPr>
                            </w:pPr>
                            <w:r w:rsidRPr="003F264A">
                              <w:rPr>
                                <w:rFonts w:cstheme="minorHAnsi"/>
                                <w:i/>
                              </w:rPr>
                              <w:t>Rename the minimum standards to be ‘gender quality standards’ to reflect the increased ambition of this option.</w:t>
                            </w:r>
                          </w:p>
                          <w:p w14:paraId="5C9E3EEF" w14:textId="493AEBBE" w:rsidR="00D073EC" w:rsidRPr="00146267" w:rsidRDefault="00D073EC" w:rsidP="00146267">
                            <w:pPr>
                              <w:jc w:val="both"/>
                              <w:rPr>
                                <w:rFonts w:eastAsia="Calibr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70FFD" id="_x0000_s1035" type="#_x0000_t202" style="position:absolute;left:0;text-align:left;margin-left:398.3pt;margin-top:67pt;width:449.5pt;height:174.05pt;z-index:25166861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" fillcolor="#deeaf6 [660]">
                <v:textbox>
                  <w:txbxContent>
                    <w:p w14:paraId="0A7ECD79" w14:textId="77777777" w:rsidR="00D073EC" w:rsidRPr="003F264A" w:rsidRDefault="00D073EC" w:rsidP="00146267">
                      <w:pPr>
                        <w:jc w:val="both"/>
                        <w:rPr>
                          <w:rFonts w:eastAsia="Calibri" w:cstheme="minorHAnsi"/>
                          <w:i/>
                        </w:rPr>
                      </w:pPr>
                      <w:r>
                        <w:rPr>
                          <w:rFonts w:eastAsia="Calibri" w:cstheme="minorHAnsi"/>
                          <w:i/>
                        </w:rPr>
                        <w:t>3</w:t>
                      </w:r>
                      <w:r w:rsidRPr="003F264A">
                        <w:rPr>
                          <w:rFonts w:cstheme="minorHAnsi"/>
                          <w:i/>
                        </w:rPr>
                        <w:t>.1 Bridge the ‘action gap’</w:t>
                      </w:r>
                      <w:r w:rsidRPr="003F264A">
                        <w:rPr>
                          <w:rFonts w:eastAsia="Calibri" w:cstheme="minorHAnsi"/>
                          <w:i/>
                        </w:rPr>
                        <w:t xml:space="preserve"> to strengthen existing minimum standards by amending the Workplace Gender Equality (Minimum Standards) Instrument 2014 to:</w:t>
                      </w:r>
                    </w:p>
                    <w:p w14:paraId="3D9D6237" w14:textId="77777777" w:rsidR="00D073EC" w:rsidRPr="003F264A" w:rsidRDefault="00D073EC" w:rsidP="00146267">
                      <w:pPr>
                        <w:pStyle w:val="ListParagraph"/>
                        <w:numPr>
                          <w:ilvl w:val="0"/>
                          <w:numId w:val="10"/>
                        </w:numPr>
                        <w:spacing w:line="257" w:lineRule="auto"/>
                        <w:jc w:val="both"/>
                        <w:rPr>
                          <w:rFonts w:cstheme="minorHAnsi"/>
                          <w:i/>
                        </w:rPr>
                      </w:pPr>
                      <w:r w:rsidRPr="003F264A">
                        <w:rPr>
                          <w:rFonts w:cstheme="minorHAnsi"/>
                          <w:i/>
                        </w:rPr>
                        <w:t>Add a new minimum standard to require relevant employers with 500 or more employees to commit to, achieve and report to WGEA on measurable genuine targets to improve gender equality in their workplace against</w:t>
                      </w:r>
                      <w:r w:rsidRPr="003F264A">
                        <w:rPr>
                          <w:rFonts w:cstheme="minorHAnsi"/>
                          <w:b/>
                          <w:i/>
                        </w:rPr>
                        <w:t xml:space="preserve"> three</w:t>
                      </w:r>
                      <w:r w:rsidRPr="003F264A">
                        <w:rPr>
                          <w:rFonts w:cstheme="minorHAnsi"/>
                          <w:i/>
                        </w:rPr>
                        <w:t xml:space="preserve"> of the six gender equality indicators.</w:t>
                      </w:r>
                    </w:p>
                    <w:p w14:paraId="59CDA7DA" w14:textId="77777777" w:rsidR="00D073EC" w:rsidRPr="003F264A" w:rsidRDefault="00D073EC" w:rsidP="00146267">
                      <w:pPr>
                        <w:pStyle w:val="ListParagraph"/>
                        <w:numPr>
                          <w:ilvl w:val="0"/>
                          <w:numId w:val="10"/>
                        </w:numPr>
                        <w:spacing w:line="257" w:lineRule="auto"/>
                        <w:jc w:val="both"/>
                        <w:rPr>
                          <w:rFonts w:cstheme="minorHAnsi"/>
                          <w:i/>
                        </w:rPr>
                      </w:pPr>
                      <w:r w:rsidRPr="003F264A">
                        <w:rPr>
                          <w:rFonts w:cstheme="minorHAnsi"/>
                          <w:i/>
                        </w:rPr>
                        <w:t xml:space="preserve">Strengthen the existing minimum standards to require relevant employers with 500 or more employees to have policies or strategies that cover </w:t>
                      </w:r>
                      <w:r w:rsidRPr="003F264A">
                        <w:rPr>
                          <w:rFonts w:cstheme="minorHAnsi"/>
                          <w:b/>
                          <w:i/>
                        </w:rPr>
                        <w:t>all six</w:t>
                      </w:r>
                      <w:r w:rsidRPr="003F264A">
                        <w:rPr>
                          <w:rFonts w:cstheme="minorHAnsi"/>
                          <w:i/>
                        </w:rPr>
                        <w:t xml:space="preserve"> gender equality indicators (not just one policy or strategy for one gender equality indicator in the current minimum standards).</w:t>
                      </w:r>
                    </w:p>
                    <w:p w14:paraId="41AD4829" w14:textId="77777777" w:rsidR="00D073EC" w:rsidRPr="003F264A" w:rsidRDefault="00D073EC" w:rsidP="00146267">
                      <w:pPr>
                        <w:pStyle w:val="ListParagraph"/>
                        <w:numPr>
                          <w:ilvl w:val="0"/>
                          <w:numId w:val="10"/>
                        </w:numPr>
                        <w:spacing w:line="257" w:lineRule="auto"/>
                        <w:jc w:val="both"/>
                        <w:rPr>
                          <w:rFonts w:cstheme="minorHAnsi"/>
                          <w:i/>
                        </w:rPr>
                      </w:pPr>
                      <w:r w:rsidRPr="003F264A">
                        <w:rPr>
                          <w:rFonts w:cstheme="minorHAnsi"/>
                          <w:i/>
                        </w:rPr>
                        <w:t>Rename the minimum standards to be ‘gender quality standards’ to reflect the increased ambition of this option.</w:t>
                      </w:r>
                    </w:p>
                    <w:p w14:paraId="5C9E3EEF" w14:textId="493AEBBE" w:rsidR="00D073EC" w:rsidRPr="00146267" w:rsidRDefault="00D073EC" w:rsidP="00146267">
                      <w:pPr>
                        <w:jc w:val="both"/>
                        <w:rPr>
                          <w:rFonts w:eastAsia="Calibri" w:cstheme="minorHAnsi"/>
                        </w:rPr>
                      </w:pPr>
                    </w:p>
                  </w:txbxContent>
                </v:textbox>
                <w10:wrap type="square" anchorx="margin"/>
              </v:shape>
            </w:pict>
          </mc:Fallback>
        </mc:AlternateContent>
      </w:r>
      <w:r w:rsidR="004B2D21" w:rsidRPr="003F264A">
        <w:rPr>
          <w:rFonts w:eastAsia="Calibri" w:cstheme="minorHAnsi"/>
        </w:rPr>
        <w:t xml:space="preserve">To further reinforce the action taken by employers as a result of increased transparency under Recommendation 2, Option 3 would also drive change by bridging the ‘action gap’ through strengthened gender equality standards. This would be implemented through Recommendation 3 of the WGEA Review which recommends that Government: </w:t>
      </w:r>
    </w:p>
    <w:p w14:paraId="1B0D3B14" w14:textId="59B89AE7" w:rsidR="004B2D21" w:rsidRPr="003F264A" w:rsidRDefault="004B2D21" w:rsidP="000F6998">
      <w:pPr>
        <w:jc w:val="both"/>
        <w:rPr>
          <w:rFonts w:eastAsia="Calibri" w:cstheme="minorHAnsi"/>
        </w:rPr>
      </w:pPr>
      <w:r w:rsidRPr="003F264A">
        <w:rPr>
          <w:rFonts w:eastAsia="Calibri" w:cstheme="minorHAnsi"/>
        </w:rPr>
        <w:t xml:space="preserve">Recommendation 3 proposes substantial strengthening of the minimum standards as a mechanism to drive change towards gender equality. </w:t>
      </w:r>
    </w:p>
    <w:p w14:paraId="65A04063" w14:textId="71323025" w:rsidR="004B2D21" w:rsidRPr="003F264A" w:rsidRDefault="004B2D21" w:rsidP="000F6998">
      <w:pPr>
        <w:jc w:val="both"/>
        <w:rPr>
          <w:rFonts w:eastAsia="Calibri" w:cstheme="minorHAnsi"/>
        </w:rPr>
      </w:pPr>
      <w:r w:rsidRPr="003F264A">
        <w:rPr>
          <w:rFonts w:eastAsia="Calibri" w:cstheme="minorHAnsi"/>
        </w:rPr>
        <w:t xml:space="preserve">Recommendation 3.1.a is a central recommendation of the Review. The overall pace of change for gender equality in Australian workplaces has been slow. </w:t>
      </w:r>
      <w:r w:rsidR="00997905">
        <w:rPr>
          <w:rFonts w:eastAsia="Calibri" w:cstheme="minorHAnsi"/>
        </w:rPr>
        <w:t>Genuine and m</w:t>
      </w:r>
      <w:r w:rsidRPr="003F264A">
        <w:rPr>
          <w:rFonts w:eastAsia="Calibri" w:cstheme="minorHAnsi"/>
        </w:rPr>
        <w:t xml:space="preserve">easurable gender equality targets </w:t>
      </w:r>
      <w:r w:rsidR="00997905">
        <w:rPr>
          <w:rFonts w:eastAsia="Calibri" w:cstheme="minorHAnsi"/>
        </w:rPr>
        <w:t>that would</w:t>
      </w:r>
      <w:r w:rsidRPr="003F264A">
        <w:rPr>
          <w:rFonts w:eastAsia="Calibri" w:cstheme="minorHAnsi"/>
        </w:rPr>
        <w:t xml:space="preserve"> be developed under Option 3, </w:t>
      </w:r>
      <w:r w:rsidRPr="003F264A">
        <w:rPr>
          <w:rFonts w:cstheme="minorHAnsi"/>
          <w:lang w:val="en-GB"/>
        </w:rPr>
        <w:t>drive</w:t>
      </w:r>
      <w:r w:rsidRPr="003F264A">
        <w:rPr>
          <w:rFonts w:eastAsia="Calibri" w:cstheme="minorHAnsi"/>
        </w:rPr>
        <w:t xml:space="preserve"> action towards a </w:t>
      </w:r>
      <w:r w:rsidR="00997905">
        <w:rPr>
          <w:rFonts w:eastAsia="Calibri" w:cstheme="minorHAnsi"/>
        </w:rPr>
        <w:t xml:space="preserve">tangible </w:t>
      </w:r>
      <w:r w:rsidRPr="003F264A">
        <w:rPr>
          <w:rFonts w:eastAsia="Calibri" w:cstheme="minorHAnsi"/>
        </w:rPr>
        <w:t xml:space="preserve">goal and assist employers in prioritising gender equality, accelerating the pace of change, and </w:t>
      </w:r>
      <w:r w:rsidR="00997905">
        <w:rPr>
          <w:rFonts w:eastAsia="Calibri" w:cstheme="minorHAnsi"/>
        </w:rPr>
        <w:t>advancing</w:t>
      </w:r>
      <w:r w:rsidR="00997905" w:rsidRPr="003F264A">
        <w:rPr>
          <w:rFonts w:eastAsia="Calibri" w:cstheme="minorHAnsi"/>
        </w:rPr>
        <w:t xml:space="preserve"> </w:t>
      </w:r>
      <w:r w:rsidRPr="003F264A">
        <w:rPr>
          <w:rFonts w:eastAsia="Calibri" w:cstheme="minorHAnsi"/>
        </w:rPr>
        <w:t xml:space="preserve">gender equality in workplaces. Through the process of publicly setting and reporting on targets, employers will have the opportunity to identify and articulate where their organisations can improve. Option 3 would see employers setting targets against data reported to WGEA on the GEIs to </w:t>
      </w:r>
      <w:r w:rsidR="00997905">
        <w:rPr>
          <w:rFonts w:eastAsia="Calibri" w:cstheme="minorHAnsi"/>
        </w:rPr>
        <w:t>improve</w:t>
      </w:r>
      <w:r w:rsidR="00997905" w:rsidRPr="003F264A">
        <w:rPr>
          <w:rFonts w:eastAsia="Calibri" w:cstheme="minorHAnsi"/>
        </w:rPr>
        <w:t xml:space="preserve"> </w:t>
      </w:r>
      <w:r w:rsidRPr="003F264A">
        <w:rPr>
          <w:rFonts w:eastAsia="Calibri" w:cstheme="minorHAnsi"/>
        </w:rPr>
        <w:t xml:space="preserve">measurement towards an employer’s gender equality goals. </w:t>
      </w:r>
      <w:r w:rsidR="00997905">
        <w:rPr>
          <w:rFonts w:eastAsia="Calibri" w:cstheme="minorHAnsi"/>
        </w:rPr>
        <w:t>Implementation of this</w:t>
      </w:r>
      <w:r w:rsidR="004B54AC" w:rsidRPr="003F264A">
        <w:rPr>
          <w:rFonts w:eastAsia="Calibri" w:cstheme="minorHAnsi"/>
        </w:rPr>
        <w:t xml:space="preserve"> recommendation </w:t>
      </w:r>
      <w:r w:rsidR="00997905">
        <w:rPr>
          <w:rFonts w:eastAsia="Calibri" w:cstheme="minorHAnsi"/>
        </w:rPr>
        <w:t>will allow</w:t>
      </w:r>
      <w:r w:rsidR="004B54AC" w:rsidRPr="003F264A">
        <w:rPr>
          <w:rFonts w:eastAsia="Calibri" w:cstheme="minorHAnsi"/>
        </w:rPr>
        <w:t xml:space="preserve"> employers to work in collaboration with WGEA to set </w:t>
      </w:r>
      <w:r w:rsidR="00997905">
        <w:rPr>
          <w:rFonts w:eastAsia="Calibri" w:cstheme="minorHAnsi"/>
        </w:rPr>
        <w:t xml:space="preserve">the </w:t>
      </w:r>
      <w:r w:rsidR="004B54AC" w:rsidRPr="003F264A">
        <w:rPr>
          <w:rFonts w:eastAsia="Calibri" w:cstheme="minorHAnsi"/>
        </w:rPr>
        <w:t>targets that work best for their organisation</w:t>
      </w:r>
      <w:r w:rsidR="00997905">
        <w:rPr>
          <w:rFonts w:eastAsia="Calibri" w:cstheme="minorHAnsi"/>
        </w:rPr>
        <w:t xml:space="preserve">. </w:t>
      </w:r>
    </w:p>
    <w:p w14:paraId="4FD2F2CD" w14:textId="6F84F7EC" w:rsidR="004B2D21" w:rsidRPr="003F264A" w:rsidRDefault="004B2D21" w:rsidP="000F6998">
      <w:pPr>
        <w:jc w:val="both"/>
        <w:rPr>
          <w:rFonts w:eastAsia="Calibri" w:cstheme="minorHAnsi"/>
        </w:rPr>
      </w:pPr>
      <w:r w:rsidRPr="003F264A">
        <w:rPr>
          <w:rFonts w:eastAsia="Calibri" w:cstheme="minorHAnsi"/>
        </w:rPr>
        <w:t xml:space="preserve">Employers will </w:t>
      </w:r>
      <w:r w:rsidR="00F65EFD">
        <w:rPr>
          <w:rFonts w:eastAsia="Calibri" w:cstheme="minorHAnsi"/>
        </w:rPr>
        <w:t xml:space="preserve">be able to choose targets from a menu of targets provided by </w:t>
      </w:r>
      <w:r w:rsidR="00F65EFD" w:rsidRPr="009C60FA">
        <w:rPr>
          <w:rFonts w:eastAsia="Calibri" w:cstheme="minorHAnsi"/>
        </w:rPr>
        <w:t>WGEA a</w:t>
      </w:r>
      <w:r w:rsidR="009C60FA">
        <w:rPr>
          <w:rFonts w:eastAsia="Calibri" w:cstheme="minorHAnsi"/>
        </w:rPr>
        <w:t>nd may</w:t>
      </w:r>
      <w:r w:rsidR="00F65EFD" w:rsidRPr="009C60FA">
        <w:rPr>
          <w:rFonts w:eastAsia="Calibri" w:cstheme="minorHAnsi"/>
        </w:rPr>
        <w:t xml:space="preserve"> </w:t>
      </w:r>
      <w:r w:rsidR="009C60FA">
        <w:rPr>
          <w:rFonts w:eastAsia="Calibri" w:cstheme="minorHAnsi"/>
        </w:rPr>
        <w:t>also</w:t>
      </w:r>
      <w:r w:rsidR="00F65EFD" w:rsidRPr="009C60FA">
        <w:rPr>
          <w:rFonts w:eastAsia="Calibri" w:cstheme="minorHAnsi"/>
        </w:rPr>
        <w:t xml:space="preserve"> be able to set their own targets in collaboration with WGEA.</w:t>
      </w:r>
      <w:r w:rsidR="00F65EFD">
        <w:rPr>
          <w:rFonts w:eastAsia="Calibri" w:cstheme="minorHAnsi"/>
        </w:rPr>
        <w:t xml:space="preserve"> </w:t>
      </w:r>
      <w:r w:rsidR="00997905">
        <w:rPr>
          <w:rFonts w:eastAsia="Calibri" w:cstheme="minorHAnsi"/>
        </w:rPr>
        <w:t>This approach allows employers</w:t>
      </w:r>
      <w:r w:rsidR="00997905" w:rsidRPr="003F264A">
        <w:rPr>
          <w:rFonts w:eastAsia="Calibri" w:cstheme="minorHAnsi"/>
        </w:rPr>
        <w:t xml:space="preserve"> to choose targets that will be most effective for them.</w:t>
      </w:r>
      <w:r w:rsidR="00997905">
        <w:rPr>
          <w:rFonts w:eastAsia="Calibri" w:cstheme="minorHAnsi"/>
        </w:rPr>
        <w:t xml:space="preserve"> </w:t>
      </w:r>
      <w:r w:rsidR="00F65EFD">
        <w:rPr>
          <w:rFonts w:eastAsia="Calibri" w:cstheme="minorHAnsi"/>
        </w:rPr>
        <w:t xml:space="preserve">All targets developed by WGEA will have a timeframe of either one, two or three years. </w:t>
      </w:r>
      <w:r w:rsidRPr="003F264A">
        <w:rPr>
          <w:rFonts w:eastAsia="Calibri" w:cstheme="minorHAnsi"/>
        </w:rPr>
        <w:t>Employers would be able to demonstrate that a target is genuine either by setting and achieving a percentage point or absolute increase against the target</w:t>
      </w:r>
      <w:r w:rsidR="00997905">
        <w:rPr>
          <w:rFonts w:eastAsia="Calibri" w:cstheme="minorHAnsi"/>
        </w:rPr>
        <w:t>,</w:t>
      </w:r>
      <w:r w:rsidRPr="003F264A">
        <w:rPr>
          <w:rFonts w:eastAsia="Calibri" w:cstheme="minorHAnsi"/>
        </w:rPr>
        <w:t xml:space="preserve"> or by introducing new measures or enhancements to a policy or strategy within a reasonable timeframe. The targets</w:t>
      </w:r>
      <w:r w:rsidR="00997905">
        <w:rPr>
          <w:rFonts w:eastAsia="Calibri" w:cstheme="minorHAnsi"/>
        </w:rPr>
        <w:t>,</w:t>
      </w:r>
      <w:r w:rsidRPr="003F264A">
        <w:rPr>
          <w:rFonts w:eastAsia="Calibri" w:cstheme="minorHAnsi"/>
        </w:rPr>
        <w:t xml:space="preserve"> and progress towards </w:t>
      </w:r>
      <w:r w:rsidR="00997905">
        <w:rPr>
          <w:rFonts w:eastAsia="Calibri" w:cstheme="minorHAnsi"/>
        </w:rPr>
        <w:t>them,</w:t>
      </w:r>
      <w:r w:rsidRPr="003F264A">
        <w:rPr>
          <w:rFonts w:eastAsia="Calibri" w:cstheme="minorHAnsi"/>
        </w:rPr>
        <w:t xml:space="preserve"> will be public and included in public reports. This includes publishing the data on the WGEA Data Explorer. Under Option 3, WGEA would encourage organisations to also publish their targets and the steps they are taking to meet targets on their own websites. </w:t>
      </w:r>
    </w:p>
    <w:p w14:paraId="3E52E7CF" w14:textId="77777777" w:rsidR="004E7891" w:rsidRDefault="004B2D21" w:rsidP="000F6998">
      <w:pPr>
        <w:jc w:val="both"/>
        <w:rPr>
          <w:rFonts w:eastAsia="Calibri" w:cstheme="minorHAnsi"/>
        </w:rPr>
      </w:pPr>
      <w:r w:rsidRPr="003F264A">
        <w:rPr>
          <w:rFonts w:eastAsia="Calibri" w:cstheme="minorHAnsi"/>
        </w:rPr>
        <w:t xml:space="preserve">Under Recommendation 3.1.b, relevant employers would be required to have formal policies and/or strategies in place for all six </w:t>
      </w:r>
      <w:r w:rsidR="00EB0A7D" w:rsidRPr="003F264A">
        <w:rPr>
          <w:rFonts w:eastAsia="Calibri" w:cstheme="minorHAnsi"/>
        </w:rPr>
        <w:t>GEI</w:t>
      </w:r>
      <w:r w:rsidRPr="003F264A">
        <w:rPr>
          <w:rFonts w:eastAsia="Calibri" w:cstheme="minorHAnsi"/>
        </w:rPr>
        <w:t xml:space="preserve">s. </w:t>
      </w:r>
      <w:r w:rsidR="009D6416" w:rsidRPr="003F264A">
        <w:rPr>
          <w:rFonts w:eastAsia="Calibri" w:cstheme="minorHAnsi"/>
        </w:rPr>
        <w:t xml:space="preserve">This is a significant increase on the current standard which requires large companies to have a policy/strategy in relation to </w:t>
      </w:r>
      <w:r w:rsidR="009D6416" w:rsidRPr="0089473A">
        <w:rPr>
          <w:rFonts w:eastAsia="Calibri" w:cstheme="minorHAnsi"/>
          <w:u w:val="single"/>
        </w:rPr>
        <w:t>only one</w:t>
      </w:r>
      <w:r w:rsidR="009D6416" w:rsidRPr="003F264A">
        <w:rPr>
          <w:rFonts w:eastAsia="Calibri" w:cstheme="minorHAnsi"/>
        </w:rPr>
        <w:t xml:space="preserve"> GEI. </w:t>
      </w:r>
      <w:r w:rsidRPr="003F264A">
        <w:rPr>
          <w:rFonts w:eastAsia="Calibri" w:cstheme="minorHAnsi"/>
        </w:rPr>
        <w:t xml:space="preserve">The expectation for complying with this requirement is that employers would have a minimum of six policies and/or strategies – at least one policy and/or strategy for each </w:t>
      </w:r>
      <w:r w:rsidR="00EB0A7D" w:rsidRPr="003F264A">
        <w:rPr>
          <w:rFonts w:eastAsia="Calibri" w:cstheme="minorHAnsi"/>
        </w:rPr>
        <w:t>GEI</w:t>
      </w:r>
      <w:r w:rsidRPr="003F264A">
        <w:rPr>
          <w:rFonts w:eastAsia="Calibri" w:cstheme="minorHAnsi"/>
        </w:rPr>
        <w:t xml:space="preserve">. </w:t>
      </w:r>
    </w:p>
    <w:p w14:paraId="6AB97E55" w14:textId="38993A21" w:rsidR="004B2D21" w:rsidRPr="003F264A" w:rsidRDefault="004B2D21" w:rsidP="000F6998">
      <w:pPr>
        <w:jc w:val="both"/>
        <w:rPr>
          <w:rFonts w:eastAsia="Calibri" w:cstheme="minorHAnsi"/>
        </w:rPr>
      </w:pPr>
      <w:r w:rsidRPr="00F65EFD">
        <w:rPr>
          <w:rFonts w:eastAsia="Calibri" w:cstheme="minorHAnsi"/>
        </w:rPr>
        <w:t>WGEA w</w:t>
      </w:r>
      <w:r w:rsidR="00F65EFD">
        <w:rPr>
          <w:rFonts w:eastAsia="Calibri" w:cstheme="minorHAnsi"/>
        </w:rPr>
        <w:t>ill</w:t>
      </w:r>
      <w:r w:rsidRPr="00F65EFD">
        <w:rPr>
          <w:rFonts w:eastAsia="Calibri" w:cstheme="minorHAnsi"/>
        </w:rPr>
        <w:t xml:space="preserve"> support employers through tools and resources that facilitate their development of meaningful policies and strategies for gender equality.</w:t>
      </w:r>
      <w:r w:rsidRPr="003F264A">
        <w:rPr>
          <w:rFonts w:eastAsia="Calibri" w:cstheme="minorHAnsi"/>
        </w:rPr>
        <w:t xml:space="preserve"> Under Option 3</w:t>
      </w:r>
      <w:r w:rsidRPr="003F264A">
        <w:rPr>
          <w:rFonts w:cstheme="minorHAnsi"/>
        </w:rPr>
        <w:t xml:space="preserve">, </w:t>
      </w:r>
      <w:r w:rsidRPr="003F264A">
        <w:rPr>
          <w:rFonts w:eastAsia="Calibri" w:cstheme="minorHAnsi"/>
        </w:rPr>
        <w:t xml:space="preserve">an employer that has policies and/or strategies for each gender equality indicator would meet the required gender equality standard and the reporting requirement to WGEA. These new requirements would require employers not only to report to WGEA, but substantially increase their role and accountability in driving change at an organisational level. </w:t>
      </w:r>
    </w:p>
    <w:p w14:paraId="471354A7" w14:textId="7F17692B" w:rsidR="00146267" w:rsidRDefault="00146267" w:rsidP="000F6998">
      <w:pPr>
        <w:jc w:val="both"/>
        <w:rPr>
          <w:rFonts w:eastAsia="Calibri" w:cstheme="minorHAnsi"/>
        </w:rPr>
      </w:pPr>
      <w:r w:rsidRPr="00146267">
        <w:rPr>
          <w:rFonts w:eastAsia="Calibri" w:cstheme="minorHAnsi"/>
          <w:noProof/>
          <w:lang w:eastAsia="en-AU"/>
        </w:rPr>
        <mc:AlternateContent>
          <mc:Choice Requires="wps">
            <w:drawing>
              <wp:anchor distT="45720" distB="45720" distL="114300" distR="114300" simplePos="0" relativeHeight="251670663" behindDoc="0" locked="0" layoutInCell="1" allowOverlap="1" wp14:anchorId="341720F3" wp14:editId="47B0EC5D">
                <wp:simplePos x="0" y="0"/>
                <wp:positionH relativeFrom="margin">
                  <wp:posOffset>-2540</wp:posOffset>
                </wp:positionH>
                <wp:positionV relativeFrom="paragraph">
                  <wp:posOffset>425146</wp:posOffset>
                </wp:positionV>
                <wp:extent cx="5708650" cy="1693545"/>
                <wp:effectExtent l="0" t="0" r="25400" b="20955"/>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693545"/>
                        </a:xfrm>
                        <a:prstGeom prst="rect">
                          <a:avLst/>
                        </a:prstGeom>
                        <a:solidFill>
                          <a:schemeClr val="accent1">
                            <a:lumMod val="20000"/>
                            <a:lumOff val="80000"/>
                          </a:schemeClr>
                        </a:solidFill>
                        <a:ln w="9525">
                          <a:solidFill>
                            <a:srgbClr val="000000"/>
                          </a:solidFill>
                          <a:miter lim="800000"/>
                          <a:headEnd/>
                          <a:tailEnd/>
                        </a:ln>
                      </wps:spPr>
                      <wps:txbx>
                        <w:txbxContent>
                          <w:p w14:paraId="19506BFA" w14:textId="77777777" w:rsidR="00D073EC" w:rsidRPr="003F264A" w:rsidRDefault="00D073EC" w:rsidP="00146267">
                            <w:pPr>
                              <w:spacing w:line="257" w:lineRule="auto"/>
                              <w:jc w:val="both"/>
                              <w:rPr>
                                <w:rFonts w:cstheme="minorHAnsi"/>
                                <w:i/>
                              </w:rPr>
                            </w:pPr>
                            <w:r>
                              <w:rPr>
                                <w:rFonts w:eastAsia="Calibri" w:cstheme="minorHAnsi"/>
                                <w:i/>
                              </w:rPr>
                              <w:t>3</w:t>
                            </w:r>
                            <w:r w:rsidRPr="003F264A">
                              <w:rPr>
                                <w:rFonts w:cstheme="minorHAnsi"/>
                                <w:i/>
                              </w:rPr>
                              <w:t>.2 Strengthen accountability of employers to take action to improve gender equality in workplaces by amending the Workplace Gender Equality (Matters in relation to Gender Equality Indicators) Instrument 2013 (No. 1) to:</w:t>
                            </w:r>
                          </w:p>
                          <w:p w14:paraId="3D4B17E8" w14:textId="77777777" w:rsidR="00D073EC" w:rsidRPr="003F264A" w:rsidRDefault="00D073EC" w:rsidP="00146267">
                            <w:pPr>
                              <w:pStyle w:val="ListParagraph"/>
                              <w:numPr>
                                <w:ilvl w:val="0"/>
                                <w:numId w:val="11"/>
                              </w:numPr>
                              <w:spacing w:line="257" w:lineRule="auto"/>
                              <w:jc w:val="both"/>
                              <w:rPr>
                                <w:rFonts w:cstheme="minorHAnsi"/>
                                <w:i/>
                              </w:rPr>
                            </w:pPr>
                            <w:r w:rsidRPr="003F264A">
                              <w:rPr>
                                <w:rFonts w:cstheme="minorHAnsi"/>
                                <w:i/>
                              </w:rPr>
                              <w:t>Require relevant employers to report the date employers share with their employees, shareholders, and/or members the gender equality reports that the employers provided to WGEA; and</w:t>
                            </w:r>
                          </w:p>
                          <w:p w14:paraId="728F3E06" w14:textId="47ECA8B3" w:rsidR="00D073EC" w:rsidRPr="00146267" w:rsidRDefault="00D073EC" w:rsidP="00146267">
                            <w:pPr>
                              <w:pStyle w:val="ListParagraph"/>
                              <w:numPr>
                                <w:ilvl w:val="0"/>
                                <w:numId w:val="11"/>
                              </w:numPr>
                              <w:spacing w:line="257" w:lineRule="auto"/>
                              <w:jc w:val="both"/>
                              <w:rPr>
                                <w:rFonts w:cstheme="minorHAnsi"/>
                                <w:i/>
                              </w:rPr>
                            </w:pPr>
                            <w:r w:rsidRPr="003F264A">
                              <w:rPr>
                                <w:rFonts w:cstheme="minorHAnsi"/>
                                <w:i/>
                              </w:rPr>
                              <w:t xml:space="preserve">Require relevant employers to provide the Executive Summary report and Industry Benchmark report (as </w:t>
                            </w:r>
                            <w:r w:rsidRPr="003F264A">
                              <w:rPr>
                                <w:rFonts w:eastAsia="Calibri" w:cstheme="minorHAnsi"/>
                              </w:rPr>
                              <w:t>provided to employers by WGEA)</w:t>
                            </w:r>
                            <w:r w:rsidRPr="003F264A">
                              <w:rPr>
                                <w:rFonts w:cstheme="minorHAnsi"/>
                                <w:i/>
                              </w:rPr>
                              <w:t xml:space="preserve"> to their Board/Governing Body.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720F3" id="_x0000_s1036" type="#_x0000_t202" style="position:absolute;left:0;text-align:left;margin-left:-.2pt;margin-top:33.5pt;width:449.5pt;height:133.35pt;z-index:25167066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" fillcolor="#deeaf6 [660]">
                <v:textbox>
                  <w:txbxContent>
                    <w:p w14:paraId="19506BFA" w14:textId="77777777" w:rsidR="00D073EC" w:rsidRPr="003F264A" w:rsidRDefault="00D073EC" w:rsidP="00146267">
                      <w:pPr>
                        <w:spacing w:line="257" w:lineRule="auto"/>
                        <w:jc w:val="both"/>
                        <w:rPr>
                          <w:rFonts w:cstheme="minorHAnsi"/>
                          <w:i/>
                        </w:rPr>
                      </w:pPr>
                      <w:r>
                        <w:rPr>
                          <w:rFonts w:eastAsia="Calibri" w:cstheme="minorHAnsi"/>
                          <w:i/>
                        </w:rPr>
                        <w:t>3</w:t>
                      </w:r>
                      <w:r w:rsidRPr="003F264A">
                        <w:rPr>
                          <w:rFonts w:cstheme="minorHAnsi"/>
                          <w:i/>
                        </w:rPr>
                        <w:t>.2 Strengthen accountability of employers to take action to improve gender equality in workplaces by amending the Workplace Gender Equality (Matters in relation to Gender Equality Indicators) Instrument 2013 (No. 1) to:</w:t>
                      </w:r>
                    </w:p>
                    <w:p w14:paraId="3D4B17E8" w14:textId="77777777" w:rsidR="00D073EC" w:rsidRPr="003F264A" w:rsidRDefault="00D073EC" w:rsidP="00146267">
                      <w:pPr>
                        <w:pStyle w:val="ListParagraph"/>
                        <w:numPr>
                          <w:ilvl w:val="0"/>
                          <w:numId w:val="11"/>
                        </w:numPr>
                        <w:spacing w:line="257" w:lineRule="auto"/>
                        <w:jc w:val="both"/>
                        <w:rPr>
                          <w:rFonts w:cstheme="minorHAnsi"/>
                          <w:i/>
                        </w:rPr>
                      </w:pPr>
                      <w:r w:rsidRPr="003F264A">
                        <w:rPr>
                          <w:rFonts w:cstheme="minorHAnsi"/>
                          <w:i/>
                        </w:rPr>
                        <w:t>Require relevant employers to report the date employers share with their employees, shareholders, and/or members the gender equality reports that the employers provided to WGEA; and</w:t>
                      </w:r>
                    </w:p>
                    <w:p w14:paraId="728F3E06" w14:textId="47ECA8B3" w:rsidR="00D073EC" w:rsidRPr="00146267" w:rsidRDefault="00D073EC" w:rsidP="00146267">
                      <w:pPr>
                        <w:pStyle w:val="ListParagraph"/>
                        <w:numPr>
                          <w:ilvl w:val="0"/>
                          <w:numId w:val="11"/>
                        </w:numPr>
                        <w:spacing w:line="257" w:lineRule="auto"/>
                        <w:jc w:val="both"/>
                        <w:rPr>
                          <w:rFonts w:cstheme="minorHAnsi"/>
                          <w:i/>
                        </w:rPr>
                      </w:pPr>
                      <w:r w:rsidRPr="003F264A">
                        <w:rPr>
                          <w:rFonts w:cstheme="minorHAnsi"/>
                          <w:i/>
                        </w:rPr>
                        <w:t xml:space="preserve">Require relevant employers to provide the Executive Summary report and Industry Benchmark report (as </w:t>
                      </w:r>
                      <w:r w:rsidRPr="003F264A">
                        <w:rPr>
                          <w:rFonts w:eastAsia="Calibri" w:cstheme="minorHAnsi"/>
                        </w:rPr>
                        <w:t>provided to employers by WGEA)</w:t>
                      </w:r>
                      <w:r w:rsidRPr="003F264A">
                        <w:rPr>
                          <w:rFonts w:cstheme="minorHAnsi"/>
                          <w:i/>
                        </w:rPr>
                        <w:t xml:space="preserve"> to their Board/Governing Body. </w:t>
                      </w:r>
                    </w:p>
                  </w:txbxContent>
                </v:textbox>
                <w10:wrap type="square" anchorx="margin"/>
              </v:shape>
            </w:pict>
          </mc:Fallback>
        </mc:AlternateContent>
      </w:r>
      <w:r w:rsidR="004B2D21" w:rsidRPr="003F264A">
        <w:rPr>
          <w:rFonts w:eastAsia="Calibri" w:cstheme="minorHAnsi"/>
        </w:rPr>
        <w:t xml:space="preserve">Recommendation 3.2 supports the changes required under Recommendation 3.1. It recommends the Government: </w:t>
      </w:r>
    </w:p>
    <w:p w14:paraId="0731AF48" w14:textId="46737002" w:rsidR="004B2D21" w:rsidRPr="003F264A" w:rsidRDefault="004B2D21" w:rsidP="000F6998">
      <w:pPr>
        <w:pStyle w:val="Default"/>
        <w:spacing w:before="120"/>
        <w:jc w:val="both"/>
        <w:rPr>
          <w:rFonts w:asciiTheme="minorHAnsi" w:eastAsia="Calibri" w:hAnsiTheme="minorHAnsi" w:cstheme="minorHAnsi"/>
          <w:sz w:val="22"/>
          <w:szCs w:val="22"/>
        </w:rPr>
      </w:pPr>
      <w:r w:rsidRPr="003F264A">
        <w:rPr>
          <w:rFonts w:asciiTheme="minorHAnsi" w:eastAsia="Calibri" w:hAnsiTheme="minorHAnsi" w:cstheme="minorHAnsi"/>
          <w:sz w:val="22"/>
          <w:szCs w:val="22"/>
        </w:rPr>
        <w:t>These changes would embed accountability into the reporting process</w:t>
      </w:r>
      <w:r w:rsidR="004E7891">
        <w:rPr>
          <w:rFonts w:asciiTheme="minorHAnsi" w:eastAsia="Calibri" w:hAnsiTheme="minorHAnsi" w:cstheme="minorHAnsi"/>
          <w:sz w:val="22"/>
          <w:szCs w:val="22"/>
        </w:rPr>
        <w:t xml:space="preserve"> for employers</w:t>
      </w:r>
      <w:r w:rsidRPr="003F264A">
        <w:rPr>
          <w:rFonts w:asciiTheme="minorHAnsi" w:eastAsia="Calibri" w:hAnsiTheme="minorHAnsi" w:cstheme="minorHAnsi"/>
          <w:sz w:val="22"/>
          <w:szCs w:val="22"/>
        </w:rPr>
        <w:t xml:space="preserve">, and foster transparency of gender equality challenges and progress within organisations (3.2.a) as well as acknowledging the strategic role boards play in driving change in organisations (3.2.b). Option 3 takes into account that leadership commitment and ownership is integral to </w:t>
      </w:r>
      <w:r w:rsidR="004E7891">
        <w:rPr>
          <w:rFonts w:asciiTheme="minorHAnsi" w:eastAsia="Calibri" w:hAnsiTheme="minorHAnsi" w:cstheme="minorHAnsi"/>
          <w:sz w:val="22"/>
          <w:szCs w:val="22"/>
        </w:rPr>
        <w:t>advancing</w:t>
      </w:r>
      <w:r w:rsidRPr="003F264A">
        <w:rPr>
          <w:rFonts w:asciiTheme="minorHAnsi" w:eastAsia="Calibri" w:hAnsiTheme="minorHAnsi" w:cstheme="minorHAnsi"/>
          <w:sz w:val="22"/>
          <w:szCs w:val="22"/>
        </w:rPr>
        <w:t xml:space="preserve"> gender equality in the workplace. This is why the Executive Summary report and Industry Benchmark report provided to employers by WGEA must be shared and made accessible to the board/governing body. </w:t>
      </w:r>
    </w:p>
    <w:p w14:paraId="181E1894" w14:textId="77777777" w:rsidR="004B2D21" w:rsidRPr="003F264A" w:rsidRDefault="004B2D21" w:rsidP="000F6998">
      <w:pPr>
        <w:pStyle w:val="Default"/>
        <w:jc w:val="both"/>
        <w:rPr>
          <w:rFonts w:asciiTheme="minorHAnsi" w:eastAsia="Calibri" w:hAnsiTheme="minorHAnsi" w:cstheme="minorHAnsi"/>
          <w:sz w:val="22"/>
          <w:szCs w:val="22"/>
        </w:rPr>
      </w:pPr>
    </w:p>
    <w:p w14:paraId="55A19AD0" w14:textId="77777777" w:rsidR="004B2D21" w:rsidRPr="003F264A" w:rsidRDefault="004B2D21" w:rsidP="000F6998">
      <w:pPr>
        <w:pStyle w:val="Heading2"/>
        <w:jc w:val="both"/>
        <w:rPr>
          <w:rFonts w:asciiTheme="minorHAnsi" w:eastAsia="Calibri Light" w:hAnsiTheme="minorHAnsi" w:cstheme="minorHAnsi"/>
          <w:color w:val="4472C4" w:themeColor="accent5"/>
        </w:rPr>
      </w:pPr>
      <w:bookmarkStart w:id="60" w:name="_Toc118794734"/>
      <w:bookmarkStart w:id="61" w:name="_Toc125714709"/>
      <w:r w:rsidRPr="003F264A">
        <w:rPr>
          <w:rFonts w:asciiTheme="minorHAnsi" w:eastAsia="Calibri Light" w:hAnsiTheme="minorHAnsi" w:cstheme="minorHAnsi"/>
          <w:color w:val="4472C4" w:themeColor="accent5"/>
        </w:rPr>
        <w:t xml:space="preserve">5.3.5 </w:t>
      </w:r>
      <w:r w:rsidR="00243CF6" w:rsidRPr="003F264A">
        <w:rPr>
          <w:rFonts w:asciiTheme="minorHAnsi" w:eastAsia="Calibri Light" w:hAnsiTheme="minorHAnsi" w:cstheme="minorHAnsi"/>
          <w:color w:val="4472C4" w:themeColor="accent5"/>
        </w:rPr>
        <w:t>What does Option 3</w:t>
      </w:r>
      <w:r w:rsidRPr="003F264A">
        <w:rPr>
          <w:rFonts w:asciiTheme="minorHAnsi" w:eastAsia="Calibri Light" w:hAnsiTheme="minorHAnsi" w:cstheme="minorHAnsi"/>
          <w:color w:val="4472C4" w:themeColor="accent5"/>
        </w:rPr>
        <w:t xml:space="preserve"> look like for impacted stakeholders?</w:t>
      </w:r>
      <w:bookmarkEnd w:id="60"/>
      <w:bookmarkEnd w:id="61"/>
    </w:p>
    <w:p w14:paraId="33BD0E7B" w14:textId="77777777" w:rsidR="002C731E" w:rsidRPr="003F264A" w:rsidRDefault="002C731E" w:rsidP="000F6998">
      <w:pPr>
        <w:spacing w:line="257" w:lineRule="auto"/>
        <w:jc w:val="both"/>
        <w:rPr>
          <w:rFonts w:eastAsia="Calibri" w:cstheme="minorHAnsi"/>
        </w:rPr>
      </w:pPr>
      <w:r w:rsidRPr="003F264A">
        <w:rPr>
          <w:rFonts w:eastAsia="Calibri" w:cstheme="minorHAnsi"/>
        </w:rPr>
        <w:t>Section</w:t>
      </w:r>
      <w:r w:rsidR="00057195" w:rsidRPr="003F264A">
        <w:rPr>
          <w:rFonts w:eastAsia="Calibri" w:cstheme="minorHAnsi"/>
        </w:rPr>
        <w:t>s</w:t>
      </w:r>
      <w:r w:rsidRPr="003F264A">
        <w:rPr>
          <w:rFonts w:eastAsia="Calibri" w:cstheme="minorHAnsi"/>
        </w:rPr>
        <w:t xml:space="preserve"> 13(4)</w:t>
      </w:r>
      <w:r w:rsidR="00057195" w:rsidRPr="003F264A">
        <w:rPr>
          <w:rFonts w:eastAsia="Calibri" w:cstheme="minorHAnsi"/>
        </w:rPr>
        <w:t xml:space="preserve"> and 19(1) </w:t>
      </w:r>
      <w:r w:rsidRPr="003F264A">
        <w:rPr>
          <w:rFonts w:eastAsia="Calibri" w:cstheme="minorHAnsi"/>
        </w:rPr>
        <w:t>of the WGE Act contains information on relevant notice periods</w:t>
      </w:r>
      <w:r w:rsidR="00057195" w:rsidRPr="003F264A">
        <w:rPr>
          <w:rFonts w:eastAsia="Calibri" w:cstheme="minorHAnsi"/>
        </w:rPr>
        <w:t xml:space="preserve"> in relation to instrument changes</w:t>
      </w:r>
      <w:r w:rsidR="008E2D1B" w:rsidRPr="003F264A">
        <w:rPr>
          <w:rFonts w:eastAsia="Calibri" w:cstheme="minorHAnsi"/>
        </w:rPr>
        <w:t xml:space="preserve">. A legislative change to an associated instrument of the WGE Act is required to be made before the start of the reporting period, effectively providing the employer with one year’s notice before reporting is due. This </w:t>
      </w:r>
      <w:r w:rsidR="008A73EB">
        <w:rPr>
          <w:rFonts w:eastAsia="Calibri" w:cstheme="minorHAnsi"/>
        </w:rPr>
        <w:t>will</w:t>
      </w:r>
      <w:r w:rsidR="008A73EB" w:rsidRPr="003F264A">
        <w:rPr>
          <w:rFonts w:eastAsia="Calibri" w:cstheme="minorHAnsi"/>
        </w:rPr>
        <w:t xml:space="preserve"> </w:t>
      </w:r>
      <w:r w:rsidR="008E2D1B" w:rsidRPr="003F264A">
        <w:rPr>
          <w:rFonts w:eastAsia="Calibri" w:cstheme="minorHAnsi"/>
        </w:rPr>
        <w:t>allow employers time to adapt and update HR systems and internal processes.</w:t>
      </w:r>
    </w:p>
    <w:p w14:paraId="3D6A3E12" w14:textId="10DF784B" w:rsidR="004B2D21" w:rsidRPr="003F264A" w:rsidRDefault="004B2D21" w:rsidP="000F6998">
      <w:pPr>
        <w:pStyle w:val="Bullets1stindent"/>
        <w:jc w:val="both"/>
      </w:pPr>
      <w:r w:rsidRPr="003F264A">
        <w:t>Recommendation 2</w:t>
      </w:r>
    </w:p>
    <w:p w14:paraId="2FDC0724" w14:textId="7A445AC4" w:rsidR="001B5EAD" w:rsidRPr="003F264A" w:rsidRDefault="001B5EAD" w:rsidP="000F6998">
      <w:pPr>
        <w:spacing w:line="257" w:lineRule="auto"/>
        <w:jc w:val="both"/>
        <w:rPr>
          <w:rFonts w:eastAsia="Calibri" w:cstheme="minorHAnsi"/>
        </w:rPr>
      </w:pPr>
      <w:r w:rsidRPr="003F264A">
        <w:rPr>
          <w:rFonts w:eastAsia="Calibri" w:cstheme="minorHAnsi"/>
        </w:rPr>
        <w:t>Recommendation 2 requires amendments to the WGE Act.</w:t>
      </w:r>
      <w:r w:rsidR="00376220" w:rsidRPr="003F264A">
        <w:rPr>
          <w:rFonts w:eastAsia="Calibri" w:cstheme="minorHAnsi"/>
        </w:rPr>
        <w:t xml:space="preserve"> WGEA is developing a technical solution in order to display this information and currently estimates the first organisational pay gaps to be published in early 2024.</w:t>
      </w:r>
    </w:p>
    <w:p w14:paraId="270AB850" w14:textId="699CEF81" w:rsidR="004B2D21" w:rsidRPr="003F264A" w:rsidRDefault="004B2D21" w:rsidP="000F6998">
      <w:pPr>
        <w:spacing w:line="257" w:lineRule="auto"/>
        <w:jc w:val="both"/>
        <w:rPr>
          <w:rFonts w:cstheme="minorHAnsi"/>
        </w:rPr>
      </w:pPr>
      <w:r w:rsidRPr="003F264A">
        <w:rPr>
          <w:rFonts w:cstheme="minorHAnsi"/>
        </w:rPr>
        <w:t xml:space="preserve">No technical change would be required by employers in terms of reporting processes or data provided to WGEA. The work to publish </w:t>
      </w:r>
      <w:r w:rsidR="00AD33F9">
        <w:rPr>
          <w:rFonts w:cstheme="minorHAnsi"/>
        </w:rPr>
        <w:t xml:space="preserve">organisational pay gaps </w:t>
      </w:r>
      <w:r w:rsidR="00395206">
        <w:rPr>
          <w:rFonts w:cstheme="minorHAnsi"/>
        </w:rPr>
        <w:t>will</w:t>
      </w:r>
      <w:r w:rsidR="00395206" w:rsidRPr="003F264A">
        <w:rPr>
          <w:rFonts w:cstheme="minorHAnsi"/>
        </w:rPr>
        <w:t xml:space="preserve"> </w:t>
      </w:r>
      <w:r w:rsidRPr="003F264A">
        <w:rPr>
          <w:rFonts w:cstheme="minorHAnsi"/>
        </w:rPr>
        <w:t xml:space="preserve">be done by WGEA. </w:t>
      </w:r>
      <w:r w:rsidR="008F1140">
        <w:rPr>
          <w:rFonts w:cstheme="minorHAnsi"/>
        </w:rPr>
        <w:t xml:space="preserve">WGEA resources will include detail on gender pay gap calculations, details on drivers of the gender pay gap, myth busters in relation to the gender pay gap including the differences with pay </w:t>
      </w:r>
      <w:r w:rsidR="00717E88">
        <w:rPr>
          <w:rFonts w:cstheme="minorHAnsi"/>
        </w:rPr>
        <w:t>equity</w:t>
      </w:r>
      <w:r w:rsidR="008F1140">
        <w:rPr>
          <w:rFonts w:cstheme="minorHAnsi"/>
        </w:rPr>
        <w:t xml:space="preserve">. </w:t>
      </w:r>
      <w:r w:rsidRPr="003F264A">
        <w:rPr>
          <w:rFonts w:cstheme="minorHAnsi"/>
        </w:rPr>
        <w:t xml:space="preserve">Relevant employers currently report remuneration data to WGEA, but no individual employee remuneration is published by WGEA. </w:t>
      </w:r>
    </w:p>
    <w:p w14:paraId="614D8C6F" w14:textId="77777777" w:rsidR="004B2D21" w:rsidRPr="003F264A" w:rsidRDefault="004B2D21" w:rsidP="000F6998">
      <w:pPr>
        <w:spacing w:line="257" w:lineRule="auto"/>
        <w:jc w:val="both"/>
        <w:rPr>
          <w:rFonts w:cstheme="minorHAnsi"/>
        </w:rPr>
      </w:pPr>
      <w:r w:rsidRPr="003F264A">
        <w:rPr>
          <w:rFonts w:cstheme="minorHAnsi"/>
        </w:rPr>
        <w:t xml:space="preserve">WGEA will publish necessary contextual analysis alongside organisational pay gap data to ensure proper interpretation. </w:t>
      </w:r>
      <w:r w:rsidR="00376220" w:rsidRPr="003F264A">
        <w:rPr>
          <w:rFonts w:cstheme="minorHAnsi"/>
        </w:rPr>
        <w:t xml:space="preserve">This will include </w:t>
      </w:r>
      <w:r w:rsidRPr="003F264A">
        <w:rPr>
          <w:rFonts w:cstheme="minorHAnsi"/>
        </w:rPr>
        <w:t>information on factors that contribute to the gender pay gap and how the gender pay gap is calculated and interpreted. WGEA would provide information to employers on how to communicate their gender pay gaps to employees and what issues contribute to the gender pay gap. Employers would have access to a suite of resources that explain the gender pay gap and ways to address it.</w:t>
      </w:r>
    </w:p>
    <w:p w14:paraId="548A830C" w14:textId="449D06F3" w:rsidR="00F0724B" w:rsidRDefault="008E2D1B" w:rsidP="000F6998">
      <w:pPr>
        <w:spacing w:line="257" w:lineRule="auto"/>
        <w:jc w:val="both"/>
        <w:rPr>
          <w:rFonts w:cstheme="minorHAnsi"/>
        </w:rPr>
      </w:pPr>
      <w:r w:rsidRPr="00C751F9">
        <w:rPr>
          <w:rFonts w:cstheme="minorHAnsi"/>
        </w:rPr>
        <w:t xml:space="preserve">An early representation of how gender pay gaps are expected to </w:t>
      </w:r>
      <w:r w:rsidR="00C03612" w:rsidRPr="00C751F9">
        <w:rPr>
          <w:rFonts w:cstheme="minorHAnsi"/>
        </w:rPr>
        <w:t>be</w:t>
      </w:r>
      <w:r w:rsidRPr="00C751F9">
        <w:rPr>
          <w:rFonts w:cstheme="minorHAnsi"/>
        </w:rPr>
        <w:t xml:space="preserve"> published is attached at </w:t>
      </w:r>
      <w:r w:rsidR="004E690F" w:rsidRPr="00C751F9">
        <w:rPr>
          <w:rFonts w:cstheme="minorHAnsi"/>
        </w:rPr>
        <w:t>Appendix</w:t>
      </w:r>
      <w:r w:rsidR="00AD33F9">
        <w:rPr>
          <w:rFonts w:cstheme="minorHAnsi"/>
        </w:rPr>
        <w:t> </w:t>
      </w:r>
      <w:r w:rsidR="004E690F" w:rsidRPr="00C751F9">
        <w:rPr>
          <w:rFonts w:cstheme="minorHAnsi"/>
        </w:rPr>
        <w:t>B</w:t>
      </w:r>
      <w:r w:rsidR="009526A9" w:rsidRPr="00C751F9">
        <w:rPr>
          <w:rFonts w:cstheme="minorHAnsi"/>
        </w:rPr>
        <w:t xml:space="preserve"> along with information as to how WGEA calculates the gender pay gap</w:t>
      </w:r>
      <w:r w:rsidRPr="00C751F9">
        <w:rPr>
          <w:rFonts w:cstheme="minorHAnsi"/>
        </w:rPr>
        <w:t>.</w:t>
      </w:r>
      <w:r w:rsidR="00C03612" w:rsidRPr="00C751F9">
        <w:rPr>
          <w:rFonts w:cstheme="minorHAnsi"/>
        </w:rPr>
        <w:t xml:space="preserve"> A sample report is also provided at Appendix C.</w:t>
      </w:r>
      <w:r w:rsidR="00F44901">
        <w:rPr>
          <w:rFonts w:cstheme="minorHAnsi"/>
        </w:rPr>
        <w:t xml:space="preserve"> </w:t>
      </w:r>
    </w:p>
    <w:p w14:paraId="70C6258A" w14:textId="765FCEB9" w:rsidR="004B2D21" w:rsidRPr="00A62356" w:rsidRDefault="004B2D21" w:rsidP="000F6998">
      <w:pPr>
        <w:spacing w:line="257" w:lineRule="auto"/>
        <w:jc w:val="both"/>
        <w:rPr>
          <w:b/>
        </w:rPr>
      </w:pPr>
      <w:r w:rsidRPr="00A62356">
        <w:rPr>
          <w:b/>
        </w:rPr>
        <w:t>Recommendation 3</w:t>
      </w:r>
    </w:p>
    <w:p w14:paraId="7C9B00E9" w14:textId="0FE9BB8D" w:rsidR="004B2D21" w:rsidRPr="003F264A" w:rsidRDefault="008E2D1B" w:rsidP="000F6998">
      <w:pPr>
        <w:spacing w:line="257" w:lineRule="auto"/>
        <w:jc w:val="both"/>
        <w:rPr>
          <w:rFonts w:eastAsia="Calibri" w:cstheme="minorHAnsi"/>
        </w:rPr>
      </w:pPr>
      <w:r w:rsidRPr="003F264A">
        <w:rPr>
          <w:rFonts w:eastAsia="Calibri" w:cstheme="minorHAnsi"/>
        </w:rPr>
        <w:t xml:space="preserve">Recommendation 3.1 requires changes be made to the </w:t>
      </w:r>
      <w:r w:rsidRPr="003F264A">
        <w:rPr>
          <w:rFonts w:eastAsia="Calibri" w:cstheme="minorHAnsi"/>
          <w:i/>
        </w:rPr>
        <w:t>Workplace Gender Equality (Minimum Standards) Instrument 2014</w:t>
      </w:r>
      <w:r w:rsidRPr="003F264A">
        <w:rPr>
          <w:rFonts w:eastAsia="Calibri" w:cstheme="minorHAnsi"/>
        </w:rPr>
        <w:t xml:space="preserve"> and Recommendation 3.2 requires changes to the </w:t>
      </w:r>
      <w:r w:rsidRPr="003F264A">
        <w:rPr>
          <w:rFonts w:eastAsia="Calibri" w:cstheme="minorHAnsi"/>
          <w:i/>
        </w:rPr>
        <w:t>Workplace Gender Equality (Matters in relation to Gender Equality Indicators) Instrument 2013 (No. 1</w:t>
      </w:r>
      <w:r w:rsidRPr="009C60FA">
        <w:rPr>
          <w:rFonts w:eastAsia="Calibri" w:cstheme="minorHAnsi"/>
          <w:i/>
        </w:rPr>
        <w:t>)</w:t>
      </w:r>
      <w:r w:rsidRPr="009C60FA">
        <w:rPr>
          <w:rFonts w:eastAsia="Calibri" w:cstheme="minorHAnsi"/>
        </w:rPr>
        <w:t xml:space="preserve"> and the WGE Act.</w:t>
      </w:r>
      <w:r w:rsidRPr="003F264A">
        <w:rPr>
          <w:rFonts w:eastAsia="Calibri" w:cstheme="minorHAnsi"/>
        </w:rPr>
        <w:t xml:space="preserve"> </w:t>
      </w:r>
      <w:r w:rsidR="004B2D21" w:rsidRPr="003F264A">
        <w:rPr>
          <w:rFonts w:eastAsia="Calibri" w:cstheme="minorHAnsi"/>
        </w:rPr>
        <w:t xml:space="preserve">Recommendation 3 </w:t>
      </w:r>
      <w:r w:rsidRPr="003F264A">
        <w:rPr>
          <w:rFonts w:eastAsia="Calibri" w:cstheme="minorHAnsi"/>
        </w:rPr>
        <w:t>will mean that employers with 500 or more employees are required to make</w:t>
      </w:r>
      <w:r w:rsidR="004B2D21" w:rsidRPr="003F264A">
        <w:rPr>
          <w:rFonts w:eastAsia="Calibri" w:cstheme="minorHAnsi"/>
        </w:rPr>
        <w:t xml:space="preserve"> significant changes</w:t>
      </w:r>
      <w:r w:rsidRPr="003F264A">
        <w:rPr>
          <w:rFonts w:eastAsia="Calibri" w:cstheme="minorHAnsi"/>
        </w:rPr>
        <w:t xml:space="preserve">. </w:t>
      </w:r>
      <w:r w:rsidR="004B2D21" w:rsidRPr="003F264A">
        <w:rPr>
          <w:rFonts w:eastAsia="Calibri" w:cstheme="minorHAnsi"/>
        </w:rPr>
        <w:t>In order to reduce the regulatory burden of the required changes a step</w:t>
      </w:r>
      <w:r w:rsidR="00AD33F9">
        <w:rPr>
          <w:rFonts w:eastAsia="Calibri" w:cstheme="minorHAnsi"/>
        </w:rPr>
        <w:t>-</w:t>
      </w:r>
      <w:r w:rsidR="004B2D21" w:rsidRPr="003F264A">
        <w:rPr>
          <w:rFonts w:eastAsia="Calibri" w:cstheme="minorHAnsi"/>
        </w:rPr>
        <w:t>by</w:t>
      </w:r>
      <w:r w:rsidR="00AD33F9">
        <w:rPr>
          <w:rFonts w:eastAsia="Calibri" w:cstheme="minorHAnsi"/>
        </w:rPr>
        <w:t>-</w:t>
      </w:r>
      <w:r w:rsidR="004B2D21" w:rsidRPr="003F264A">
        <w:rPr>
          <w:rFonts w:eastAsia="Calibri" w:cstheme="minorHAnsi"/>
        </w:rPr>
        <w:t xml:space="preserve">step process has been set out by WGEA. This is set out in </w:t>
      </w:r>
      <w:r w:rsidR="004E690F" w:rsidRPr="003F264A">
        <w:rPr>
          <w:rFonts w:eastAsia="Calibri" w:cstheme="minorHAnsi"/>
        </w:rPr>
        <w:t xml:space="preserve">Appendix </w:t>
      </w:r>
      <w:r w:rsidR="00C03612">
        <w:rPr>
          <w:rFonts w:eastAsia="Calibri" w:cstheme="minorHAnsi"/>
        </w:rPr>
        <w:t>D</w:t>
      </w:r>
      <w:r w:rsidR="004E690F" w:rsidRPr="003F264A">
        <w:rPr>
          <w:rFonts w:eastAsia="Calibri" w:cstheme="minorHAnsi"/>
        </w:rPr>
        <w:t>.</w:t>
      </w:r>
      <w:r w:rsidR="004B2D21" w:rsidRPr="003F264A">
        <w:rPr>
          <w:rFonts w:eastAsia="Calibri" w:cstheme="minorHAnsi"/>
        </w:rPr>
        <w:t xml:space="preserve"> </w:t>
      </w:r>
    </w:p>
    <w:p w14:paraId="617EEC7E" w14:textId="2F66011F" w:rsidR="004B2D21" w:rsidRPr="003F264A" w:rsidRDefault="004B2D21" w:rsidP="000F6998">
      <w:pPr>
        <w:spacing w:line="257" w:lineRule="auto"/>
        <w:jc w:val="both"/>
        <w:rPr>
          <w:rFonts w:eastAsia="Calibri" w:cstheme="minorHAnsi"/>
        </w:rPr>
      </w:pPr>
      <w:r w:rsidRPr="003F264A">
        <w:rPr>
          <w:rFonts w:cstheme="minorHAnsi"/>
        </w:rPr>
        <w:t>Under Recommendation 3.1.a, meeting targets will be tied to employer requirements for gender equality rep</w:t>
      </w:r>
      <w:r w:rsidR="00717E88">
        <w:rPr>
          <w:rFonts w:cstheme="minorHAnsi"/>
        </w:rPr>
        <w:t xml:space="preserve">orting to WGEA. Most simply, a large </w:t>
      </w:r>
      <w:r w:rsidRPr="003F264A">
        <w:rPr>
          <w:rFonts w:cstheme="minorHAnsi"/>
        </w:rPr>
        <w:t xml:space="preserve">employer that meets their targets within the specified time period would also meet </w:t>
      </w:r>
      <w:r w:rsidRPr="003F264A">
        <w:rPr>
          <w:rFonts w:eastAsia="Calibri" w:cstheme="minorHAnsi"/>
        </w:rPr>
        <w:t xml:space="preserve">the gender equality standard and the reporting requirement to WGEA. </w:t>
      </w:r>
      <w:r w:rsidR="00717E88">
        <w:rPr>
          <w:rFonts w:eastAsia="Calibri" w:cstheme="minorHAnsi"/>
        </w:rPr>
        <w:t xml:space="preserve">At all times, large employers will be expected to maintain three targets. </w:t>
      </w:r>
      <w:r w:rsidRPr="003F264A">
        <w:rPr>
          <w:rFonts w:eastAsia="Calibri" w:cstheme="minorHAnsi"/>
        </w:rPr>
        <w:t xml:space="preserve">Employers that do not meet their target in the specified time period will be provided one more reporting period to make progress and meet the target. WGEA will assist employers in setting targets by developing tools and resources for target setting, enabling accessible analyses of gender equality data, and providing examples of targets and practical steps to take to achieve targets. </w:t>
      </w:r>
    </w:p>
    <w:p w14:paraId="5D4395BB" w14:textId="77777777" w:rsidR="004B2D21" w:rsidRPr="003F264A" w:rsidRDefault="004B2D21" w:rsidP="000F6998">
      <w:pPr>
        <w:spacing w:line="257" w:lineRule="auto"/>
        <w:jc w:val="both"/>
        <w:rPr>
          <w:rFonts w:eastAsia="Calibri" w:cstheme="minorHAnsi"/>
        </w:rPr>
      </w:pPr>
      <w:r w:rsidRPr="003F264A">
        <w:rPr>
          <w:rFonts w:eastAsia="Calibri" w:cstheme="minorHAnsi"/>
        </w:rPr>
        <w:t xml:space="preserve">WGEA will provide employers a choice of targets set against the GEIs as well as examples of reasonable and measurable longer-term goals. WGEA will also provide employers with a pathway to meeting targets, including examples of actions that can be taken or areas that an employer may need to address in order to reach the targets. </w:t>
      </w:r>
    </w:p>
    <w:p w14:paraId="04D41FB9" w14:textId="77777777" w:rsidR="004B2D21" w:rsidRPr="003F264A" w:rsidRDefault="00203D2C" w:rsidP="000F6998">
      <w:pPr>
        <w:spacing w:line="257" w:lineRule="auto"/>
        <w:jc w:val="both"/>
        <w:rPr>
          <w:rFonts w:cstheme="minorHAnsi"/>
          <w:color w:val="000000" w:themeColor="text1"/>
        </w:rPr>
      </w:pPr>
      <w:r>
        <w:rPr>
          <w:rFonts w:eastAsia="Calibri" w:cstheme="minorHAnsi"/>
        </w:rPr>
        <w:t>In order to</w:t>
      </w:r>
      <w:r w:rsidR="004B2D21" w:rsidRPr="003F264A">
        <w:rPr>
          <w:rFonts w:eastAsia="Calibri" w:cstheme="minorHAnsi"/>
        </w:rPr>
        <w:t xml:space="preserve"> </w:t>
      </w:r>
      <w:r w:rsidR="00077823">
        <w:rPr>
          <w:rFonts w:eastAsia="Calibri" w:cstheme="minorHAnsi"/>
        </w:rPr>
        <w:t xml:space="preserve">implement </w:t>
      </w:r>
      <w:r w:rsidR="004B2D21" w:rsidRPr="003F264A">
        <w:rPr>
          <w:rFonts w:eastAsia="Calibri" w:cstheme="minorHAnsi"/>
        </w:rPr>
        <w:t xml:space="preserve">Recommendation 3.1.b, relevant employers of 500 or more must have formal policies and/or strategies in place for all six </w:t>
      </w:r>
      <w:r w:rsidR="00EB0A7D" w:rsidRPr="003F264A">
        <w:rPr>
          <w:rFonts w:eastAsia="Calibri" w:cstheme="minorHAnsi"/>
        </w:rPr>
        <w:t>GEI</w:t>
      </w:r>
      <w:r w:rsidR="004B2D21" w:rsidRPr="003F264A">
        <w:rPr>
          <w:rFonts w:eastAsia="Calibri" w:cstheme="minorHAnsi"/>
        </w:rPr>
        <w:t xml:space="preserve">s. The expectation for complying with this requirement is that employers would have a minimum of six policies and/or strategies – at least one policy and/or strategy for each </w:t>
      </w:r>
      <w:r w:rsidR="00EB0A7D" w:rsidRPr="003F264A">
        <w:rPr>
          <w:rFonts w:eastAsia="Calibri" w:cstheme="minorHAnsi"/>
        </w:rPr>
        <w:t>GEI</w:t>
      </w:r>
      <w:r w:rsidR="004B2D21" w:rsidRPr="003F264A">
        <w:rPr>
          <w:rFonts w:eastAsia="Calibri" w:cstheme="minorHAnsi"/>
        </w:rPr>
        <w:t xml:space="preserve">. WGEA will support employers through tools and resources that facilitate their development of meaningful policies and strategies for gender equality. Currently 100 </w:t>
      </w:r>
      <w:r w:rsidR="00CA2ABE" w:rsidRPr="003F264A">
        <w:rPr>
          <w:rFonts w:eastAsia="Calibri" w:cstheme="minorHAnsi"/>
        </w:rPr>
        <w:t>per cent</w:t>
      </w:r>
      <w:r w:rsidR="004B2D21" w:rsidRPr="003F264A">
        <w:rPr>
          <w:rFonts w:eastAsia="Calibri" w:cstheme="minorHAnsi"/>
        </w:rPr>
        <w:t xml:space="preserve"> of relevant employers with 500 or more employees comply with the minimum standards, with almost every company having a policy or strategy in place on sex-based harassment and discrimination</w:t>
      </w:r>
      <w:r w:rsidR="00A4702F" w:rsidRPr="003F264A">
        <w:rPr>
          <w:rFonts w:eastAsia="Calibri" w:cstheme="minorHAnsi"/>
        </w:rPr>
        <w:t>.</w:t>
      </w:r>
      <w:r w:rsidR="002D4D35" w:rsidRPr="003F264A">
        <w:rPr>
          <w:rStyle w:val="FootnoteReference"/>
          <w:rFonts w:eastAsia="Calibri" w:cstheme="minorHAnsi"/>
        </w:rPr>
        <w:footnoteReference w:id="99"/>
      </w:r>
      <w:r w:rsidR="004B2D21" w:rsidRPr="003F264A">
        <w:rPr>
          <w:rFonts w:eastAsia="Calibri" w:cstheme="minorHAnsi"/>
        </w:rPr>
        <w:t xml:space="preserve"> This suggests a helpful level of base knowledge for large companies that they can build on when looking to develop further policies/strategies. </w:t>
      </w:r>
    </w:p>
    <w:p w14:paraId="58D1A830" w14:textId="77777777" w:rsidR="006250CF" w:rsidRPr="003F264A" w:rsidRDefault="006250CF" w:rsidP="000F6998">
      <w:pPr>
        <w:spacing w:line="257" w:lineRule="auto"/>
        <w:jc w:val="both"/>
        <w:rPr>
          <w:rFonts w:eastAsia="Calibri" w:cstheme="minorHAnsi"/>
        </w:rPr>
      </w:pPr>
      <w:r w:rsidRPr="003F264A">
        <w:rPr>
          <w:rFonts w:eastAsia="Calibri" w:cstheme="minorHAnsi"/>
          <w:b/>
        </w:rPr>
        <w:t>Recommendation 7.1</w:t>
      </w:r>
    </w:p>
    <w:p w14:paraId="7E2E2B2D" w14:textId="37437796" w:rsidR="006250CF" w:rsidRPr="003F264A" w:rsidRDefault="006250CF" w:rsidP="000F6998">
      <w:pPr>
        <w:spacing w:line="257" w:lineRule="auto"/>
        <w:jc w:val="both"/>
        <w:rPr>
          <w:rFonts w:eastAsia="Calibri" w:cstheme="minorHAnsi"/>
        </w:rPr>
      </w:pPr>
      <w:r w:rsidRPr="003F264A">
        <w:rPr>
          <w:rFonts w:eastAsia="Calibri" w:cstheme="minorHAnsi"/>
        </w:rPr>
        <w:t xml:space="preserve">Recommendation 7.1 requires changes be made to </w:t>
      </w:r>
      <w:r w:rsidRPr="003F264A">
        <w:rPr>
          <w:rFonts w:eastAsia="Calibri" w:cstheme="minorHAnsi"/>
          <w:i/>
        </w:rPr>
        <w:t>the Workplace Gender Equality (Matters in relation to Gender Equality Indicators) Instrument 2013 (No. 1</w:t>
      </w:r>
      <w:r w:rsidR="00CD0D38">
        <w:rPr>
          <w:rFonts w:eastAsia="Calibri" w:cstheme="minorHAnsi"/>
        </w:rPr>
        <w:t xml:space="preserve">).  Recommendation </w:t>
      </w:r>
      <w:r w:rsidRPr="003F264A">
        <w:rPr>
          <w:rFonts w:eastAsia="Calibri" w:cstheme="minorHAnsi"/>
        </w:rPr>
        <w:t>7.3 require</w:t>
      </w:r>
      <w:r w:rsidR="00CD0D38">
        <w:rPr>
          <w:rFonts w:eastAsia="Calibri" w:cstheme="minorHAnsi"/>
        </w:rPr>
        <w:t>s</w:t>
      </w:r>
      <w:r w:rsidRPr="003F264A">
        <w:rPr>
          <w:rFonts w:eastAsia="Calibri" w:cstheme="minorHAnsi"/>
        </w:rPr>
        <w:t xml:space="preserve"> amendments be made to the WGE Act itself.</w:t>
      </w:r>
    </w:p>
    <w:p w14:paraId="4C3B5336" w14:textId="77777777" w:rsidR="006250CF" w:rsidRPr="003F264A" w:rsidRDefault="006250CF" w:rsidP="000F6998">
      <w:pPr>
        <w:spacing w:line="257" w:lineRule="auto"/>
        <w:jc w:val="both"/>
        <w:rPr>
          <w:rFonts w:eastAsia="Calibri" w:cstheme="minorHAnsi"/>
        </w:rPr>
      </w:pPr>
      <w:r w:rsidRPr="003F264A">
        <w:rPr>
          <w:rFonts w:eastAsia="Calibri" w:cstheme="minorHAnsi"/>
        </w:rPr>
        <w:t xml:space="preserve">Current WGEA data </w:t>
      </w:r>
      <w:r w:rsidR="00D24614" w:rsidRPr="003F264A">
        <w:rPr>
          <w:rFonts w:eastAsia="Calibri" w:cstheme="minorHAnsi"/>
        </w:rPr>
        <w:t>indicates</w:t>
      </w:r>
      <w:r w:rsidR="00B83663">
        <w:rPr>
          <w:rFonts w:eastAsia="Calibri" w:cstheme="minorHAnsi"/>
        </w:rPr>
        <w:t xml:space="preserve"> the vast majority of employer</w:t>
      </w:r>
      <w:r w:rsidRPr="003F264A">
        <w:rPr>
          <w:rFonts w:eastAsia="Calibri" w:cstheme="minorHAnsi"/>
        </w:rPr>
        <w:t>s already collect the information under Recommendation 7.1, and therefore would not be required to make internal adjustments ahead of the change.</w:t>
      </w:r>
      <w:r w:rsidRPr="003F264A">
        <w:rPr>
          <w:rStyle w:val="FootnoteReference"/>
          <w:rFonts w:eastAsia="Calibri" w:cstheme="minorHAnsi"/>
        </w:rPr>
        <w:footnoteReference w:id="100"/>
      </w:r>
      <w:r w:rsidRPr="003F264A">
        <w:rPr>
          <w:rFonts w:eastAsia="Calibri" w:cstheme="minorHAnsi"/>
        </w:rPr>
        <w:t xml:space="preserve"> In 2020-21</w:t>
      </w:r>
      <w:r w:rsidR="00A4702F" w:rsidRPr="003F264A">
        <w:rPr>
          <w:rFonts w:eastAsia="Calibri" w:cstheme="minorHAnsi"/>
        </w:rPr>
        <w:t>,</w:t>
      </w:r>
      <w:r w:rsidRPr="003F264A">
        <w:rPr>
          <w:rFonts w:eastAsia="Calibri" w:cstheme="minorHAnsi"/>
        </w:rPr>
        <w:t xml:space="preserve"> WGEA collected data on the age of employees on a voluntary basis. There was a very high reporting rate, with 73 per cent of employers reporting voluntarily on age.</w:t>
      </w:r>
      <w:r w:rsidRPr="003F264A">
        <w:rPr>
          <w:rStyle w:val="FootnoteReference"/>
          <w:rFonts w:eastAsia="Calibri" w:cstheme="minorHAnsi"/>
        </w:rPr>
        <w:footnoteReference w:id="101"/>
      </w:r>
      <w:r w:rsidRPr="003F264A">
        <w:rPr>
          <w:rFonts w:eastAsia="Calibri" w:cstheme="minorHAnsi"/>
        </w:rPr>
        <w:t xml:space="preserve"> For data on the main workplace location of employees on a voluntary basis, 72.8 per cent of employers provided data to WGEA.</w:t>
      </w:r>
      <w:r w:rsidRPr="003F264A">
        <w:rPr>
          <w:rStyle w:val="FootnoteReference"/>
          <w:rFonts w:eastAsia="Calibri" w:cstheme="minorHAnsi"/>
        </w:rPr>
        <w:footnoteReference w:id="102"/>
      </w:r>
      <w:r w:rsidRPr="003F264A">
        <w:rPr>
          <w:rFonts w:eastAsia="Calibri" w:cstheme="minorHAnsi"/>
        </w:rPr>
        <w:t xml:space="preserve"> For the same reporting period, WGEA asked employers, on a voluntary basis, to state whether they pay superannuation for employees on parental leave, both paid and unpaid: 60.1 per cent of employers provided this data. 51.3 per cent of employers provided remuneration data for the CEO on a voluntary basis.</w:t>
      </w:r>
      <w:r w:rsidRPr="003F264A">
        <w:rPr>
          <w:rStyle w:val="FootnoteReference"/>
          <w:rFonts w:eastAsia="Calibri" w:cstheme="minorHAnsi"/>
        </w:rPr>
        <w:footnoteReference w:id="103"/>
      </w:r>
      <w:r w:rsidRPr="003F264A">
        <w:rPr>
          <w:rFonts w:eastAsia="Calibri" w:cstheme="minorHAnsi"/>
        </w:rPr>
        <w:t xml:space="preserve"> These high rates of participation mean that the majority of reporting employers already collect this data and would not have to make any internal system changes to collect the data. </w:t>
      </w:r>
    </w:p>
    <w:p w14:paraId="12C66544" w14:textId="77777777" w:rsidR="006250CF" w:rsidRPr="003F264A" w:rsidRDefault="006250CF" w:rsidP="000F6998">
      <w:pPr>
        <w:spacing w:line="257" w:lineRule="auto"/>
        <w:jc w:val="both"/>
        <w:rPr>
          <w:rFonts w:eastAsia="Calibri" w:cstheme="minorHAnsi"/>
        </w:rPr>
      </w:pPr>
      <w:r w:rsidRPr="003F264A">
        <w:rPr>
          <w:rFonts w:cstheme="minorHAnsi"/>
          <w:b/>
        </w:rPr>
        <w:t>Recommendation 7.3</w:t>
      </w:r>
    </w:p>
    <w:p w14:paraId="6027A117" w14:textId="14CCD250" w:rsidR="004B2D21" w:rsidRPr="003F264A" w:rsidRDefault="00203D2C" w:rsidP="000F6998">
      <w:pPr>
        <w:jc w:val="both"/>
        <w:rPr>
          <w:rFonts w:cstheme="minorHAnsi"/>
          <w:szCs w:val="18"/>
        </w:rPr>
      </w:pPr>
      <w:r>
        <w:rPr>
          <w:rFonts w:cstheme="minorHAnsi"/>
          <w:color w:val="000000" w:themeColor="text1"/>
        </w:rPr>
        <w:t xml:space="preserve">In order to implement </w:t>
      </w:r>
      <w:r w:rsidR="006250CF" w:rsidRPr="003F264A">
        <w:rPr>
          <w:rFonts w:cstheme="minorHAnsi"/>
          <w:color w:val="000000" w:themeColor="text1"/>
        </w:rPr>
        <w:t xml:space="preserve">Recommendation 7.3.c, relevant employers who currently report at a group level, </w:t>
      </w:r>
      <w:r>
        <w:rPr>
          <w:rFonts w:eastAsia="Calibri" w:cstheme="minorHAnsi"/>
          <w:color w:val="000000"/>
        </w:rPr>
        <w:t>will</w:t>
      </w:r>
      <w:r w:rsidR="006250CF" w:rsidRPr="003F264A">
        <w:rPr>
          <w:rFonts w:eastAsia="Calibri" w:cstheme="minorHAnsi"/>
          <w:color w:val="000000"/>
        </w:rPr>
        <w:t xml:space="preserve"> be required to assign manager categories to their employees based on their roles in the entity in which they work, not in relation to the group. In other words, an organisation would assign manager categories to employees as if it was a standalone entity. Other components of reporting to WGEA would not change with entity level reporting. For instance, </w:t>
      </w:r>
      <w:r w:rsidR="006250CF" w:rsidRPr="003F264A">
        <w:rPr>
          <w:rFonts w:cstheme="minorHAnsi"/>
          <w:szCs w:val="18"/>
        </w:rPr>
        <w:t xml:space="preserve">corporate groups that report on multiple entities in one submission could still </w:t>
      </w:r>
      <w:r w:rsidR="00D24614" w:rsidRPr="003F264A">
        <w:rPr>
          <w:rFonts w:cstheme="minorHAnsi"/>
          <w:szCs w:val="18"/>
        </w:rPr>
        <w:t>submit</w:t>
      </w:r>
      <w:r w:rsidR="006250CF" w:rsidRPr="003F264A">
        <w:rPr>
          <w:rFonts w:cstheme="minorHAnsi"/>
          <w:szCs w:val="18"/>
        </w:rPr>
        <w:t xml:space="preserve"> one</w:t>
      </w:r>
      <w:r w:rsidR="00D24614" w:rsidRPr="003F264A">
        <w:rPr>
          <w:rFonts w:cstheme="minorHAnsi"/>
          <w:szCs w:val="18"/>
        </w:rPr>
        <w:t xml:space="preserve"> completed</w:t>
      </w:r>
      <w:r w:rsidR="006250CF" w:rsidRPr="003F264A">
        <w:rPr>
          <w:rFonts w:cstheme="minorHAnsi"/>
          <w:szCs w:val="18"/>
        </w:rPr>
        <w:t xml:space="preserve"> </w:t>
      </w:r>
      <w:r w:rsidR="00D24614" w:rsidRPr="003F264A">
        <w:rPr>
          <w:rFonts w:cstheme="minorHAnsi"/>
          <w:szCs w:val="18"/>
        </w:rPr>
        <w:t>q</w:t>
      </w:r>
      <w:r w:rsidR="006250CF" w:rsidRPr="003F264A">
        <w:rPr>
          <w:rFonts w:cstheme="minorHAnsi"/>
          <w:szCs w:val="18"/>
        </w:rPr>
        <w:t>uestionnaire for all entities in th</w:t>
      </w:r>
      <w:r w:rsidR="00D24614" w:rsidRPr="003F264A">
        <w:rPr>
          <w:rFonts w:cstheme="minorHAnsi"/>
          <w:szCs w:val="18"/>
        </w:rPr>
        <w:t>e</w:t>
      </w:r>
      <w:r w:rsidR="006250CF" w:rsidRPr="003F264A">
        <w:rPr>
          <w:rFonts w:cstheme="minorHAnsi"/>
          <w:szCs w:val="18"/>
        </w:rPr>
        <w:t xml:space="preserve"> group, provided the gender equality strategies, policies and actions are consistently in place in all entities in </w:t>
      </w:r>
      <w:r w:rsidR="00D24614" w:rsidRPr="003F264A">
        <w:rPr>
          <w:rFonts w:cstheme="minorHAnsi"/>
          <w:szCs w:val="18"/>
        </w:rPr>
        <w:t>the group</w:t>
      </w:r>
      <w:r w:rsidR="006250CF" w:rsidRPr="003F264A">
        <w:rPr>
          <w:rFonts w:cstheme="minorHAnsi"/>
          <w:szCs w:val="18"/>
        </w:rPr>
        <w:t>.</w:t>
      </w:r>
    </w:p>
    <w:p w14:paraId="6B5BE2D1" w14:textId="77777777" w:rsidR="00BF512C" w:rsidRPr="003F264A" w:rsidRDefault="00BF512C" w:rsidP="000F6998">
      <w:pPr>
        <w:jc w:val="both"/>
        <w:rPr>
          <w:rFonts w:cstheme="minorHAnsi"/>
        </w:rPr>
      </w:pPr>
    </w:p>
    <w:p w14:paraId="3F19689B" w14:textId="77777777" w:rsidR="00026D5D" w:rsidRPr="003F264A" w:rsidRDefault="00026D5D" w:rsidP="000F6998">
      <w:pPr>
        <w:jc w:val="both"/>
        <w:rPr>
          <w:rFonts w:cstheme="minorHAnsi"/>
        </w:rPr>
      </w:pPr>
      <w:r w:rsidRPr="003F264A">
        <w:rPr>
          <w:rFonts w:cstheme="minorHAnsi"/>
        </w:rPr>
        <w:br w:type="page"/>
      </w:r>
    </w:p>
    <w:p w14:paraId="4CCEE5BD" w14:textId="77777777" w:rsidR="00026D5D" w:rsidRPr="003F264A" w:rsidRDefault="00F804AA" w:rsidP="000F6998">
      <w:pPr>
        <w:pStyle w:val="Heading1"/>
        <w:numPr>
          <w:ilvl w:val="0"/>
          <w:numId w:val="26"/>
        </w:numPr>
        <w:jc w:val="both"/>
        <w:rPr>
          <w:rStyle w:val="Heading1Char"/>
          <w:rFonts w:asciiTheme="minorHAnsi" w:hAnsiTheme="minorHAnsi" w:cstheme="minorHAnsi"/>
        </w:rPr>
      </w:pPr>
      <w:bookmarkStart w:id="62" w:name="_Toc118794735"/>
      <w:bookmarkStart w:id="63" w:name="_Toc125714710"/>
      <w:r w:rsidRPr="003F264A">
        <w:rPr>
          <w:rStyle w:val="Heading1Char"/>
          <w:rFonts w:asciiTheme="minorHAnsi" w:hAnsiTheme="minorHAnsi" w:cstheme="minorHAnsi"/>
        </w:rPr>
        <w:t>Approach taken to determine the likely net benefit of each option</w:t>
      </w:r>
      <w:bookmarkEnd w:id="62"/>
      <w:bookmarkEnd w:id="63"/>
    </w:p>
    <w:p w14:paraId="7E5666B6" w14:textId="12EC8887" w:rsidR="00175717" w:rsidRPr="003F264A" w:rsidRDefault="00077823" w:rsidP="000F6998">
      <w:pPr>
        <w:spacing w:before="240"/>
        <w:jc w:val="both"/>
        <w:rPr>
          <w:rFonts w:eastAsia="Calibri" w:cstheme="minorHAnsi"/>
        </w:rPr>
      </w:pPr>
      <w:r>
        <w:rPr>
          <w:rFonts w:eastAsia="Calibri" w:cstheme="minorHAnsi"/>
        </w:rPr>
        <w:t>The</w:t>
      </w:r>
      <w:r w:rsidR="00BA65B5" w:rsidRPr="003F264A">
        <w:rPr>
          <w:rFonts w:eastAsia="Calibri" w:cstheme="minorHAnsi"/>
        </w:rPr>
        <w:t xml:space="preserve"> </w:t>
      </w:r>
      <w:r w:rsidR="00CF5067">
        <w:rPr>
          <w:rFonts w:cstheme="minorHAnsi"/>
          <w:lang w:val="en-GB"/>
        </w:rPr>
        <w:t>IA</w:t>
      </w:r>
      <w:r w:rsidR="00BA65B5" w:rsidRPr="003F264A">
        <w:rPr>
          <w:rFonts w:eastAsia="Calibri" w:cstheme="minorHAnsi"/>
        </w:rPr>
        <w:t xml:space="preserve"> answer</w:t>
      </w:r>
      <w:r w:rsidR="00D90250">
        <w:rPr>
          <w:rFonts w:eastAsia="Calibri" w:cstheme="minorHAnsi"/>
        </w:rPr>
        <w:t>s</w:t>
      </w:r>
      <w:r w:rsidR="00BA65B5" w:rsidRPr="003F264A">
        <w:rPr>
          <w:rFonts w:eastAsia="Calibri" w:cstheme="minorHAnsi"/>
        </w:rPr>
        <w:t xml:space="preserve"> two key questions:</w:t>
      </w:r>
    </w:p>
    <w:p w14:paraId="53AF524C" w14:textId="77777777" w:rsidR="00175717" w:rsidRPr="003F264A" w:rsidRDefault="00175717" w:rsidP="000F6998">
      <w:pPr>
        <w:spacing w:after="300" w:line="240" w:lineRule="auto"/>
        <w:jc w:val="both"/>
        <w:textAlignment w:val="baseline"/>
        <w:rPr>
          <w:rFonts w:eastAsia="Times New Roman" w:cstheme="minorHAnsi"/>
          <w:i/>
          <w:color w:val="1E1E1E"/>
          <w:spacing w:val="4"/>
          <w:lang w:eastAsia="en-AU"/>
        </w:rPr>
      </w:pPr>
      <w:r w:rsidRPr="003F264A">
        <w:rPr>
          <w:rFonts w:eastAsia="Times New Roman" w:cstheme="minorHAnsi"/>
          <w:i/>
          <w:color w:val="1E1E1E"/>
          <w:spacing w:val="4"/>
          <w:lang w:eastAsia="en-AU"/>
        </w:rPr>
        <w:t>1)</w:t>
      </w:r>
      <w:r w:rsidR="00C35E97" w:rsidRPr="003F264A">
        <w:rPr>
          <w:rFonts w:eastAsia="Times New Roman" w:cstheme="minorHAnsi"/>
          <w:i/>
          <w:color w:val="1E1E1E"/>
          <w:spacing w:val="4"/>
          <w:lang w:eastAsia="en-AU"/>
        </w:rPr>
        <w:t xml:space="preserve"> </w:t>
      </w:r>
      <w:r w:rsidRPr="003F264A">
        <w:rPr>
          <w:rFonts w:eastAsia="Times New Roman" w:cstheme="minorHAnsi"/>
          <w:i/>
          <w:color w:val="1E1E1E"/>
          <w:spacing w:val="4"/>
          <w:lang w:eastAsia="en-AU"/>
        </w:rPr>
        <w:t>Is it better to do something rather than nothing? That is, will a policy intervention improve the situation significantly or will the cost of intervening outweigh the advantages?</w:t>
      </w:r>
    </w:p>
    <w:p w14:paraId="07F502F5" w14:textId="77777777" w:rsidR="00175717" w:rsidRPr="003F264A" w:rsidRDefault="00175717" w:rsidP="000F6998">
      <w:pPr>
        <w:spacing w:after="300" w:line="240" w:lineRule="auto"/>
        <w:jc w:val="both"/>
        <w:textAlignment w:val="baseline"/>
        <w:rPr>
          <w:rFonts w:eastAsia="Times New Roman" w:cstheme="minorHAnsi"/>
          <w:i/>
          <w:color w:val="1E1E1E"/>
          <w:spacing w:val="4"/>
          <w:lang w:eastAsia="en-AU"/>
        </w:rPr>
      </w:pPr>
      <w:r w:rsidRPr="003F264A">
        <w:rPr>
          <w:rFonts w:eastAsia="Times New Roman" w:cstheme="minorHAnsi"/>
          <w:i/>
          <w:color w:val="1E1E1E"/>
          <w:spacing w:val="4"/>
          <w:lang w:eastAsia="en-AU"/>
        </w:rPr>
        <w:t>2) Is the recommended policy option better than the other options proposed? That is, provided you have identified all the available and viable options, will this one deliver the best net outcome?</w:t>
      </w:r>
    </w:p>
    <w:p w14:paraId="5D7F2035" w14:textId="77777777" w:rsidR="00BA65B5" w:rsidRPr="003F264A" w:rsidRDefault="00BA65B5" w:rsidP="000F6998">
      <w:pPr>
        <w:jc w:val="both"/>
        <w:rPr>
          <w:rFonts w:eastAsia="Calibri" w:cstheme="minorHAnsi"/>
        </w:rPr>
      </w:pPr>
      <w:r w:rsidRPr="003F264A">
        <w:rPr>
          <w:rFonts w:eastAsia="Calibri" w:cstheme="minorHAnsi"/>
        </w:rPr>
        <w:t xml:space="preserve">In order to answer these key questions, </w:t>
      </w:r>
      <w:r w:rsidR="00D80FC2" w:rsidRPr="003F264A">
        <w:rPr>
          <w:rFonts w:eastAsia="Calibri" w:cstheme="minorHAnsi"/>
        </w:rPr>
        <w:t>this</w:t>
      </w:r>
      <w:r w:rsidRPr="003F264A">
        <w:rPr>
          <w:rFonts w:eastAsia="Calibri" w:cstheme="minorHAnsi"/>
        </w:rPr>
        <w:t xml:space="preserve"> </w:t>
      </w:r>
      <w:r w:rsidR="00CF5067">
        <w:rPr>
          <w:rFonts w:cstheme="minorHAnsi"/>
          <w:lang w:val="en-GB"/>
        </w:rPr>
        <w:t>IA</w:t>
      </w:r>
      <w:r w:rsidR="00C35E97" w:rsidRPr="003F264A">
        <w:rPr>
          <w:rFonts w:eastAsia="Calibri" w:cstheme="minorHAnsi"/>
        </w:rPr>
        <w:t>:</w:t>
      </w:r>
      <w:r w:rsidRPr="003F264A">
        <w:rPr>
          <w:rFonts w:eastAsia="Calibri" w:cstheme="minorHAnsi"/>
        </w:rPr>
        <w:t xml:space="preserve"> </w:t>
      </w:r>
    </w:p>
    <w:p w14:paraId="71037BB9" w14:textId="77777777" w:rsidR="00BA65B5" w:rsidRPr="003F264A" w:rsidRDefault="007D09AC" w:rsidP="000F6998">
      <w:pPr>
        <w:pStyle w:val="ListParagraph"/>
        <w:numPr>
          <w:ilvl w:val="0"/>
          <w:numId w:val="18"/>
        </w:numPr>
        <w:jc w:val="both"/>
        <w:rPr>
          <w:rFonts w:cstheme="minorHAnsi"/>
        </w:rPr>
      </w:pPr>
      <w:r w:rsidRPr="003F264A">
        <w:rPr>
          <w:rFonts w:eastAsia="Calibri" w:cstheme="minorHAnsi"/>
        </w:rPr>
        <w:t>identifies</w:t>
      </w:r>
      <w:r w:rsidRPr="003F264A">
        <w:rPr>
          <w:rFonts w:cstheme="minorHAnsi"/>
        </w:rPr>
        <w:t xml:space="preserve"> </w:t>
      </w:r>
      <w:r w:rsidR="00BA65B5" w:rsidRPr="003F264A">
        <w:rPr>
          <w:rFonts w:cstheme="minorHAnsi"/>
        </w:rPr>
        <w:t>who is likely to be affected by each regulatory option and assess, where significant, the economic, competition, social, environmental or other costs and benefits as well as how those costs and benefits are likely to be</w:t>
      </w:r>
      <w:r w:rsidR="00613282" w:rsidRPr="003F264A">
        <w:rPr>
          <w:rFonts w:cstheme="minorHAnsi"/>
        </w:rPr>
        <w:t xml:space="preserve"> distributed;</w:t>
      </w:r>
    </w:p>
    <w:p w14:paraId="2DAE6CAF" w14:textId="77777777" w:rsidR="00BA65B5" w:rsidRPr="003F264A" w:rsidRDefault="007D09AC" w:rsidP="000F6998">
      <w:pPr>
        <w:pStyle w:val="ListParagraph"/>
        <w:numPr>
          <w:ilvl w:val="0"/>
          <w:numId w:val="18"/>
        </w:numPr>
        <w:jc w:val="both"/>
        <w:rPr>
          <w:rFonts w:cstheme="minorHAnsi"/>
        </w:rPr>
      </w:pPr>
      <w:r w:rsidRPr="003F264A">
        <w:rPr>
          <w:rFonts w:cstheme="minorHAnsi"/>
        </w:rPr>
        <w:t>w</w:t>
      </w:r>
      <w:r w:rsidR="00BA65B5" w:rsidRPr="003F264A">
        <w:rPr>
          <w:rFonts w:cstheme="minorHAnsi"/>
        </w:rPr>
        <w:t xml:space="preserve">here relevant, </w:t>
      </w:r>
      <w:r w:rsidRPr="003F264A">
        <w:rPr>
          <w:rFonts w:cstheme="minorHAnsi"/>
        </w:rPr>
        <w:t xml:space="preserve">quantifies </w:t>
      </w:r>
      <w:r w:rsidR="00BA65B5" w:rsidRPr="003F264A">
        <w:rPr>
          <w:rFonts w:cstheme="minorHAnsi"/>
        </w:rPr>
        <w:t xml:space="preserve">both the benefits and costs (including regulatory costs) </w:t>
      </w:r>
      <w:r w:rsidR="00613282" w:rsidRPr="003F264A">
        <w:rPr>
          <w:rFonts w:cstheme="minorHAnsi"/>
        </w:rPr>
        <w:t>of</w:t>
      </w:r>
      <w:r w:rsidR="00BA65B5" w:rsidRPr="003F264A">
        <w:rPr>
          <w:rFonts w:cstheme="minorHAnsi"/>
        </w:rPr>
        <w:t xml:space="preserve"> policy proposal</w:t>
      </w:r>
      <w:r w:rsidR="00613282" w:rsidRPr="003F264A">
        <w:rPr>
          <w:rFonts w:cstheme="minorHAnsi"/>
        </w:rPr>
        <w:t>s</w:t>
      </w:r>
      <w:r w:rsidR="00BA65B5" w:rsidRPr="003F264A">
        <w:rPr>
          <w:rFonts w:cstheme="minorHAnsi"/>
        </w:rPr>
        <w:t xml:space="preserve"> </w:t>
      </w:r>
      <w:r w:rsidR="00613282" w:rsidRPr="003F264A">
        <w:rPr>
          <w:rFonts w:cstheme="minorHAnsi"/>
        </w:rPr>
        <w:t>on stakeholders;</w:t>
      </w:r>
    </w:p>
    <w:p w14:paraId="178C2E73" w14:textId="77777777" w:rsidR="00BA65B5" w:rsidRPr="003F264A" w:rsidRDefault="007D09AC" w:rsidP="000F6998">
      <w:pPr>
        <w:pStyle w:val="ListParagraph"/>
        <w:numPr>
          <w:ilvl w:val="0"/>
          <w:numId w:val="18"/>
        </w:numPr>
        <w:jc w:val="both"/>
        <w:rPr>
          <w:rFonts w:eastAsia="Calibri" w:cstheme="minorHAnsi"/>
        </w:rPr>
      </w:pPr>
      <w:r w:rsidRPr="003F264A">
        <w:rPr>
          <w:rFonts w:cstheme="minorHAnsi"/>
        </w:rPr>
        <w:t>a</w:t>
      </w:r>
      <w:r w:rsidR="00BA65B5" w:rsidRPr="003F264A">
        <w:rPr>
          <w:rFonts w:cstheme="minorHAnsi"/>
        </w:rPr>
        <w:t>nalyse</w:t>
      </w:r>
      <w:r w:rsidRPr="003F264A">
        <w:rPr>
          <w:rFonts w:cstheme="minorHAnsi"/>
        </w:rPr>
        <w:t>s</w:t>
      </w:r>
      <w:r w:rsidR="00BA65B5" w:rsidRPr="003F264A">
        <w:rPr>
          <w:rFonts w:cstheme="minorHAnsi"/>
        </w:rPr>
        <w:t xml:space="preserve"> qualitative impacts </w:t>
      </w:r>
      <w:r w:rsidR="00613282" w:rsidRPr="003F264A">
        <w:rPr>
          <w:rFonts w:cstheme="minorHAnsi"/>
        </w:rPr>
        <w:t>as well as quantitative impacts; and</w:t>
      </w:r>
    </w:p>
    <w:p w14:paraId="77DEA014" w14:textId="77777777" w:rsidR="00BA65B5" w:rsidRPr="003F264A" w:rsidRDefault="007D09AC" w:rsidP="000F6998">
      <w:pPr>
        <w:pStyle w:val="ListParagraph"/>
        <w:numPr>
          <w:ilvl w:val="0"/>
          <w:numId w:val="18"/>
        </w:numPr>
        <w:jc w:val="both"/>
        <w:rPr>
          <w:rFonts w:eastAsia="Calibri" w:cstheme="minorHAnsi"/>
        </w:rPr>
      </w:pPr>
      <w:r w:rsidRPr="003F264A">
        <w:rPr>
          <w:rFonts w:cstheme="minorHAnsi"/>
        </w:rPr>
        <w:t>p</w:t>
      </w:r>
      <w:r w:rsidR="00BA65B5" w:rsidRPr="003F264A">
        <w:rPr>
          <w:rFonts w:cstheme="minorHAnsi"/>
        </w:rPr>
        <w:t>rovide</w:t>
      </w:r>
      <w:r w:rsidRPr="003F264A">
        <w:rPr>
          <w:rFonts w:cstheme="minorHAnsi"/>
        </w:rPr>
        <w:t>s</w:t>
      </w:r>
      <w:r w:rsidR="00BA65B5" w:rsidRPr="003F264A">
        <w:rPr>
          <w:rFonts w:cstheme="minorHAnsi"/>
        </w:rPr>
        <w:t xml:space="preserve"> information on applicable international standards and whether the policy proposal differs from or adopts those standards.</w:t>
      </w:r>
    </w:p>
    <w:p w14:paraId="32B02936" w14:textId="77777777" w:rsidR="00BA65B5" w:rsidRPr="003F264A" w:rsidRDefault="00BA65B5" w:rsidP="000F6998">
      <w:pPr>
        <w:jc w:val="both"/>
        <w:rPr>
          <w:rFonts w:eastAsia="Calibri" w:cstheme="minorHAnsi"/>
        </w:rPr>
      </w:pPr>
      <w:r w:rsidRPr="003F264A">
        <w:rPr>
          <w:rFonts w:eastAsia="Calibri" w:cstheme="minorHAnsi"/>
        </w:rPr>
        <w:t xml:space="preserve">In order to accurately analyse impacts of each option appropriately and in line with the Guide, this </w:t>
      </w:r>
      <w:r w:rsidR="002B57F0" w:rsidRPr="003F264A">
        <w:rPr>
          <w:rFonts w:eastAsia="Calibri" w:cstheme="minorHAnsi"/>
        </w:rPr>
        <w:t>chapter</w:t>
      </w:r>
      <w:r w:rsidRPr="003F264A">
        <w:rPr>
          <w:rFonts w:eastAsia="Calibri" w:cstheme="minorHAnsi"/>
        </w:rPr>
        <w:t xml:space="preserve"> of the </w:t>
      </w:r>
      <w:r w:rsidR="00CF5067">
        <w:rPr>
          <w:rFonts w:cstheme="minorHAnsi"/>
          <w:lang w:val="en-GB"/>
        </w:rPr>
        <w:t>IA</w:t>
      </w:r>
      <w:r w:rsidRPr="003F264A">
        <w:rPr>
          <w:rFonts w:eastAsia="Calibri" w:cstheme="minorHAnsi"/>
        </w:rPr>
        <w:t xml:space="preserve"> will briefly outline the approach taken to impact </w:t>
      </w:r>
      <w:r w:rsidR="00DB5C4C" w:rsidRPr="003F264A">
        <w:rPr>
          <w:rFonts w:eastAsia="Calibri" w:cstheme="minorHAnsi"/>
        </w:rPr>
        <w:t>analysis</w:t>
      </w:r>
      <w:r w:rsidRPr="003F264A">
        <w:rPr>
          <w:rFonts w:eastAsia="Calibri" w:cstheme="minorHAnsi"/>
        </w:rPr>
        <w:t xml:space="preserve">. The anticipated impacts </w:t>
      </w:r>
      <w:r w:rsidR="002B57F0" w:rsidRPr="003F264A">
        <w:rPr>
          <w:rFonts w:eastAsia="Calibri" w:cstheme="minorHAnsi"/>
        </w:rPr>
        <w:t xml:space="preserve">of each policy option will be set out in Chapters 7 – 9. </w:t>
      </w:r>
      <w:r w:rsidRPr="003F264A">
        <w:rPr>
          <w:rFonts w:eastAsia="Calibri" w:cstheme="minorHAnsi"/>
        </w:rPr>
        <w:t xml:space="preserve"> </w:t>
      </w:r>
    </w:p>
    <w:p w14:paraId="2B29BF88" w14:textId="77777777" w:rsidR="00B90543" w:rsidRPr="003F264A" w:rsidRDefault="00B90543" w:rsidP="000F6998">
      <w:pPr>
        <w:shd w:val="clear" w:color="auto" w:fill="FFFFFF" w:themeFill="background1"/>
        <w:jc w:val="both"/>
        <w:rPr>
          <w:rFonts w:cstheme="minorHAnsi"/>
        </w:rPr>
      </w:pPr>
      <w:r w:rsidRPr="003F264A">
        <w:rPr>
          <w:rFonts w:cstheme="minorHAnsi"/>
        </w:rPr>
        <w:t>Two types of impact</w:t>
      </w:r>
      <w:r w:rsidR="00B002E0" w:rsidRPr="003F264A">
        <w:rPr>
          <w:rFonts w:cstheme="minorHAnsi"/>
        </w:rPr>
        <w:t>s</w:t>
      </w:r>
      <w:r w:rsidRPr="003F264A">
        <w:rPr>
          <w:rFonts w:cstheme="minorHAnsi"/>
        </w:rPr>
        <w:t xml:space="preserve"> will be considered</w:t>
      </w:r>
      <w:r w:rsidR="000B3EBD" w:rsidRPr="003F264A">
        <w:rPr>
          <w:rFonts w:cstheme="minorHAnsi"/>
        </w:rPr>
        <w:t xml:space="preserve"> in relation to the</w:t>
      </w:r>
      <w:r w:rsidR="00355663" w:rsidRPr="003F264A">
        <w:rPr>
          <w:rFonts w:cstheme="minorHAnsi"/>
        </w:rPr>
        <w:t xml:space="preserve"> three</w:t>
      </w:r>
      <w:r w:rsidR="000B3EBD" w:rsidRPr="003F264A">
        <w:rPr>
          <w:rFonts w:cstheme="minorHAnsi"/>
        </w:rPr>
        <w:t xml:space="preserve"> </w:t>
      </w:r>
      <w:r w:rsidR="00355663" w:rsidRPr="003F264A">
        <w:rPr>
          <w:rFonts w:cstheme="minorHAnsi"/>
        </w:rPr>
        <w:t xml:space="preserve">proposed policy </w:t>
      </w:r>
      <w:r w:rsidR="000B3EBD" w:rsidRPr="003F264A">
        <w:rPr>
          <w:rFonts w:cstheme="minorHAnsi"/>
        </w:rPr>
        <w:t>options</w:t>
      </w:r>
      <w:r w:rsidRPr="003F264A">
        <w:rPr>
          <w:rFonts w:cstheme="minorHAnsi"/>
        </w:rPr>
        <w:t>: overall impact and regulatory impact.</w:t>
      </w:r>
      <w:r w:rsidR="00CB3144" w:rsidRPr="003F264A">
        <w:rPr>
          <w:rFonts w:cstheme="minorHAnsi"/>
        </w:rPr>
        <w:t xml:space="preserve"> These two overarching categories of impact will be applied to four main stakeholder groups: </w:t>
      </w:r>
    </w:p>
    <w:p w14:paraId="7BA57FBF" w14:textId="12F0032B" w:rsidR="00F517C2" w:rsidRPr="003F264A" w:rsidRDefault="003B60CD" w:rsidP="000F6998">
      <w:pPr>
        <w:pStyle w:val="ListParagraph"/>
        <w:numPr>
          <w:ilvl w:val="0"/>
          <w:numId w:val="28"/>
        </w:numPr>
        <w:shd w:val="clear" w:color="auto" w:fill="FFFFFF" w:themeFill="background1"/>
        <w:jc w:val="both"/>
        <w:rPr>
          <w:rFonts w:cstheme="minorHAnsi"/>
          <w:b/>
        </w:rPr>
      </w:pPr>
      <w:r w:rsidRPr="003F264A">
        <w:rPr>
          <w:rFonts w:cstheme="minorHAnsi"/>
          <w:b/>
        </w:rPr>
        <w:t xml:space="preserve">Individuals </w:t>
      </w:r>
      <w:r w:rsidRPr="003F264A">
        <w:rPr>
          <w:rFonts w:cstheme="minorHAnsi"/>
        </w:rPr>
        <w:t>– includes men and women across Australia. Particular focus will be given to the Australian workforce, and the distributional impacts felt by women</w:t>
      </w:r>
      <w:r w:rsidR="005B313F">
        <w:rPr>
          <w:rFonts w:cstheme="minorHAnsi"/>
        </w:rPr>
        <w:t>;</w:t>
      </w:r>
    </w:p>
    <w:p w14:paraId="1722BD32" w14:textId="67E3B3F2" w:rsidR="003B60CD" w:rsidRPr="003F264A" w:rsidRDefault="003B60CD" w:rsidP="000F6998">
      <w:pPr>
        <w:pStyle w:val="ListParagraph"/>
        <w:numPr>
          <w:ilvl w:val="0"/>
          <w:numId w:val="28"/>
        </w:numPr>
        <w:shd w:val="clear" w:color="auto" w:fill="FFFFFF" w:themeFill="background1"/>
        <w:jc w:val="both"/>
        <w:rPr>
          <w:rFonts w:cstheme="minorHAnsi"/>
        </w:rPr>
      </w:pPr>
      <w:r w:rsidRPr="003F264A">
        <w:rPr>
          <w:rFonts w:cstheme="minorHAnsi"/>
          <w:b/>
        </w:rPr>
        <w:t>Medium business</w:t>
      </w:r>
      <w:r w:rsidRPr="003F264A">
        <w:rPr>
          <w:rFonts w:cstheme="minorHAnsi"/>
        </w:rPr>
        <w:t xml:space="preserve"> (and community organisations) – Medium businesses are defined by this </w:t>
      </w:r>
      <w:r w:rsidR="00CF5067">
        <w:rPr>
          <w:rFonts w:cstheme="minorHAnsi"/>
          <w:lang w:val="en-GB"/>
        </w:rPr>
        <w:t>IA</w:t>
      </w:r>
      <w:r w:rsidRPr="003F264A">
        <w:rPr>
          <w:rFonts w:cstheme="minorHAnsi"/>
        </w:rPr>
        <w:t xml:space="preserve"> as business with over 100 but less than 500 employees. This corresponds to</w:t>
      </w:r>
      <w:r w:rsidR="005B313F">
        <w:rPr>
          <w:rFonts w:cstheme="minorHAnsi"/>
        </w:rPr>
        <w:t>;</w:t>
      </w:r>
    </w:p>
    <w:p w14:paraId="2AC0F5EA" w14:textId="77777777" w:rsidR="003B60CD" w:rsidRPr="003F264A" w:rsidRDefault="003B60CD" w:rsidP="000F6998">
      <w:pPr>
        <w:pStyle w:val="ListParagraph"/>
        <w:numPr>
          <w:ilvl w:val="0"/>
          <w:numId w:val="28"/>
        </w:numPr>
        <w:shd w:val="clear" w:color="auto" w:fill="FFFFFF" w:themeFill="background1"/>
        <w:jc w:val="both"/>
        <w:rPr>
          <w:rFonts w:cstheme="minorHAnsi"/>
        </w:rPr>
      </w:pPr>
      <w:r w:rsidRPr="003F264A">
        <w:rPr>
          <w:rFonts w:cstheme="minorHAnsi"/>
          <w:b/>
        </w:rPr>
        <w:t>Large businesses</w:t>
      </w:r>
      <w:r w:rsidRPr="003F264A">
        <w:rPr>
          <w:rFonts w:cstheme="minorHAnsi"/>
        </w:rPr>
        <w:t xml:space="preserve"> (and community organisations)</w:t>
      </w:r>
      <w:r w:rsidR="002B291F" w:rsidRPr="003F264A">
        <w:rPr>
          <w:rFonts w:cstheme="minorHAnsi"/>
        </w:rPr>
        <w:t xml:space="preserve"> – Businesses with 500 or more employees</w:t>
      </w:r>
      <w:r w:rsidRPr="003F264A">
        <w:rPr>
          <w:rFonts w:cstheme="minorHAnsi"/>
        </w:rPr>
        <w:t>; and</w:t>
      </w:r>
    </w:p>
    <w:p w14:paraId="47A6E82D" w14:textId="77777777" w:rsidR="0016113F" w:rsidRPr="003F264A" w:rsidRDefault="003B60CD" w:rsidP="000F6998">
      <w:pPr>
        <w:pStyle w:val="ListParagraph"/>
        <w:numPr>
          <w:ilvl w:val="0"/>
          <w:numId w:val="28"/>
        </w:numPr>
        <w:shd w:val="clear" w:color="auto" w:fill="FFFFFF" w:themeFill="background1"/>
        <w:jc w:val="both"/>
        <w:rPr>
          <w:rFonts w:cstheme="minorHAnsi"/>
          <w:b/>
        </w:rPr>
      </w:pPr>
      <w:r w:rsidRPr="003F264A">
        <w:rPr>
          <w:rFonts w:cstheme="minorHAnsi"/>
          <w:b/>
        </w:rPr>
        <w:t>Government</w:t>
      </w:r>
      <w:r w:rsidR="00B35050" w:rsidRPr="003F264A">
        <w:rPr>
          <w:rFonts w:cstheme="minorHAnsi"/>
          <w:b/>
        </w:rPr>
        <w:t>.</w:t>
      </w:r>
    </w:p>
    <w:p w14:paraId="6925DBD7" w14:textId="77777777" w:rsidR="0016113F" w:rsidRPr="003F264A" w:rsidRDefault="00D854F4" w:rsidP="000F6998">
      <w:pPr>
        <w:jc w:val="both"/>
        <w:rPr>
          <w:rFonts w:cstheme="minorHAnsi"/>
        </w:rPr>
      </w:pPr>
      <w:r w:rsidRPr="003F264A">
        <w:rPr>
          <w:rFonts w:cstheme="minorHAnsi"/>
        </w:rPr>
        <w:t>Community organisations are defined by the Australian Government Guide to Impact Analysis (the Guide) as ‘any organisations engaged in charitable or other community based activity operating under Australian law and not established for the purpose of making a profit’.</w:t>
      </w:r>
      <w:r w:rsidRPr="003F264A">
        <w:rPr>
          <w:rStyle w:val="FootnoteReference"/>
          <w:rFonts w:cstheme="minorHAnsi"/>
        </w:rPr>
        <w:footnoteReference w:id="104"/>
      </w:r>
      <w:r w:rsidRPr="003F264A">
        <w:rPr>
          <w:rFonts w:cstheme="minorHAnsi"/>
        </w:rPr>
        <w:t xml:space="preserve"> The Guide also defines businesses as ‘Any organisation engaged in commercial industrial or professional activities operating under Australian law for the purpose of making a profit’.</w:t>
      </w:r>
      <w:r w:rsidRPr="003F264A">
        <w:rPr>
          <w:rStyle w:val="FootnoteReference"/>
          <w:rFonts w:cstheme="minorHAnsi"/>
        </w:rPr>
        <w:footnoteReference w:id="105"/>
      </w:r>
      <w:r w:rsidRPr="003F264A">
        <w:rPr>
          <w:rFonts w:cstheme="minorHAnsi"/>
        </w:rPr>
        <w:t xml:space="preserve"> Both of these categories come under the definition of ‘relevant employers’ in the WGE Act. </w:t>
      </w:r>
    </w:p>
    <w:p w14:paraId="6C6FAA9C" w14:textId="77777777" w:rsidR="00F73212" w:rsidRPr="003F264A" w:rsidRDefault="00F73212" w:rsidP="000F6998">
      <w:pPr>
        <w:pStyle w:val="Heading2"/>
        <w:jc w:val="both"/>
        <w:rPr>
          <w:rFonts w:asciiTheme="minorHAnsi" w:hAnsiTheme="minorHAnsi" w:cstheme="minorHAnsi"/>
        </w:rPr>
      </w:pPr>
      <w:bookmarkStart w:id="64" w:name="_Toc118794736"/>
      <w:bookmarkStart w:id="65" w:name="_Toc125714711"/>
      <w:r w:rsidRPr="003F264A">
        <w:rPr>
          <w:rFonts w:asciiTheme="minorHAnsi" w:hAnsiTheme="minorHAnsi" w:cstheme="minorHAnsi"/>
        </w:rPr>
        <w:t>6.1 Overall impacts</w:t>
      </w:r>
      <w:bookmarkEnd w:id="64"/>
      <w:bookmarkEnd w:id="65"/>
    </w:p>
    <w:p w14:paraId="4355F0DA" w14:textId="3E10A056" w:rsidR="00D9229E" w:rsidRPr="003F264A" w:rsidRDefault="003B60CD" w:rsidP="000F6998">
      <w:pPr>
        <w:jc w:val="both"/>
        <w:rPr>
          <w:rFonts w:cstheme="minorHAnsi"/>
        </w:rPr>
      </w:pPr>
      <w:r w:rsidRPr="003F264A">
        <w:rPr>
          <w:rFonts w:cstheme="minorHAnsi"/>
        </w:rPr>
        <w:t xml:space="preserve">Measuring the net benefit of each policy option requires all of the costs and benefits to be taken into account. </w:t>
      </w:r>
      <w:r w:rsidR="00010569" w:rsidRPr="003F264A">
        <w:rPr>
          <w:rFonts w:cstheme="minorHAnsi"/>
        </w:rPr>
        <w:t>In the Guide, o</w:t>
      </w:r>
      <w:r w:rsidR="00D11DB0" w:rsidRPr="003F264A">
        <w:rPr>
          <w:rFonts w:cstheme="minorHAnsi"/>
        </w:rPr>
        <w:t xml:space="preserve">verall impact </w:t>
      </w:r>
      <w:r w:rsidR="00DB1BEC" w:rsidRPr="003F264A">
        <w:rPr>
          <w:rFonts w:cstheme="minorHAnsi"/>
        </w:rPr>
        <w:t xml:space="preserve">encompasses </w:t>
      </w:r>
      <w:r w:rsidRPr="003F264A">
        <w:rPr>
          <w:rFonts w:cstheme="minorHAnsi"/>
        </w:rPr>
        <w:t xml:space="preserve">any significant </w:t>
      </w:r>
      <w:r w:rsidR="00DB1BEC" w:rsidRPr="003F264A">
        <w:rPr>
          <w:rFonts w:cstheme="minorHAnsi"/>
        </w:rPr>
        <w:t>economic, competition, social, environmental or other impacts</w:t>
      </w:r>
      <w:r w:rsidRPr="003F264A">
        <w:rPr>
          <w:rFonts w:cstheme="minorHAnsi"/>
        </w:rPr>
        <w:t xml:space="preserve"> on each stakeholder group</w:t>
      </w:r>
      <w:r w:rsidR="00DB1BEC" w:rsidRPr="003F264A">
        <w:rPr>
          <w:rFonts w:cstheme="minorHAnsi"/>
        </w:rPr>
        <w:t>.</w:t>
      </w:r>
      <w:r w:rsidR="00010569" w:rsidRPr="003F264A">
        <w:rPr>
          <w:rFonts w:cstheme="minorHAnsi"/>
        </w:rPr>
        <w:t xml:space="preserve"> However, because of the nature of the policies examined under this </w:t>
      </w:r>
      <w:r w:rsidR="00CF5067">
        <w:rPr>
          <w:rFonts w:cstheme="minorHAnsi"/>
          <w:lang w:val="en-GB"/>
        </w:rPr>
        <w:t>IA</w:t>
      </w:r>
      <w:r w:rsidR="00010569" w:rsidRPr="003F264A">
        <w:rPr>
          <w:rFonts w:cstheme="minorHAnsi"/>
        </w:rPr>
        <w:t>, the vast majority of analysis will focus on economic and social impacts.</w:t>
      </w:r>
      <w:r w:rsidR="00D11DB0" w:rsidRPr="003F264A">
        <w:rPr>
          <w:rFonts w:cstheme="minorHAnsi"/>
        </w:rPr>
        <w:t xml:space="preserve"> Impacts are both positive and negative</w:t>
      </w:r>
      <w:r w:rsidR="00D9229E" w:rsidRPr="003F264A">
        <w:rPr>
          <w:rFonts w:cstheme="minorHAnsi"/>
        </w:rPr>
        <w:t xml:space="preserve"> and will be </w:t>
      </w:r>
      <w:r w:rsidR="000A7F92" w:rsidRPr="003F264A">
        <w:rPr>
          <w:rFonts w:cstheme="minorHAnsi"/>
        </w:rPr>
        <w:t>considered</w:t>
      </w:r>
      <w:r w:rsidR="00D9229E" w:rsidRPr="003F264A">
        <w:rPr>
          <w:rFonts w:cstheme="minorHAnsi"/>
        </w:rPr>
        <w:t xml:space="preserve"> for each of the four stakeholder categories for the three policy options. </w:t>
      </w:r>
      <w:r w:rsidR="00867BEB" w:rsidRPr="003F264A">
        <w:rPr>
          <w:rFonts w:cstheme="minorHAnsi"/>
        </w:rPr>
        <w:t xml:space="preserve"> </w:t>
      </w:r>
    </w:p>
    <w:p w14:paraId="5305BA5A" w14:textId="79D6B540" w:rsidR="00EE6312" w:rsidRPr="003F264A" w:rsidRDefault="00AF1D09" w:rsidP="000F6998">
      <w:pPr>
        <w:jc w:val="both"/>
        <w:rPr>
          <w:rFonts w:cstheme="minorHAnsi"/>
        </w:rPr>
      </w:pPr>
      <w:r w:rsidRPr="003F264A">
        <w:rPr>
          <w:rFonts w:cstheme="minorHAnsi"/>
        </w:rPr>
        <w:t xml:space="preserve">The broad economic </w:t>
      </w:r>
      <w:r w:rsidR="00D9229E" w:rsidRPr="003F264A">
        <w:rPr>
          <w:rFonts w:cstheme="minorHAnsi"/>
        </w:rPr>
        <w:t xml:space="preserve">benefit that results from </w:t>
      </w:r>
      <w:r w:rsidR="008230D2" w:rsidRPr="003F264A">
        <w:rPr>
          <w:rFonts w:cstheme="minorHAnsi"/>
        </w:rPr>
        <w:t>improving gender inequality</w:t>
      </w:r>
      <w:r w:rsidR="00D9229E" w:rsidRPr="003F264A">
        <w:rPr>
          <w:rFonts w:cstheme="minorHAnsi"/>
        </w:rPr>
        <w:t xml:space="preserve"> ha</w:t>
      </w:r>
      <w:r w:rsidR="00BF407E" w:rsidRPr="003F264A">
        <w:rPr>
          <w:rFonts w:cstheme="minorHAnsi"/>
        </w:rPr>
        <w:t>ve</w:t>
      </w:r>
      <w:r w:rsidR="003A65D1" w:rsidRPr="003F264A">
        <w:rPr>
          <w:rFonts w:cstheme="minorHAnsi"/>
        </w:rPr>
        <w:t xml:space="preserve"> been </w:t>
      </w:r>
      <w:r w:rsidR="00BF407E" w:rsidRPr="003F264A">
        <w:rPr>
          <w:rFonts w:cstheme="minorHAnsi"/>
        </w:rPr>
        <w:t>identified</w:t>
      </w:r>
      <w:r w:rsidR="003A65D1" w:rsidRPr="003F264A">
        <w:rPr>
          <w:rFonts w:cstheme="minorHAnsi"/>
        </w:rPr>
        <w:t xml:space="preserve"> in previous chapters.</w:t>
      </w:r>
      <w:r w:rsidR="00D9229E" w:rsidRPr="003F264A">
        <w:rPr>
          <w:rFonts w:cstheme="minorHAnsi"/>
        </w:rPr>
        <w:t xml:space="preserve"> </w:t>
      </w:r>
      <w:r w:rsidR="003A65D1" w:rsidRPr="003F264A">
        <w:rPr>
          <w:rFonts w:cstheme="minorHAnsi"/>
        </w:rPr>
        <w:t>The</w:t>
      </w:r>
      <w:r w:rsidR="00D9229E" w:rsidRPr="003F264A">
        <w:rPr>
          <w:rFonts w:cstheme="minorHAnsi"/>
        </w:rPr>
        <w:t xml:space="preserve"> following </w:t>
      </w:r>
      <w:r w:rsidR="006F48F5" w:rsidRPr="003F264A">
        <w:rPr>
          <w:rFonts w:cstheme="minorHAnsi"/>
        </w:rPr>
        <w:t xml:space="preserve">chapters </w:t>
      </w:r>
      <w:r w:rsidR="00D9229E" w:rsidRPr="003F264A">
        <w:rPr>
          <w:rFonts w:cstheme="minorHAnsi"/>
        </w:rPr>
        <w:t>will refer to</w:t>
      </w:r>
      <w:r w:rsidR="008230D2" w:rsidRPr="003F264A">
        <w:rPr>
          <w:rFonts w:cstheme="minorHAnsi"/>
        </w:rPr>
        <w:t xml:space="preserve"> </w:t>
      </w:r>
      <w:r w:rsidR="00BF407E" w:rsidRPr="003F264A">
        <w:rPr>
          <w:rFonts w:cstheme="minorHAnsi"/>
        </w:rPr>
        <w:t>similar</w:t>
      </w:r>
      <w:r w:rsidR="00D9229E" w:rsidRPr="003F264A">
        <w:rPr>
          <w:rFonts w:cstheme="minorHAnsi"/>
        </w:rPr>
        <w:t xml:space="preserve"> benefits </w:t>
      </w:r>
      <w:r w:rsidR="00BF407E" w:rsidRPr="003F264A">
        <w:rPr>
          <w:rFonts w:cstheme="minorHAnsi"/>
        </w:rPr>
        <w:t>from</w:t>
      </w:r>
      <w:r w:rsidR="00D9229E" w:rsidRPr="003F264A">
        <w:rPr>
          <w:rFonts w:cstheme="minorHAnsi"/>
        </w:rPr>
        <w:t xml:space="preserve"> closing the gender pay and address</w:t>
      </w:r>
      <w:r w:rsidR="008230D2" w:rsidRPr="003F264A">
        <w:rPr>
          <w:rFonts w:cstheme="minorHAnsi"/>
        </w:rPr>
        <w:t>ing</w:t>
      </w:r>
      <w:r w:rsidR="00D9229E" w:rsidRPr="003F264A">
        <w:rPr>
          <w:rFonts w:cstheme="minorHAnsi"/>
        </w:rPr>
        <w:t xml:space="preserve"> workplace</w:t>
      </w:r>
      <w:r w:rsidR="008230D2" w:rsidRPr="003F264A">
        <w:rPr>
          <w:rFonts w:cstheme="minorHAnsi"/>
        </w:rPr>
        <w:t xml:space="preserve"> gender</w:t>
      </w:r>
      <w:r w:rsidR="00AD33F9">
        <w:rPr>
          <w:rFonts w:cstheme="minorHAnsi"/>
        </w:rPr>
        <w:t xml:space="preserve"> inequality</w:t>
      </w:r>
      <w:r w:rsidR="003A65D1" w:rsidRPr="003F264A">
        <w:rPr>
          <w:rFonts w:cstheme="minorHAnsi"/>
        </w:rPr>
        <w:t xml:space="preserve">. </w:t>
      </w:r>
      <w:r w:rsidR="008230D2" w:rsidRPr="003F264A">
        <w:rPr>
          <w:rFonts w:cstheme="minorHAnsi"/>
        </w:rPr>
        <w:t>The broad economic benefit that address</w:t>
      </w:r>
      <w:r w:rsidR="008E0393" w:rsidRPr="003F264A">
        <w:rPr>
          <w:rFonts w:cstheme="minorHAnsi"/>
        </w:rPr>
        <w:t>ing</w:t>
      </w:r>
      <w:r w:rsidR="008230D2" w:rsidRPr="003F264A">
        <w:rPr>
          <w:rFonts w:cstheme="minorHAnsi"/>
        </w:rPr>
        <w:t xml:space="preserve"> gender inequality has on the Australian economy has many</w:t>
      </w:r>
      <w:r w:rsidRPr="003F264A">
        <w:rPr>
          <w:rFonts w:cstheme="minorHAnsi"/>
        </w:rPr>
        <w:t xml:space="preserve"> flow on effects to individuals, businesses and community organisations</w:t>
      </w:r>
      <w:r w:rsidR="008230D2" w:rsidRPr="003F264A">
        <w:rPr>
          <w:rFonts w:cstheme="minorHAnsi"/>
        </w:rPr>
        <w:t xml:space="preserve"> </w:t>
      </w:r>
      <w:r w:rsidR="008E0393" w:rsidRPr="003F264A">
        <w:rPr>
          <w:rFonts w:cstheme="minorHAnsi"/>
        </w:rPr>
        <w:t xml:space="preserve">that will be further detailed below. </w:t>
      </w:r>
    </w:p>
    <w:p w14:paraId="1DCB02C3" w14:textId="10AD027C" w:rsidR="00AF1D09" w:rsidRPr="003F264A" w:rsidRDefault="00EE6312" w:rsidP="000F6998">
      <w:pPr>
        <w:jc w:val="both"/>
        <w:rPr>
          <w:rFonts w:cstheme="minorHAnsi"/>
        </w:rPr>
      </w:pPr>
      <w:r w:rsidRPr="003F264A">
        <w:rPr>
          <w:rFonts w:cstheme="minorHAnsi"/>
        </w:rPr>
        <w:t xml:space="preserve">The distributional effects of each option will also be </w:t>
      </w:r>
      <w:r w:rsidR="00AD33F9">
        <w:rPr>
          <w:rFonts w:cstheme="minorHAnsi"/>
        </w:rPr>
        <w:t>assessed</w:t>
      </w:r>
      <w:r w:rsidRPr="003F264A">
        <w:rPr>
          <w:rFonts w:cstheme="minorHAnsi"/>
        </w:rPr>
        <w:t xml:space="preserve">. The Guide notes that distributional analysis is necessary when a policy proposal is likely to have a significant impact on different groups or when the proposed policy has an explicitly redistributive objective. </w:t>
      </w:r>
      <w:r w:rsidR="00D60851" w:rsidRPr="003F264A">
        <w:rPr>
          <w:rFonts w:cstheme="minorHAnsi"/>
        </w:rPr>
        <w:t xml:space="preserve">Distributional effects, most </w:t>
      </w:r>
      <w:r w:rsidR="00281303" w:rsidRPr="003F264A">
        <w:rPr>
          <w:rFonts w:cstheme="minorHAnsi"/>
        </w:rPr>
        <w:t>visibly</w:t>
      </w:r>
      <w:r w:rsidR="00D60851" w:rsidRPr="003F264A">
        <w:rPr>
          <w:rFonts w:cstheme="minorHAnsi"/>
        </w:rPr>
        <w:t xml:space="preserve"> gender, </w:t>
      </w:r>
      <w:r w:rsidRPr="003F264A">
        <w:rPr>
          <w:rFonts w:cstheme="minorHAnsi"/>
        </w:rPr>
        <w:t>will be noted wher</w:t>
      </w:r>
      <w:r w:rsidR="00D9610E" w:rsidRPr="003F264A">
        <w:rPr>
          <w:rFonts w:cstheme="minorHAnsi"/>
        </w:rPr>
        <w:t xml:space="preserve">e most significant. </w:t>
      </w:r>
    </w:p>
    <w:p w14:paraId="1035B42E" w14:textId="77777777" w:rsidR="00F73212" w:rsidRPr="003F264A" w:rsidRDefault="00F73212" w:rsidP="000F6998">
      <w:pPr>
        <w:pStyle w:val="Heading2"/>
        <w:jc w:val="both"/>
        <w:rPr>
          <w:rFonts w:asciiTheme="minorHAnsi" w:hAnsiTheme="minorHAnsi" w:cstheme="minorHAnsi"/>
        </w:rPr>
      </w:pPr>
      <w:bookmarkStart w:id="66" w:name="_Toc118794737"/>
      <w:bookmarkStart w:id="67" w:name="_Toc125714712"/>
      <w:r w:rsidRPr="003F264A">
        <w:rPr>
          <w:rFonts w:asciiTheme="minorHAnsi" w:hAnsiTheme="minorHAnsi" w:cstheme="minorHAnsi"/>
        </w:rPr>
        <w:t xml:space="preserve">6.2 </w:t>
      </w:r>
      <w:r w:rsidR="00EE6312" w:rsidRPr="003F264A">
        <w:rPr>
          <w:rFonts w:asciiTheme="minorHAnsi" w:hAnsiTheme="minorHAnsi" w:cstheme="minorHAnsi"/>
        </w:rPr>
        <w:t>Approach taken to calculation of regulatory costs</w:t>
      </w:r>
      <w:bookmarkEnd w:id="66"/>
      <w:bookmarkEnd w:id="67"/>
    </w:p>
    <w:p w14:paraId="774E0B2B" w14:textId="77777777" w:rsidR="0081307B" w:rsidRPr="003F264A" w:rsidRDefault="0081307B" w:rsidP="000F6998">
      <w:pPr>
        <w:spacing w:after="0"/>
        <w:jc w:val="both"/>
        <w:rPr>
          <w:rFonts w:cstheme="minorHAnsi"/>
        </w:rPr>
      </w:pPr>
    </w:p>
    <w:p w14:paraId="080F753F" w14:textId="77777777" w:rsidR="003D78B6" w:rsidRPr="003F264A" w:rsidRDefault="003D78B6" w:rsidP="000F6998">
      <w:pPr>
        <w:jc w:val="both"/>
        <w:rPr>
          <w:rFonts w:cstheme="minorHAnsi"/>
        </w:rPr>
      </w:pPr>
      <w:r w:rsidRPr="003F264A">
        <w:rPr>
          <w:rFonts w:cstheme="minorHAnsi"/>
        </w:rPr>
        <w:t xml:space="preserve">Regulatory compliance burdens are a subset of the broader costs in an impact assessment, and are calculated in line with the </w:t>
      </w:r>
      <w:r w:rsidRPr="003F264A">
        <w:rPr>
          <w:rFonts w:cstheme="minorHAnsi"/>
          <w:i/>
        </w:rPr>
        <w:t xml:space="preserve">Regulatory Burden Measurement Framework Guidance Note. </w:t>
      </w:r>
      <w:r w:rsidR="00EE6312" w:rsidRPr="003F264A">
        <w:rPr>
          <w:rFonts w:cstheme="minorHAnsi"/>
        </w:rPr>
        <w:t>The Guide asks for regulatory compliance burdens to be easily identifiable in a</w:t>
      </w:r>
      <w:r w:rsidR="00077823">
        <w:rPr>
          <w:rFonts w:cstheme="minorHAnsi"/>
        </w:rPr>
        <w:t>n</w:t>
      </w:r>
      <w:r w:rsidR="00EE6312" w:rsidRPr="003F264A">
        <w:rPr>
          <w:rFonts w:cstheme="minorHAnsi"/>
        </w:rPr>
        <w:t xml:space="preserve"> </w:t>
      </w:r>
      <w:r w:rsidR="00CF5067">
        <w:rPr>
          <w:rFonts w:cstheme="minorHAnsi"/>
          <w:lang w:val="en-GB"/>
        </w:rPr>
        <w:t>IA</w:t>
      </w:r>
      <w:r w:rsidR="00EE6312" w:rsidRPr="003F264A">
        <w:rPr>
          <w:rFonts w:cstheme="minorHAnsi"/>
        </w:rPr>
        <w:t xml:space="preserve">, therefore for each policy option a regulatory cost will be </w:t>
      </w:r>
    </w:p>
    <w:p w14:paraId="5411B8D8" w14:textId="77777777" w:rsidR="0016113F" w:rsidRPr="003F264A" w:rsidRDefault="0016113F" w:rsidP="000F6998">
      <w:pPr>
        <w:jc w:val="both"/>
        <w:rPr>
          <w:rFonts w:cstheme="minorHAnsi"/>
        </w:rPr>
      </w:pPr>
      <w:r w:rsidRPr="003F264A">
        <w:rPr>
          <w:rFonts w:cstheme="minorHAnsi"/>
        </w:rPr>
        <w:t xml:space="preserve">Under </w:t>
      </w:r>
      <w:r w:rsidRPr="003F264A">
        <w:rPr>
          <w:rFonts w:cstheme="minorHAnsi"/>
          <w:i/>
        </w:rPr>
        <w:t>Regulatory Burden Measurement Framework</w:t>
      </w:r>
      <w:r w:rsidRPr="003F264A">
        <w:rPr>
          <w:rFonts w:cstheme="minorHAnsi"/>
        </w:rPr>
        <w:t xml:space="preserve"> only certain costs fall under the regulatory burden analysis. These include:</w:t>
      </w:r>
    </w:p>
    <w:p w14:paraId="46ED10D5" w14:textId="77777777" w:rsidR="0016113F" w:rsidRPr="003F264A" w:rsidRDefault="0016113F" w:rsidP="000F6998">
      <w:pPr>
        <w:pStyle w:val="ListParagraph"/>
        <w:numPr>
          <w:ilvl w:val="0"/>
          <w:numId w:val="28"/>
        </w:numPr>
        <w:jc w:val="both"/>
        <w:rPr>
          <w:rFonts w:cstheme="minorHAnsi"/>
        </w:rPr>
      </w:pPr>
      <w:r w:rsidRPr="003F264A">
        <w:rPr>
          <w:rFonts w:cstheme="minorHAnsi"/>
          <w:b/>
        </w:rPr>
        <w:t>Administrative compliance costs</w:t>
      </w:r>
      <w:r w:rsidRPr="003F264A">
        <w:rPr>
          <w:rFonts w:cstheme="minorHAnsi"/>
        </w:rPr>
        <w:t xml:space="preserve"> </w:t>
      </w:r>
      <w:r w:rsidR="005F2A1F" w:rsidRPr="003F264A">
        <w:rPr>
          <w:rFonts w:cstheme="minorHAnsi"/>
        </w:rPr>
        <w:t xml:space="preserve">– </w:t>
      </w:r>
      <w:r w:rsidRPr="003F264A">
        <w:rPr>
          <w:rFonts w:cstheme="minorHAnsi"/>
        </w:rPr>
        <w:t>costs incurred by regulated entities primarily to demonstrate compliance with the regulation. For example, the time and costs associated with keeping records, making an application and notifying government of certain activities</w:t>
      </w:r>
    </w:p>
    <w:p w14:paraId="0FAB9778" w14:textId="77777777" w:rsidR="0016113F" w:rsidRPr="003F264A" w:rsidRDefault="0016113F" w:rsidP="000F6998">
      <w:pPr>
        <w:pStyle w:val="ListParagraph"/>
        <w:numPr>
          <w:ilvl w:val="0"/>
          <w:numId w:val="28"/>
        </w:numPr>
        <w:jc w:val="both"/>
        <w:rPr>
          <w:rFonts w:cstheme="minorHAnsi"/>
        </w:rPr>
      </w:pPr>
      <w:r w:rsidRPr="003F264A">
        <w:rPr>
          <w:rFonts w:cstheme="minorHAnsi"/>
          <w:b/>
        </w:rPr>
        <w:t>Substantive compliance costs</w:t>
      </w:r>
      <w:r w:rsidRPr="003F264A">
        <w:rPr>
          <w:rFonts w:cstheme="minorHAnsi"/>
        </w:rPr>
        <w:t xml:space="preserve"> – costs incurred to deliver the regulated outcomes being sought. Examples: costs of training employees on regulatory requirements, professional services required to meet regulatory requirements</w:t>
      </w:r>
    </w:p>
    <w:p w14:paraId="44DE9323" w14:textId="77777777" w:rsidR="0016113F" w:rsidRPr="003F264A" w:rsidRDefault="0016113F" w:rsidP="000F6998">
      <w:pPr>
        <w:pStyle w:val="ListParagraph"/>
        <w:numPr>
          <w:ilvl w:val="0"/>
          <w:numId w:val="28"/>
        </w:numPr>
        <w:jc w:val="both"/>
        <w:rPr>
          <w:rFonts w:cstheme="minorHAnsi"/>
        </w:rPr>
      </w:pPr>
      <w:r w:rsidRPr="003F264A">
        <w:rPr>
          <w:rFonts w:cstheme="minorHAnsi"/>
          <w:b/>
        </w:rPr>
        <w:t>Delay costs</w:t>
      </w:r>
      <w:r w:rsidRPr="003F264A">
        <w:rPr>
          <w:rFonts w:cstheme="minorHAnsi"/>
        </w:rPr>
        <w:t xml:space="preserve"> – the expenses and loss of income incurred by a regulated income as a result of an application delay, or an approval delay.</w:t>
      </w:r>
    </w:p>
    <w:p w14:paraId="29BF7690" w14:textId="77777777" w:rsidR="009114D7" w:rsidRPr="003F264A" w:rsidRDefault="005F2A1F" w:rsidP="000F6998">
      <w:pPr>
        <w:jc w:val="both"/>
        <w:rPr>
          <w:rFonts w:cstheme="minorHAnsi"/>
        </w:rPr>
      </w:pPr>
      <w:r w:rsidRPr="003F264A">
        <w:rPr>
          <w:rFonts w:cstheme="minorHAnsi"/>
        </w:rPr>
        <w:t xml:space="preserve">There are several types of costs specifically excluded from the Regulatory Burden Measurement Framework. These include, for example, opportunity costs, business-as-usual costs, enforcement / compliance costs (such as fines for failing to comply with regulation). These costs are not categorised as regulatory costs, and therefore are not quantified under this </w:t>
      </w:r>
      <w:r w:rsidR="00CF5067">
        <w:rPr>
          <w:rFonts w:cstheme="minorHAnsi"/>
          <w:lang w:val="en-GB"/>
        </w:rPr>
        <w:t>IA</w:t>
      </w:r>
      <w:r w:rsidRPr="003F264A">
        <w:rPr>
          <w:rFonts w:cstheme="minorHAnsi"/>
        </w:rPr>
        <w:t>.</w:t>
      </w:r>
      <w:r w:rsidR="00F71D42" w:rsidRPr="003F264A">
        <w:rPr>
          <w:rFonts w:cstheme="minorHAnsi"/>
        </w:rPr>
        <w:t xml:space="preserve"> </w:t>
      </w:r>
      <w:r w:rsidR="00161767" w:rsidRPr="003F264A">
        <w:rPr>
          <w:rFonts w:cstheme="minorHAnsi"/>
        </w:rPr>
        <w:t>For the purposes of impact analysis, c</w:t>
      </w:r>
      <w:r w:rsidR="00C877A3" w:rsidRPr="003F264A">
        <w:rPr>
          <w:rFonts w:cstheme="minorHAnsi"/>
        </w:rPr>
        <w:t>ommunity organisations will be treated under the same analysis as medium and larg</w:t>
      </w:r>
      <w:r w:rsidR="009114D7" w:rsidRPr="003F264A">
        <w:rPr>
          <w:rFonts w:cstheme="minorHAnsi"/>
        </w:rPr>
        <w:t xml:space="preserve">e businesses. Community organisations are distinguished by not being driven by profit, as private sector businesses are. However, WGEA reporting and requirements do not change depending on the type of </w:t>
      </w:r>
      <w:r w:rsidR="00BF5729" w:rsidRPr="003F264A">
        <w:rPr>
          <w:rFonts w:cstheme="minorHAnsi"/>
        </w:rPr>
        <w:t>employer or entity</w:t>
      </w:r>
      <w:r w:rsidR="009114D7" w:rsidRPr="003F264A">
        <w:rPr>
          <w:rFonts w:cstheme="minorHAnsi"/>
        </w:rPr>
        <w:t xml:space="preserve"> reporting. The reporting requirements for businesses and </w:t>
      </w:r>
      <w:r w:rsidR="003B5BCB" w:rsidRPr="003F264A">
        <w:rPr>
          <w:rFonts w:cstheme="minorHAnsi"/>
        </w:rPr>
        <w:t>community</w:t>
      </w:r>
      <w:r w:rsidR="009114D7" w:rsidRPr="003F264A">
        <w:rPr>
          <w:rFonts w:cstheme="minorHAnsi"/>
        </w:rPr>
        <w:t xml:space="preserve"> </w:t>
      </w:r>
      <w:r w:rsidR="0045293D" w:rsidRPr="003F264A">
        <w:rPr>
          <w:rFonts w:cstheme="minorHAnsi"/>
        </w:rPr>
        <w:t>organisations</w:t>
      </w:r>
      <w:r w:rsidR="009114D7" w:rsidRPr="003F264A">
        <w:rPr>
          <w:rFonts w:cstheme="minorHAnsi"/>
        </w:rPr>
        <w:t xml:space="preserve"> are not different and generally impacts felt by medium and large </w:t>
      </w:r>
      <w:r w:rsidR="003B5BCB" w:rsidRPr="003F264A">
        <w:rPr>
          <w:rFonts w:cstheme="minorHAnsi"/>
        </w:rPr>
        <w:t>businesses</w:t>
      </w:r>
      <w:r w:rsidR="009114D7" w:rsidRPr="003F264A">
        <w:rPr>
          <w:rFonts w:cstheme="minorHAnsi"/>
        </w:rPr>
        <w:t xml:space="preserve"> are the same as those felt by medium and large community organisations. </w:t>
      </w:r>
      <w:r w:rsidR="0045293D" w:rsidRPr="003F264A">
        <w:rPr>
          <w:rFonts w:cstheme="minorHAnsi"/>
        </w:rPr>
        <w:t>To the extent that these im</w:t>
      </w:r>
      <w:r w:rsidR="009114D7" w:rsidRPr="003F264A">
        <w:rPr>
          <w:rFonts w:cstheme="minorHAnsi"/>
        </w:rPr>
        <w:t>p</w:t>
      </w:r>
      <w:r w:rsidR="0045293D" w:rsidRPr="003F264A">
        <w:rPr>
          <w:rFonts w:cstheme="minorHAnsi"/>
        </w:rPr>
        <w:t>a</w:t>
      </w:r>
      <w:r w:rsidR="009114D7" w:rsidRPr="003F264A">
        <w:rPr>
          <w:rFonts w:cstheme="minorHAnsi"/>
        </w:rPr>
        <w:t xml:space="preserve">cts </w:t>
      </w:r>
      <w:r w:rsidR="0045293D" w:rsidRPr="003F264A">
        <w:rPr>
          <w:rFonts w:cstheme="minorHAnsi"/>
        </w:rPr>
        <w:t>d</w:t>
      </w:r>
      <w:r w:rsidR="009114D7" w:rsidRPr="003F264A">
        <w:rPr>
          <w:rFonts w:cstheme="minorHAnsi"/>
        </w:rPr>
        <w:t xml:space="preserve">iffer, the </w:t>
      </w:r>
      <w:r w:rsidR="00CF5067">
        <w:rPr>
          <w:rFonts w:cstheme="minorHAnsi"/>
          <w:lang w:val="en-GB"/>
        </w:rPr>
        <w:t>IA</w:t>
      </w:r>
      <w:r w:rsidR="009114D7" w:rsidRPr="003F264A">
        <w:rPr>
          <w:rFonts w:cstheme="minorHAnsi"/>
        </w:rPr>
        <w:t xml:space="preserve"> will ensure this is set out. </w:t>
      </w:r>
    </w:p>
    <w:p w14:paraId="31344BC7" w14:textId="77777777" w:rsidR="009F4EC5" w:rsidRPr="003F264A" w:rsidRDefault="008206EE" w:rsidP="000F6998">
      <w:pPr>
        <w:pStyle w:val="Heading2"/>
        <w:jc w:val="both"/>
        <w:rPr>
          <w:rFonts w:asciiTheme="minorHAnsi" w:hAnsiTheme="minorHAnsi" w:cstheme="minorHAnsi"/>
        </w:rPr>
      </w:pPr>
      <w:bookmarkStart w:id="68" w:name="_Toc118794738"/>
      <w:bookmarkStart w:id="69" w:name="_Toc125714713"/>
      <w:r w:rsidRPr="003F264A">
        <w:rPr>
          <w:rFonts w:asciiTheme="minorHAnsi" w:hAnsiTheme="minorHAnsi" w:cstheme="minorHAnsi"/>
        </w:rPr>
        <w:t>6.</w:t>
      </w:r>
      <w:r w:rsidR="00F71D42" w:rsidRPr="003F264A">
        <w:rPr>
          <w:rFonts w:asciiTheme="minorHAnsi" w:hAnsiTheme="minorHAnsi" w:cstheme="minorHAnsi"/>
        </w:rPr>
        <w:t>3</w:t>
      </w:r>
      <w:r w:rsidRPr="003F264A">
        <w:rPr>
          <w:rFonts w:asciiTheme="minorHAnsi" w:hAnsiTheme="minorHAnsi" w:cstheme="minorHAnsi"/>
        </w:rPr>
        <w:t xml:space="preserve"> Analysis of overseas models</w:t>
      </w:r>
      <w:bookmarkEnd w:id="68"/>
      <w:bookmarkEnd w:id="69"/>
      <w:r w:rsidR="00C149DF" w:rsidRPr="003F264A">
        <w:rPr>
          <w:rFonts w:asciiTheme="minorHAnsi" w:hAnsiTheme="minorHAnsi" w:cstheme="minorHAnsi"/>
        </w:rPr>
        <w:t xml:space="preserve"> </w:t>
      </w:r>
    </w:p>
    <w:p w14:paraId="3E4BE67D" w14:textId="77777777" w:rsidR="00366C7F" w:rsidRPr="003F264A" w:rsidRDefault="00CD5160" w:rsidP="000F6998">
      <w:pPr>
        <w:spacing w:before="240"/>
        <w:jc w:val="both"/>
        <w:rPr>
          <w:rFonts w:cstheme="minorHAnsi"/>
        </w:rPr>
      </w:pPr>
      <w:r w:rsidRPr="003F264A">
        <w:rPr>
          <w:rFonts w:cstheme="minorHAnsi"/>
        </w:rPr>
        <w:t xml:space="preserve">A comprehensive literature review of current scholarship was undertaken to develop the WGEA Review. </w:t>
      </w:r>
      <w:r w:rsidR="00366C7F" w:rsidRPr="003F264A">
        <w:rPr>
          <w:rFonts w:cstheme="minorHAnsi"/>
        </w:rPr>
        <w:t xml:space="preserve">Further targeted desktop research was undertaken for this </w:t>
      </w:r>
      <w:r w:rsidR="00CF5067">
        <w:rPr>
          <w:rFonts w:cstheme="minorHAnsi"/>
          <w:lang w:val="en-GB"/>
        </w:rPr>
        <w:t>IA</w:t>
      </w:r>
      <w:r w:rsidR="00366C7F" w:rsidRPr="003F264A">
        <w:rPr>
          <w:rFonts w:cstheme="minorHAnsi"/>
        </w:rPr>
        <w:t xml:space="preserve">. </w:t>
      </w:r>
    </w:p>
    <w:p w14:paraId="00D6110C" w14:textId="77777777" w:rsidR="00CD5160" w:rsidRPr="003F264A" w:rsidRDefault="00366C7F" w:rsidP="000F6998">
      <w:pPr>
        <w:jc w:val="both"/>
        <w:rPr>
          <w:rFonts w:cstheme="minorHAnsi"/>
        </w:rPr>
      </w:pPr>
      <w:r w:rsidRPr="003F264A">
        <w:rPr>
          <w:rFonts w:cstheme="minorHAnsi"/>
        </w:rPr>
        <w:t>C</w:t>
      </w:r>
      <w:r w:rsidR="00CD5160" w:rsidRPr="003F264A">
        <w:rPr>
          <w:rFonts w:cstheme="minorHAnsi"/>
        </w:rPr>
        <w:t>ountries that have introduced elements of gender workplace</w:t>
      </w:r>
      <w:r w:rsidRPr="003F264A">
        <w:rPr>
          <w:rFonts w:cstheme="minorHAnsi"/>
        </w:rPr>
        <w:t xml:space="preserve"> reporting</w:t>
      </w:r>
      <w:r w:rsidR="00CD5160" w:rsidRPr="003F264A">
        <w:rPr>
          <w:rFonts w:cstheme="minorHAnsi"/>
        </w:rPr>
        <w:t xml:space="preserve"> include the UK, Canada, and the European Union (EU). </w:t>
      </w:r>
      <w:r w:rsidR="00810876" w:rsidRPr="003F264A">
        <w:rPr>
          <w:rFonts w:cstheme="minorHAnsi"/>
        </w:rPr>
        <w:t>These</w:t>
      </w:r>
      <w:r w:rsidR="00CD5160" w:rsidRPr="003F264A">
        <w:rPr>
          <w:rFonts w:cstheme="minorHAnsi"/>
        </w:rPr>
        <w:t xml:space="preserve"> programs are</w:t>
      </w:r>
      <w:r w:rsidR="00810876" w:rsidRPr="003F264A">
        <w:rPr>
          <w:rFonts w:cstheme="minorHAnsi"/>
        </w:rPr>
        <w:t xml:space="preserve"> not</w:t>
      </w:r>
      <w:r w:rsidR="00CD5160" w:rsidRPr="003F264A">
        <w:rPr>
          <w:rFonts w:cstheme="minorHAnsi"/>
        </w:rPr>
        <w:t xml:space="preserve"> identical to the system that currently exists under the WGE Act, </w:t>
      </w:r>
      <w:r w:rsidR="00810876" w:rsidRPr="003F264A">
        <w:rPr>
          <w:rFonts w:cstheme="minorHAnsi"/>
        </w:rPr>
        <w:t>or</w:t>
      </w:r>
      <w:r w:rsidR="00CD5160" w:rsidRPr="003F264A">
        <w:rPr>
          <w:rFonts w:cstheme="minorHAnsi"/>
        </w:rPr>
        <w:t xml:space="preserve"> the proposed preferred Option 3</w:t>
      </w:r>
      <w:r w:rsidR="00810876" w:rsidRPr="003F264A">
        <w:rPr>
          <w:rFonts w:cstheme="minorHAnsi"/>
        </w:rPr>
        <w:t xml:space="preserve"> but there are similarities</w:t>
      </w:r>
      <w:r w:rsidR="00CD5160" w:rsidRPr="003F264A">
        <w:rPr>
          <w:rFonts w:cstheme="minorHAnsi"/>
        </w:rPr>
        <w:t xml:space="preserve">. </w:t>
      </w:r>
      <w:r w:rsidR="00810876" w:rsidRPr="003F264A">
        <w:rPr>
          <w:rFonts w:cstheme="minorHAnsi"/>
        </w:rPr>
        <w:t>I</w:t>
      </w:r>
      <w:r w:rsidR="00CD5160" w:rsidRPr="003F264A">
        <w:rPr>
          <w:rFonts w:cstheme="minorHAnsi"/>
        </w:rPr>
        <w:t xml:space="preserve">mpacts were examined in order to anticipate and reduce potential impacts and learn from difficulties </w:t>
      </w:r>
      <w:r w:rsidR="00810876" w:rsidRPr="003F264A">
        <w:rPr>
          <w:rFonts w:cstheme="minorHAnsi"/>
        </w:rPr>
        <w:t>these</w:t>
      </w:r>
      <w:r w:rsidR="00CD5160" w:rsidRPr="003F264A">
        <w:rPr>
          <w:rFonts w:cstheme="minorHAnsi"/>
        </w:rPr>
        <w:t xml:space="preserve"> systems experienced. </w:t>
      </w:r>
    </w:p>
    <w:p w14:paraId="2F589F59" w14:textId="77777777" w:rsidR="00810876" w:rsidRPr="003F264A" w:rsidRDefault="00810876" w:rsidP="000F6998">
      <w:pPr>
        <w:jc w:val="both"/>
        <w:rPr>
          <w:rFonts w:cstheme="minorHAnsi"/>
        </w:rPr>
      </w:pPr>
      <w:r w:rsidRPr="003F264A">
        <w:rPr>
          <w:rFonts w:cstheme="minorHAnsi"/>
          <w:b/>
        </w:rPr>
        <w:t>United Kingdom</w:t>
      </w:r>
    </w:p>
    <w:p w14:paraId="75E5F6B1" w14:textId="77777777" w:rsidR="00B002E0" w:rsidRPr="003F264A" w:rsidRDefault="00CD5160" w:rsidP="000F6998">
      <w:pPr>
        <w:jc w:val="both"/>
        <w:rPr>
          <w:rFonts w:cstheme="minorHAnsi"/>
        </w:rPr>
      </w:pPr>
      <w:r w:rsidRPr="003F264A">
        <w:rPr>
          <w:rFonts w:cstheme="minorHAnsi"/>
        </w:rPr>
        <w:t xml:space="preserve">In 2017, the UK Government passed the Equality Act 2010 (Gender Pay Gap Information) Regulations 2017 requiring employers with 250 or more employees to annually publicly report their gender pay gap. This includes the mean and median gender pay gaps; the mean and median gender bonus gaps; the proportion of men and women who received bonuses; and the proportions of male and female employees in each pay quartile. The consequences of this </w:t>
      </w:r>
      <w:r w:rsidR="00C855FB">
        <w:rPr>
          <w:rFonts w:cstheme="minorHAnsi"/>
        </w:rPr>
        <w:t>information being made publicl</w:t>
      </w:r>
      <w:r w:rsidRPr="003F264A">
        <w:rPr>
          <w:rFonts w:cstheme="minorHAnsi"/>
        </w:rPr>
        <w:t>y available has enabled public scrutiny of corporate values and previously hidden salary figures. This was particularly evidence</w:t>
      </w:r>
      <w:r w:rsidR="008F7252" w:rsidRPr="003F264A">
        <w:rPr>
          <w:rFonts w:cstheme="minorHAnsi"/>
        </w:rPr>
        <w:t>d</w:t>
      </w:r>
      <w:r w:rsidRPr="003F264A">
        <w:rPr>
          <w:rFonts w:cstheme="minorHAnsi"/>
        </w:rPr>
        <w:t xml:space="preserve"> on International Women’s Day (IWD) this year when a Twitter account was used to share gender pay gap percentages in response to corporate IWD messages.</w:t>
      </w:r>
      <w:r w:rsidRPr="003F264A">
        <w:rPr>
          <w:rStyle w:val="FootnoteReference"/>
          <w:rFonts w:cstheme="minorHAnsi"/>
        </w:rPr>
        <w:footnoteReference w:id="106"/>
      </w:r>
      <w:r w:rsidRPr="003F264A">
        <w:rPr>
          <w:rFonts w:cstheme="minorHAnsi"/>
        </w:rPr>
        <w:t xml:space="preserve"> </w:t>
      </w:r>
    </w:p>
    <w:p w14:paraId="1235D615" w14:textId="22A125CA" w:rsidR="00261F92" w:rsidRPr="003F264A" w:rsidRDefault="00261F92" w:rsidP="000F6998">
      <w:pPr>
        <w:jc w:val="both"/>
        <w:rPr>
          <w:rFonts w:cstheme="minorHAnsi"/>
        </w:rPr>
      </w:pPr>
      <w:r w:rsidRPr="003F264A">
        <w:rPr>
          <w:rFonts w:cstheme="minorHAnsi"/>
        </w:rPr>
        <w:t>Australia</w:t>
      </w:r>
      <w:r w:rsidR="00607E6E" w:rsidRPr="003F264A">
        <w:rPr>
          <w:rFonts w:cstheme="minorHAnsi"/>
        </w:rPr>
        <w:t xml:space="preserve">’s </w:t>
      </w:r>
      <w:r w:rsidR="001818A3">
        <w:rPr>
          <w:rFonts w:cstheme="minorHAnsi"/>
        </w:rPr>
        <w:t>OFW</w:t>
      </w:r>
      <w:r w:rsidR="001818A3" w:rsidRPr="003F264A">
        <w:rPr>
          <w:rFonts w:cstheme="minorHAnsi"/>
        </w:rPr>
        <w:t xml:space="preserve"> </w:t>
      </w:r>
      <w:r w:rsidRPr="003F264A">
        <w:rPr>
          <w:rFonts w:cstheme="minorHAnsi"/>
        </w:rPr>
        <w:t>and the UK</w:t>
      </w:r>
      <w:r w:rsidR="00607E6E" w:rsidRPr="003F264A">
        <w:rPr>
          <w:rFonts w:cstheme="minorHAnsi"/>
        </w:rPr>
        <w:t>’s</w:t>
      </w:r>
      <w:r w:rsidRPr="003F264A">
        <w:rPr>
          <w:rFonts w:cstheme="minorHAnsi"/>
        </w:rPr>
        <w:t xml:space="preserve"> Gender Equalities Office have maintained a dialogue on their respective experiences. The UK has a similar system of public reporting, and the </w:t>
      </w:r>
      <w:r w:rsidR="001818A3">
        <w:rPr>
          <w:rFonts w:cstheme="minorHAnsi"/>
        </w:rPr>
        <w:t>OFW</w:t>
      </w:r>
      <w:r w:rsidR="001818A3" w:rsidRPr="003F264A">
        <w:rPr>
          <w:rFonts w:cstheme="minorHAnsi"/>
        </w:rPr>
        <w:t xml:space="preserve"> </w:t>
      </w:r>
      <w:r w:rsidRPr="003F264A">
        <w:rPr>
          <w:rFonts w:cstheme="minorHAnsi"/>
        </w:rPr>
        <w:t>discuss</w:t>
      </w:r>
      <w:r w:rsidR="00607E6E" w:rsidRPr="003F264A">
        <w:rPr>
          <w:rFonts w:cstheme="minorHAnsi"/>
        </w:rPr>
        <w:t>ed</w:t>
      </w:r>
      <w:r w:rsidRPr="003F264A">
        <w:rPr>
          <w:rFonts w:cstheme="minorHAnsi"/>
        </w:rPr>
        <w:t xml:space="preserve"> impacts felt by the UK a few years after introduction,</w:t>
      </w:r>
      <w:r w:rsidR="00882743">
        <w:rPr>
          <w:rFonts w:cstheme="minorHAnsi"/>
        </w:rPr>
        <w:t xml:space="preserve"> providing useful data for qualitative impact analysis</w:t>
      </w:r>
      <w:r w:rsidRPr="003F264A">
        <w:rPr>
          <w:rFonts w:cstheme="minorHAnsi"/>
        </w:rPr>
        <w:t xml:space="preserve">. </w:t>
      </w:r>
      <w:r w:rsidR="00AD33F9">
        <w:rPr>
          <w:rFonts w:cstheme="minorHAnsi"/>
        </w:rPr>
        <w:t>As</w:t>
      </w:r>
      <w:r w:rsidR="00AD33F9" w:rsidRPr="003F264A">
        <w:rPr>
          <w:rFonts w:cstheme="minorHAnsi"/>
        </w:rPr>
        <w:t xml:space="preserve"> </w:t>
      </w:r>
      <w:r w:rsidR="00517ED7" w:rsidRPr="003F264A">
        <w:rPr>
          <w:rFonts w:cstheme="minorHAnsi"/>
        </w:rPr>
        <w:t>Recommendation</w:t>
      </w:r>
      <w:r w:rsidR="00A30127" w:rsidRPr="003F264A">
        <w:rPr>
          <w:rFonts w:cstheme="minorHAnsi"/>
        </w:rPr>
        <w:t xml:space="preserve"> 2 suggests, the UK also uses a quartile analysis for organisational gender pay gaps and has found this to be a useful measure. The UK has not experienced issues with identifiable data. </w:t>
      </w:r>
      <w:r w:rsidR="003E568F" w:rsidRPr="003F264A">
        <w:rPr>
          <w:rFonts w:cstheme="minorHAnsi"/>
        </w:rPr>
        <w:t xml:space="preserve"> </w:t>
      </w:r>
      <w:r w:rsidR="00A30127" w:rsidRPr="003F264A">
        <w:rPr>
          <w:rFonts w:cstheme="minorHAnsi"/>
        </w:rPr>
        <w:t xml:space="preserve">Early research in the UK has </w:t>
      </w:r>
      <w:r w:rsidR="003E568F" w:rsidRPr="003F264A">
        <w:rPr>
          <w:rFonts w:cstheme="minorHAnsi"/>
        </w:rPr>
        <w:t>looked at organisations who are just below threshold and over the threshold (up to 250 and then between 250 and 350).</w:t>
      </w:r>
      <w:r w:rsidR="00B807FE" w:rsidRPr="003F264A">
        <w:rPr>
          <w:rStyle w:val="FootnoteReference"/>
          <w:rFonts w:cstheme="minorHAnsi"/>
        </w:rPr>
        <w:footnoteReference w:id="107"/>
      </w:r>
      <w:r w:rsidR="003E568F" w:rsidRPr="003F264A">
        <w:rPr>
          <w:rFonts w:cstheme="minorHAnsi"/>
        </w:rPr>
        <w:t xml:space="preserve"> </w:t>
      </w:r>
      <w:r w:rsidR="00FA2928" w:rsidRPr="003F264A">
        <w:rPr>
          <w:rFonts w:cstheme="minorHAnsi"/>
        </w:rPr>
        <w:t>T</w:t>
      </w:r>
      <w:r w:rsidR="003E568F" w:rsidRPr="003F264A">
        <w:rPr>
          <w:rFonts w:cstheme="minorHAnsi"/>
        </w:rPr>
        <w:t>he</w:t>
      </w:r>
      <w:r w:rsidR="00FA2928" w:rsidRPr="003F264A">
        <w:rPr>
          <w:rFonts w:cstheme="minorHAnsi"/>
        </w:rPr>
        <w:t xml:space="preserve"> UK gender pay</w:t>
      </w:r>
      <w:r w:rsidR="003E568F" w:rsidRPr="003F264A">
        <w:rPr>
          <w:rFonts w:cstheme="minorHAnsi"/>
        </w:rPr>
        <w:t xml:space="preserve"> gap has narrowed </w:t>
      </w:r>
      <w:r w:rsidR="00FA2928" w:rsidRPr="003F264A">
        <w:rPr>
          <w:rFonts w:cstheme="minorHAnsi"/>
        </w:rPr>
        <w:t xml:space="preserve">to </w:t>
      </w:r>
      <w:r w:rsidR="003E568F" w:rsidRPr="003F264A">
        <w:rPr>
          <w:rFonts w:cstheme="minorHAnsi"/>
        </w:rPr>
        <w:t>14</w:t>
      </w:r>
      <w:r w:rsidR="00FA2928" w:rsidRPr="003F264A">
        <w:rPr>
          <w:rFonts w:cstheme="minorHAnsi"/>
        </w:rPr>
        <w:t>.9</w:t>
      </w:r>
      <w:r w:rsidR="004C3555" w:rsidRPr="003F264A">
        <w:rPr>
          <w:rFonts w:cstheme="minorHAnsi"/>
        </w:rPr>
        <w:t xml:space="preserve"> per cent</w:t>
      </w:r>
      <w:r w:rsidR="003E568F" w:rsidRPr="003F264A">
        <w:rPr>
          <w:rFonts w:cstheme="minorHAnsi"/>
        </w:rPr>
        <w:t xml:space="preserve"> </w:t>
      </w:r>
      <w:r w:rsidR="00FA2928" w:rsidRPr="003F264A">
        <w:rPr>
          <w:rFonts w:cstheme="minorHAnsi"/>
        </w:rPr>
        <w:t>from 17.4</w:t>
      </w:r>
      <w:r w:rsidR="004C3555" w:rsidRPr="003F264A">
        <w:rPr>
          <w:rFonts w:cstheme="minorHAnsi"/>
        </w:rPr>
        <w:t xml:space="preserve"> per cent</w:t>
      </w:r>
      <w:r w:rsidR="00FA2928" w:rsidRPr="003F264A">
        <w:rPr>
          <w:rFonts w:cstheme="minorHAnsi"/>
        </w:rPr>
        <w:t xml:space="preserve"> in 2019</w:t>
      </w:r>
      <w:r w:rsidR="003E568F" w:rsidRPr="003F264A">
        <w:rPr>
          <w:rFonts w:cstheme="minorHAnsi"/>
        </w:rPr>
        <w:t>.</w:t>
      </w:r>
      <w:r w:rsidR="00B807FE" w:rsidRPr="003F264A">
        <w:rPr>
          <w:rStyle w:val="FootnoteReference"/>
          <w:rFonts w:cstheme="minorHAnsi"/>
        </w:rPr>
        <w:footnoteReference w:id="108"/>
      </w:r>
    </w:p>
    <w:p w14:paraId="3662A38B" w14:textId="77777777" w:rsidR="00261F92" w:rsidRPr="003F264A" w:rsidRDefault="00261F92" w:rsidP="000F6998">
      <w:pPr>
        <w:jc w:val="both"/>
        <w:rPr>
          <w:rFonts w:cstheme="minorHAnsi"/>
        </w:rPr>
      </w:pPr>
      <w:r w:rsidRPr="003F264A">
        <w:rPr>
          <w:rFonts w:cstheme="minorHAnsi"/>
          <w:b/>
        </w:rPr>
        <w:t>European Union</w:t>
      </w:r>
    </w:p>
    <w:p w14:paraId="0128E304" w14:textId="77777777" w:rsidR="00CD5160" w:rsidRPr="003F264A" w:rsidRDefault="00261F92" w:rsidP="000F6998">
      <w:pPr>
        <w:jc w:val="both"/>
        <w:rPr>
          <w:rFonts w:cstheme="minorHAnsi"/>
        </w:rPr>
      </w:pPr>
      <w:r w:rsidRPr="003F264A">
        <w:rPr>
          <w:rFonts w:cstheme="minorHAnsi"/>
        </w:rPr>
        <w:t>In April 2022</w:t>
      </w:r>
      <w:r w:rsidR="00CD5160" w:rsidRPr="003F264A">
        <w:rPr>
          <w:rFonts w:cstheme="minorHAnsi"/>
        </w:rPr>
        <w:t xml:space="preserve">, the EU voted in favour of a </w:t>
      </w:r>
      <w:r w:rsidR="00BF407E" w:rsidRPr="003F264A">
        <w:rPr>
          <w:rFonts w:cstheme="minorHAnsi"/>
        </w:rPr>
        <w:t>C</w:t>
      </w:r>
      <w:r w:rsidR="00CD5160" w:rsidRPr="003F264A">
        <w:rPr>
          <w:rFonts w:cstheme="minorHAnsi"/>
        </w:rPr>
        <w:t xml:space="preserve">ommission proposal for a ‘Pay Transparency Directive’ </w:t>
      </w:r>
      <w:r w:rsidR="00161DB0" w:rsidRPr="003F264A">
        <w:rPr>
          <w:rFonts w:cstheme="minorHAnsi"/>
        </w:rPr>
        <w:t xml:space="preserve">(the Directive) </w:t>
      </w:r>
      <w:r w:rsidR="00CD5160" w:rsidRPr="003F264A">
        <w:rPr>
          <w:rFonts w:cstheme="minorHAnsi"/>
        </w:rPr>
        <w:t>with the following objectives:</w:t>
      </w:r>
      <w:r w:rsidR="00CD5160" w:rsidRPr="003F264A">
        <w:rPr>
          <w:rStyle w:val="FootnoteReference"/>
          <w:rFonts w:cstheme="minorHAnsi"/>
        </w:rPr>
        <w:footnoteReference w:id="109"/>
      </w:r>
    </w:p>
    <w:p w14:paraId="1899C9ED" w14:textId="77777777" w:rsidR="00CD5160" w:rsidRPr="003F264A" w:rsidRDefault="00CD5160" w:rsidP="000F6998">
      <w:pPr>
        <w:pStyle w:val="ListParagraph"/>
        <w:numPr>
          <w:ilvl w:val="0"/>
          <w:numId w:val="42"/>
        </w:numPr>
        <w:tabs>
          <w:tab w:val="num" w:pos="360"/>
        </w:tabs>
        <w:jc w:val="both"/>
        <w:rPr>
          <w:rFonts w:cstheme="minorHAnsi"/>
        </w:rPr>
      </w:pPr>
      <w:r w:rsidRPr="003F264A">
        <w:rPr>
          <w:rFonts w:cstheme="minorHAnsi"/>
        </w:rPr>
        <w:t>establishing pay transparency within organisations;</w:t>
      </w:r>
    </w:p>
    <w:p w14:paraId="5EE448C9" w14:textId="1C9F148B" w:rsidR="00CD5160" w:rsidRPr="003F264A" w:rsidRDefault="00CD5160" w:rsidP="000F6998">
      <w:pPr>
        <w:pStyle w:val="ListParagraph"/>
        <w:numPr>
          <w:ilvl w:val="0"/>
          <w:numId w:val="42"/>
        </w:numPr>
        <w:tabs>
          <w:tab w:val="num" w:pos="360"/>
        </w:tabs>
        <w:jc w:val="both"/>
        <w:rPr>
          <w:rFonts w:cstheme="minorHAnsi"/>
        </w:rPr>
      </w:pPr>
      <w:r w:rsidRPr="003F264A">
        <w:rPr>
          <w:rFonts w:cstheme="minorHAnsi"/>
        </w:rPr>
        <w:t>facilitating the application of the key concepts relating to equal pay, including ‘pay’ and ‘work of</w:t>
      </w:r>
      <w:r w:rsidR="00146267">
        <w:rPr>
          <w:rFonts w:cstheme="minorHAnsi"/>
        </w:rPr>
        <w:t xml:space="preserve"> </w:t>
      </w:r>
      <w:r w:rsidRPr="003F264A">
        <w:rPr>
          <w:rFonts w:cstheme="minorHAnsi"/>
        </w:rPr>
        <w:t>equal value’; and</w:t>
      </w:r>
    </w:p>
    <w:p w14:paraId="76C93B7E" w14:textId="77777777" w:rsidR="00CD5160" w:rsidRPr="003F264A" w:rsidRDefault="00CD5160" w:rsidP="000F6998">
      <w:pPr>
        <w:pStyle w:val="ListParagraph"/>
        <w:numPr>
          <w:ilvl w:val="0"/>
          <w:numId w:val="42"/>
        </w:numPr>
        <w:tabs>
          <w:tab w:val="num" w:pos="360"/>
        </w:tabs>
        <w:jc w:val="both"/>
        <w:rPr>
          <w:rFonts w:cstheme="minorHAnsi"/>
        </w:rPr>
      </w:pPr>
      <w:r w:rsidRPr="003F264A">
        <w:rPr>
          <w:rFonts w:cstheme="minorHAnsi"/>
        </w:rPr>
        <w:t>strengthening enforcement mechanisms.</w:t>
      </w:r>
    </w:p>
    <w:p w14:paraId="20FC4BA8" w14:textId="77777777" w:rsidR="00CD5160" w:rsidRPr="003F264A" w:rsidRDefault="00CD5160" w:rsidP="000F6998">
      <w:pPr>
        <w:jc w:val="both"/>
        <w:rPr>
          <w:rFonts w:cstheme="minorHAnsi"/>
        </w:rPr>
      </w:pPr>
      <w:r w:rsidRPr="003F264A">
        <w:rPr>
          <w:rFonts w:cstheme="minorHAnsi"/>
        </w:rPr>
        <w:t>The Directive aims to articulate the principles of equal pay and gender equality of pay founded in the Treaty of Rome and set out in Directive 2006/54/EC and the 2014 Commission Recommendations on pay transparency.</w:t>
      </w:r>
      <w:r w:rsidRPr="003F264A">
        <w:rPr>
          <w:rStyle w:val="FootnoteReference"/>
          <w:rFonts w:cstheme="minorHAnsi"/>
        </w:rPr>
        <w:footnoteReference w:id="110"/>
      </w:r>
      <w:r w:rsidRPr="003F264A">
        <w:rPr>
          <w:rFonts w:cstheme="minorHAnsi"/>
        </w:rPr>
        <w:t xml:space="preserve"> Members of the European Parliament want companies with at least 50 employees to be required to disclose information on salaries and to have an official label for employers that have no gender pay gap. The EU has indicated that the associated costs with these proposed steps are justified within the context of the long-term benefits to business profitability and the internal EU market.</w:t>
      </w:r>
      <w:r w:rsidRPr="003F264A">
        <w:rPr>
          <w:rStyle w:val="FootnoteReference"/>
          <w:rFonts w:cstheme="minorHAnsi"/>
        </w:rPr>
        <w:footnoteReference w:id="111"/>
      </w:r>
      <w:r w:rsidRPr="003F264A">
        <w:rPr>
          <w:rFonts w:cstheme="minorHAnsi"/>
        </w:rPr>
        <w:t xml:space="preserve"> The impact assessment of the proposed objectives concluded that it was ‘proportionate and coherent</w:t>
      </w:r>
      <w:r w:rsidR="00161DB0" w:rsidRPr="003F264A">
        <w:rPr>
          <w:rFonts w:cstheme="minorHAnsi"/>
        </w:rPr>
        <w:t>’</w:t>
      </w:r>
      <w:r w:rsidRPr="003F264A">
        <w:rPr>
          <w:rFonts w:cstheme="minorHAnsi"/>
        </w:rPr>
        <w:t>.</w:t>
      </w:r>
      <w:r w:rsidRPr="003F264A">
        <w:rPr>
          <w:rStyle w:val="FootnoteReference"/>
          <w:rFonts w:cstheme="minorHAnsi"/>
        </w:rPr>
        <w:footnoteReference w:id="112"/>
      </w:r>
    </w:p>
    <w:p w14:paraId="09EF41AE" w14:textId="77777777" w:rsidR="00261F92" w:rsidRPr="003F264A" w:rsidRDefault="00261F92" w:rsidP="000F6998">
      <w:pPr>
        <w:jc w:val="both"/>
        <w:rPr>
          <w:rFonts w:cstheme="minorHAnsi"/>
        </w:rPr>
      </w:pPr>
      <w:r w:rsidRPr="003F264A">
        <w:rPr>
          <w:rFonts w:cstheme="minorHAnsi"/>
          <w:b/>
        </w:rPr>
        <w:t>Canada</w:t>
      </w:r>
    </w:p>
    <w:p w14:paraId="3AB754ED" w14:textId="77777777" w:rsidR="00CD5160" w:rsidRPr="003F264A" w:rsidRDefault="00CD5160" w:rsidP="000F6998">
      <w:pPr>
        <w:jc w:val="both"/>
        <w:rPr>
          <w:rFonts w:cstheme="minorHAnsi"/>
        </w:rPr>
      </w:pPr>
      <w:r w:rsidRPr="003F264A">
        <w:rPr>
          <w:rFonts w:cstheme="minorHAnsi"/>
        </w:rPr>
        <w:t xml:space="preserve">On 31 August 2021, Canada’s </w:t>
      </w:r>
      <w:r w:rsidRPr="003F264A">
        <w:rPr>
          <w:rFonts w:cstheme="minorHAnsi"/>
          <w:i/>
        </w:rPr>
        <w:t>Pay Equity Act</w:t>
      </w:r>
      <w:r w:rsidRPr="003F264A">
        <w:rPr>
          <w:rFonts w:cstheme="minorHAnsi"/>
        </w:rPr>
        <w:t xml:space="preserve"> came into force with the purpose of redressing gender pay inequality.</w:t>
      </w:r>
      <w:r w:rsidRPr="003F264A">
        <w:rPr>
          <w:rStyle w:val="FootnoteReference"/>
          <w:rFonts w:cstheme="minorHAnsi"/>
        </w:rPr>
        <w:footnoteReference w:id="113"/>
      </w:r>
      <w:r w:rsidRPr="003F264A">
        <w:rPr>
          <w:rFonts w:cstheme="minorHAnsi"/>
        </w:rPr>
        <w:t xml:space="preserve"> The Act will apply to employers with as few as 10 employees and will require all employers to establish a ‘pay equity plan’.</w:t>
      </w:r>
      <w:r w:rsidRPr="003F264A">
        <w:rPr>
          <w:rStyle w:val="FootnoteReference"/>
          <w:rFonts w:cstheme="minorHAnsi"/>
        </w:rPr>
        <w:footnoteReference w:id="114"/>
      </w:r>
      <w:r w:rsidRPr="003F264A">
        <w:rPr>
          <w:rFonts w:cstheme="minorHAnsi"/>
        </w:rPr>
        <w:t xml:space="preserve"> The Act will work with the Pay Equity Regulations to ensure that workers in federally regulated workplaces receive equal pay for work of equal value.</w:t>
      </w:r>
      <w:r w:rsidRPr="003F264A">
        <w:rPr>
          <w:rStyle w:val="FootnoteReference"/>
          <w:rFonts w:cstheme="minorHAnsi"/>
        </w:rPr>
        <w:footnoteReference w:id="115"/>
      </w:r>
      <w:r w:rsidRPr="003F264A">
        <w:rPr>
          <w:rFonts w:cstheme="minorHAnsi"/>
        </w:rPr>
        <w:t xml:space="preserve"> Stakeholders were invited to a consultation process on the regulations which closed on 17 June</w:t>
      </w:r>
      <w:r w:rsidR="00161DB0" w:rsidRPr="003F264A">
        <w:rPr>
          <w:rFonts w:cstheme="minorHAnsi"/>
        </w:rPr>
        <w:t> </w:t>
      </w:r>
      <w:r w:rsidRPr="003F264A">
        <w:rPr>
          <w:rFonts w:cstheme="minorHAnsi"/>
        </w:rPr>
        <w:t>2022.</w:t>
      </w:r>
      <w:r w:rsidRPr="003F264A">
        <w:rPr>
          <w:rStyle w:val="FootnoteReference"/>
          <w:rFonts w:cstheme="minorHAnsi"/>
        </w:rPr>
        <w:footnoteReference w:id="116"/>
      </w:r>
      <w:r w:rsidRPr="003F264A">
        <w:rPr>
          <w:rFonts w:cstheme="minorHAnsi"/>
        </w:rPr>
        <w:t xml:space="preserve"> In addition, on 1 January 2021, amendments to the </w:t>
      </w:r>
      <w:r w:rsidRPr="003F264A">
        <w:rPr>
          <w:rFonts w:cstheme="minorHAnsi"/>
          <w:i/>
        </w:rPr>
        <w:t>Employment Equity Act</w:t>
      </w:r>
      <w:r w:rsidRPr="003F264A">
        <w:rPr>
          <w:rFonts w:cstheme="minorHAnsi"/>
        </w:rPr>
        <w:t xml:space="preserve"> and the </w:t>
      </w:r>
      <w:r w:rsidRPr="003F264A">
        <w:rPr>
          <w:rFonts w:cstheme="minorHAnsi"/>
          <w:i/>
        </w:rPr>
        <w:t>Employment Equity Regulations</w:t>
      </w:r>
      <w:r w:rsidRPr="003F264A">
        <w:rPr>
          <w:rFonts w:cstheme="minorHAnsi"/>
        </w:rPr>
        <w:t xml:space="preserve"> came into force requiring pay gap reporting measures for all federally regulated private-sector employers with 100 or more employees. Consequently, the ‘Legislated Employment Equity Program’ required employers to record new salary data and include pay gap information in their annual reports.</w:t>
      </w:r>
    </w:p>
    <w:p w14:paraId="2641E217" w14:textId="77777777" w:rsidR="00DB1BEC" w:rsidRPr="003F264A" w:rsidRDefault="00DB1BEC" w:rsidP="000F6998">
      <w:pPr>
        <w:jc w:val="both"/>
        <w:rPr>
          <w:rFonts w:cstheme="minorHAnsi"/>
        </w:rPr>
      </w:pPr>
      <w:r w:rsidRPr="003F264A">
        <w:rPr>
          <w:rFonts w:cstheme="minorHAnsi"/>
        </w:rPr>
        <w:br w:type="page"/>
      </w:r>
    </w:p>
    <w:p w14:paraId="488B459A" w14:textId="77777777" w:rsidR="006E512A" w:rsidRDefault="0006609E" w:rsidP="000F6998">
      <w:pPr>
        <w:pStyle w:val="Heading1"/>
        <w:numPr>
          <w:ilvl w:val="0"/>
          <w:numId w:val="26"/>
        </w:numPr>
        <w:jc w:val="both"/>
        <w:rPr>
          <w:rStyle w:val="Heading1Char"/>
          <w:rFonts w:asciiTheme="minorHAnsi" w:hAnsiTheme="minorHAnsi" w:cstheme="minorHAnsi"/>
        </w:rPr>
      </w:pPr>
      <w:bookmarkStart w:id="70" w:name="_Toc118794739"/>
      <w:bookmarkStart w:id="71" w:name="_Toc125714714"/>
      <w:r w:rsidRPr="003F264A">
        <w:rPr>
          <w:rStyle w:val="Heading1Char"/>
          <w:rFonts w:asciiTheme="minorHAnsi" w:hAnsiTheme="minorHAnsi" w:cstheme="minorHAnsi"/>
        </w:rPr>
        <w:t>Likely net benefit of Option 1 (status quo)</w:t>
      </w:r>
      <w:bookmarkEnd w:id="70"/>
      <w:bookmarkEnd w:id="71"/>
    </w:p>
    <w:p w14:paraId="21F9F618" w14:textId="77777777" w:rsidR="00D02175" w:rsidRPr="003F264A" w:rsidRDefault="0006609E" w:rsidP="000F6998">
      <w:pPr>
        <w:spacing w:before="240"/>
        <w:jc w:val="both"/>
        <w:rPr>
          <w:rFonts w:cstheme="minorHAnsi"/>
        </w:rPr>
      </w:pPr>
      <w:r w:rsidRPr="003F264A">
        <w:rPr>
          <w:rFonts w:cstheme="minorHAnsi"/>
        </w:rPr>
        <w:t>Option 1 maintains the current status quo</w:t>
      </w:r>
      <w:r w:rsidR="0040465E" w:rsidRPr="003F264A">
        <w:rPr>
          <w:rFonts w:cstheme="minorHAnsi"/>
        </w:rPr>
        <w:t xml:space="preserve"> of the reporting requirements</w:t>
      </w:r>
      <w:r w:rsidR="0013787B" w:rsidRPr="003F264A">
        <w:rPr>
          <w:rFonts w:cstheme="minorHAnsi"/>
        </w:rPr>
        <w:t xml:space="preserve"> under the WGE Ac</w:t>
      </w:r>
      <w:r w:rsidR="00932781" w:rsidRPr="003F264A">
        <w:rPr>
          <w:rFonts w:cstheme="minorHAnsi"/>
        </w:rPr>
        <w:t>t</w:t>
      </w:r>
      <w:r w:rsidR="0040465E" w:rsidRPr="003F264A">
        <w:rPr>
          <w:rFonts w:cstheme="minorHAnsi"/>
        </w:rPr>
        <w:t xml:space="preserve"> and associated Instruments</w:t>
      </w:r>
      <w:r w:rsidRPr="003F264A">
        <w:rPr>
          <w:rFonts w:cstheme="minorHAnsi"/>
        </w:rPr>
        <w:t xml:space="preserve">. </w:t>
      </w:r>
      <w:r w:rsidR="00357853" w:rsidRPr="003F264A">
        <w:rPr>
          <w:rFonts w:cstheme="minorHAnsi"/>
        </w:rPr>
        <w:t xml:space="preserve">For the purposes of the </w:t>
      </w:r>
      <w:r w:rsidR="00CF5067">
        <w:rPr>
          <w:rFonts w:cstheme="minorHAnsi"/>
          <w:lang w:val="en-GB"/>
        </w:rPr>
        <w:t>IA</w:t>
      </w:r>
      <w:r w:rsidR="00357853" w:rsidRPr="003F264A">
        <w:rPr>
          <w:rFonts w:cstheme="minorHAnsi"/>
        </w:rPr>
        <w:t>, it is important to establish what level of current overall and regulatory impact is experienced by stakeholders in order to compare</w:t>
      </w:r>
      <w:r w:rsidR="00D02175" w:rsidRPr="003F264A">
        <w:rPr>
          <w:rFonts w:cstheme="minorHAnsi"/>
        </w:rPr>
        <w:t xml:space="preserve"> with Option 2 and Option 3. </w:t>
      </w:r>
    </w:p>
    <w:p w14:paraId="0D62C5B2" w14:textId="77777777" w:rsidR="003B41C0" w:rsidRPr="003F264A" w:rsidRDefault="0072017A" w:rsidP="000F6998">
      <w:pPr>
        <w:pStyle w:val="Heading2"/>
        <w:jc w:val="both"/>
        <w:rPr>
          <w:rFonts w:asciiTheme="minorHAnsi" w:eastAsia="Calibri Light" w:hAnsiTheme="minorHAnsi" w:cstheme="minorHAnsi"/>
          <w:color w:val="4472C4" w:themeColor="accent5"/>
        </w:rPr>
      </w:pPr>
      <w:bookmarkStart w:id="72" w:name="_Toc118794740"/>
      <w:bookmarkStart w:id="73" w:name="_Toc125714715"/>
      <w:r w:rsidRPr="003F264A">
        <w:rPr>
          <w:rFonts w:asciiTheme="minorHAnsi" w:hAnsiTheme="minorHAnsi" w:cstheme="minorHAnsi"/>
        </w:rPr>
        <w:t xml:space="preserve">7.1 </w:t>
      </w:r>
      <w:r w:rsidR="00C31D65" w:rsidRPr="003F264A">
        <w:rPr>
          <w:rFonts w:asciiTheme="minorHAnsi" w:eastAsia="Calibri Light" w:hAnsiTheme="minorHAnsi" w:cstheme="minorHAnsi"/>
          <w:color w:val="4472C4" w:themeColor="accent5"/>
        </w:rPr>
        <w:t>Overall Impacts</w:t>
      </w:r>
      <w:bookmarkEnd w:id="72"/>
      <w:bookmarkEnd w:id="73"/>
    </w:p>
    <w:p w14:paraId="21470260" w14:textId="77777777" w:rsidR="005F2A1F" w:rsidRPr="003F264A" w:rsidRDefault="005F2A1F" w:rsidP="000F6998">
      <w:pPr>
        <w:jc w:val="both"/>
        <w:rPr>
          <w:rFonts w:cstheme="minorHAnsi"/>
        </w:rPr>
      </w:pPr>
      <w:r w:rsidRPr="003F264A">
        <w:rPr>
          <w:rFonts w:cstheme="minorHAnsi"/>
        </w:rPr>
        <w:t xml:space="preserve">This option sees a mixtures of costs and benefits experienced by stakeholder groups. Many of the costs were referred to as reasons for recommendations to change the status quo in the Review. </w:t>
      </w:r>
    </w:p>
    <w:p w14:paraId="3C32E601" w14:textId="77777777" w:rsidR="003B5209" w:rsidRPr="003F264A" w:rsidRDefault="003B41C0" w:rsidP="000F6998">
      <w:pPr>
        <w:pStyle w:val="Heading2"/>
        <w:jc w:val="both"/>
        <w:rPr>
          <w:rFonts w:asciiTheme="minorHAnsi" w:eastAsia="Calibri Light" w:hAnsiTheme="minorHAnsi" w:cstheme="minorHAnsi"/>
          <w:color w:val="4472C4" w:themeColor="accent5"/>
        </w:rPr>
      </w:pPr>
      <w:bookmarkStart w:id="74" w:name="_Toc118794741"/>
      <w:bookmarkStart w:id="75" w:name="_Toc125714716"/>
      <w:r w:rsidRPr="003F264A">
        <w:rPr>
          <w:rFonts w:asciiTheme="minorHAnsi" w:eastAsia="Calibri Light" w:hAnsiTheme="minorHAnsi" w:cstheme="minorHAnsi"/>
          <w:color w:val="4472C4" w:themeColor="accent5"/>
        </w:rPr>
        <w:t>7.1.</w:t>
      </w:r>
      <w:r w:rsidR="00885038" w:rsidRPr="003F264A">
        <w:rPr>
          <w:rFonts w:asciiTheme="minorHAnsi" w:eastAsia="Calibri Light" w:hAnsiTheme="minorHAnsi" w:cstheme="minorHAnsi"/>
          <w:color w:val="4472C4" w:themeColor="accent5"/>
        </w:rPr>
        <w:t>1</w:t>
      </w:r>
      <w:r w:rsidRPr="003F264A">
        <w:rPr>
          <w:rFonts w:asciiTheme="minorHAnsi" w:eastAsia="Calibri Light" w:hAnsiTheme="minorHAnsi" w:cstheme="minorHAnsi"/>
          <w:color w:val="4472C4" w:themeColor="accent5"/>
        </w:rPr>
        <w:t xml:space="preserve"> Individuals</w:t>
      </w:r>
      <w:bookmarkEnd w:id="74"/>
      <w:bookmarkEnd w:id="75"/>
    </w:p>
    <w:p w14:paraId="07AE98FF" w14:textId="77777777" w:rsidR="003B5209" w:rsidRPr="003F264A" w:rsidRDefault="003B5209" w:rsidP="000F6998">
      <w:pPr>
        <w:spacing w:before="240"/>
        <w:jc w:val="both"/>
        <w:rPr>
          <w:rFonts w:cstheme="minorHAnsi"/>
          <w:b/>
        </w:rPr>
      </w:pPr>
      <w:r w:rsidRPr="003F264A">
        <w:rPr>
          <w:rFonts w:cstheme="minorHAnsi"/>
          <w:b/>
        </w:rPr>
        <w:t>Benefits</w:t>
      </w:r>
    </w:p>
    <w:p w14:paraId="63214135" w14:textId="041D0EF7" w:rsidR="0013161A" w:rsidRDefault="008A6E1A" w:rsidP="000F6998">
      <w:pPr>
        <w:jc w:val="both"/>
        <w:rPr>
          <w:rFonts w:cstheme="minorHAnsi"/>
        </w:rPr>
      </w:pPr>
      <w:r>
        <w:rPr>
          <w:rFonts w:cstheme="minorHAnsi"/>
        </w:rPr>
        <w:t xml:space="preserve">The status quo will continue to close the gender pay gap and improve gender equality. </w:t>
      </w:r>
      <w:r w:rsidR="0013161A">
        <w:rPr>
          <w:rFonts w:cstheme="minorHAnsi"/>
        </w:rPr>
        <w:t>Gender in</w:t>
      </w:r>
      <w:r w:rsidR="0013161A" w:rsidRPr="0013161A">
        <w:rPr>
          <w:rFonts w:cstheme="minorHAnsi"/>
        </w:rPr>
        <w:t xml:space="preserve">equality concerns both women and men and has a strong impact on </w:t>
      </w:r>
      <w:r w:rsidR="0013161A">
        <w:rPr>
          <w:rFonts w:cstheme="minorHAnsi"/>
        </w:rPr>
        <w:t>people’s</w:t>
      </w:r>
      <w:r w:rsidR="0013161A" w:rsidRPr="0013161A">
        <w:rPr>
          <w:rFonts w:cstheme="minorHAnsi"/>
        </w:rPr>
        <w:t xml:space="preserve"> daily lives</w:t>
      </w:r>
      <w:r>
        <w:rPr>
          <w:rFonts w:cstheme="minorHAnsi"/>
        </w:rPr>
        <w:t xml:space="preserve"> therefore, improving gender equality will have many benefits</w:t>
      </w:r>
      <w:r w:rsidR="0013161A" w:rsidRPr="0013161A">
        <w:rPr>
          <w:rFonts w:cstheme="minorHAnsi"/>
        </w:rPr>
        <w:t xml:space="preserve">. Historically gender equality policies have been contextualised </w:t>
      </w:r>
      <w:r w:rsidR="0013161A">
        <w:rPr>
          <w:rFonts w:cstheme="minorHAnsi"/>
        </w:rPr>
        <w:t>within a frame of ‘women’s issues’ and this</w:t>
      </w:r>
      <w:r w:rsidR="0013161A" w:rsidRPr="0013161A">
        <w:rPr>
          <w:rFonts w:cstheme="minorHAnsi"/>
        </w:rPr>
        <w:t xml:space="preserve"> view has contributed to the perception that women are the only ones who will benefit from a more equal society. </w:t>
      </w:r>
      <w:r w:rsidR="0013161A">
        <w:rPr>
          <w:rFonts w:cstheme="minorHAnsi"/>
        </w:rPr>
        <w:t xml:space="preserve"> </w:t>
      </w:r>
    </w:p>
    <w:p w14:paraId="52007414" w14:textId="676C2E58" w:rsidR="0013161A" w:rsidRPr="0013161A" w:rsidRDefault="0013161A" w:rsidP="000F6998">
      <w:pPr>
        <w:jc w:val="both"/>
        <w:rPr>
          <w:rFonts w:cstheme="minorHAnsi"/>
        </w:rPr>
      </w:pPr>
      <w:r w:rsidRPr="0013161A">
        <w:rPr>
          <w:rFonts w:cstheme="minorHAnsi"/>
        </w:rPr>
        <w:t>In reality, men also benefit from gender equality as they too face gender-specific issues such as lower life expectancy, bad health, lower education levels and rigid gender norms.</w:t>
      </w:r>
      <w:r w:rsidR="0022429C">
        <w:rPr>
          <w:rStyle w:val="FootnoteReference"/>
          <w:rFonts w:cstheme="minorHAnsi"/>
        </w:rPr>
        <w:footnoteReference w:id="117"/>
      </w:r>
      <w:r w:rsidRPr="0013161A">
        <w:rPr>
          <w:rFonts w:cstheme="minorHAnsi"/>
        </w:rPr>
        <w:t xml:space="preserve"> It is essential that both women and men are aware of </w:t>
      </w:r>
      <w:r>
        <w:rPr>
          <w:rFonts w:cstheme="minorHAnsi"/>
        </w:rPr>
        <w:t xml:space="preserve">and able to access </w:t>
      </w:r>
      <w:r w:rsidRPr="0013161A">
        <w:rPr>
          <w:rFonts w:cstheme="minorHAnsi"/>
        </w:rPr>
        <w:t xml:space="preserve">the benefits that gender equality brings to them as individuals and as members of communities and societies. </w:t>
      </w:r>
    </w:p>
    <w:p w14:paraId="50301FF0" w14:textId="7671F383" w:rsidR="00E77CB8" w:rsidRPr="003F264A" w:rsidRDefault="0013161A" w:rsidP="000F6998">
      <w:pPr>
        <w:jc w:val="both"/>
        <w:rPr>
          <w:rFonts w:cstheme="minorHAnsi"/>
        </w:rPr>
      </w:pPr>
      <w:r w:rsidRPr="0013161A">
        <w:rPr>
          <w:rFonts w:cstheme="minorHAnsi"/>
        </w:rPr>
        <w:t xml:space="preserve"> </w:t>
      </w:r>
      <w:r w:rsidR="009342A1" w:rsidRPr="003F264A">
        <w:rPr>
          <w:rFonts w:cstheme="minorHAnsi"/>
        </w:rPr>
        <w:t>Gender</w:t>
      </w:r>
      <w:r w:rsidR="003B41C0" w:rsidRPr="003F264A">
        <w:rPr>
          <w:rFonts w:cstheme="minorHAnsi"/>
        </w:rPr>
        <w:t xml:space="preserve"> equality in workplaces </w:t>
      </w:r>
      <w:r w:rsidR="009342A1" w:rsidRPr="003F264A">
        <w:rPr>
          <w:rFonts w:cstheme="minorHAnsi"/>
        </w:rPr>
        <w:t>benefits individuals.</w:t>
      </w:r>
      <w:r w:rsidR="00B47592" w:rsidRPr="003F264A">
        <w:rPr>
          <w:rFonts w:cstheme="minorHAnsi"/>
        </w:rPr>
        <w:t xml:space="preserve"> The WGE Act, and WGEA, were </w:t>
      </w:r>
      <w:r w:rsidR="00C855FB">
        <w:rPr>
          <w:rFonts w:cstheme="minorHAnsi"/>
        </w:rPr>
        <w:t>established</w:t>
      </w:r>
      <w:r w:rsidR="00B47592" w:rsidRPr="003F264A">
        <w:rPr>
          <w:rFonts w:cstheme="minorHAnsi"/>
        </w:rPr>
        <w:t xml:space="preserve"> ‘</w:t>
      </w:r>
      <w:r w:rsidR="00B47592" w:rsidRPr="003F264A">
        <w:rPr>
          <w:rFonts w:cstheme="minorHAnsi"/>
          <w:color w:val="000000"/>
          <w:shd w:val="clear" w:color="auto" w:fill="FFFFFF"/>
        </w:rPr>
        <w:t>to promote and improve gender equality (including equal remuneration between women and men) in employment and in the workplace’.</w:t>
      </w:r>
      <w:r w:rsidR="00B47592" w:rsidRPr="003F264A">
        <w:rPr>
          <w:rStyle w:val="FootnoteReference"/>
          <w:rFonts w:cstheme="minorHAnsi"/>
          <w:color w:val="000000"/>
          <w:shd w:val="clear" w:color="auto" w:fill="FFFFFF"/>
        </w:rPr>
        <w:footnoteReference w:id="118"/>
      </w:r>
      <w:r w:rsidR="00B47592" w:rsidRPr="003F264A">
        <w:rPr>
          <w:rFonts w:cstheme="minorHAnsi"/>
          <w:color w:val="000000"/>
          <w:shd w:val="clear" w:color="auto" w:fill="FFFFFF"/>
        </w:rPr>
        <w:t xml:space="preserve"> </w:t>
      </w:r>
      <w:r w:rsidR="009342A1" w:rsidRPr="003F264A">
        <w:rPr>
          <w:rFonts w:cstheme="minorHAnsi"/>
        </w:rPr>
        <w:t xml:space="preserve"> </w:t>
      </w:r>
    </w:p>
    <w:p w14:paraId="614627F5" w14:textId="346E5D1C" w:rsidR="009342A1" w:rsidRPr="003F264A" w:rsidRDefault="00E77CB8" w:rsidP="000F6998">
      <w:pPr>
        <w:jc w:val="both"/>
        <w:rPr>
          <w:rFonts w:cstheme="minorHAnsi"/>
        </w:rPr>
      </w:pPr>
      <w:r w:rsidRPr="003F264A">
        <w:rPr>
          <w:rFonts w:cstheme="minorHAnsi"/>
        </w:rPr>
        <w:t xml:space="preserve">WGEA’s </w:t>
      </w:r>
      <w:r w:rsidR="0013161A">
        <w:rPr>
          <w:rFonts w:cstheme="minorHAnsi"/>
        </w:rPr>
        <w:t>current</w:t>
      </w:r>
      <w:r w:rsidRPr="003F264A">
        <w:rPr>
          <w:rFonts w:cstheme="minorHAnsi"/>
        </w:rPr>
        <w:t xml:space="preserve"> work is aimed at improving ge</w:t>
      </w:r>
      <w:r w:rsidR="006204A3" w:rsidRPr="003F264A">
        <w:rPr>
          <w:rFonts w:cstheme="minorHAnsi"/>
        </w:rPr>
        <w:t>nder equality in the workplace. T</w:t>
      </w:r>
      <w:r w:rsidRPr="003F264A">
        <w:rPr>
          <w:rFonts w:cstheme="minorHAnsi"/>
        </w:rPr>
        <w:t xml:space="preserve">his impacts individuals across Australia in terms of </w:t>
      </w:r>
      <w:r w:rsidR="00CD4270" w:rsidRPr="003F264A">
        <w:rPr>
          <w:rFonts w:cstheme="minorHAnsi"/>
        </w:rPr>
        <w:t xml:space="preserve">their </w:t>
      </w:r>
      <w:r w:rsidRPr="003F264A">
        <w:rPr>
          <w:rFonts w:cstheme="minorHAnsi"/>
        </w:rPr>
        <w:t>experiences and opportunities at work</w:t>
      </w:r>
      <w:r w:rsidR="00570858">
        <w:rPr>
          <w:rFonts w:cstheme="minorHAnsi"/>
        </w:rPr>
        <w:t>,</w:t>
      </w:r>
      <w:r w:rsidRPr="003F264A">
        <w:rPr>
          <w:rFonts w:cstheme="minorHAnsi"/>
        </w:rPr>
        <w:t xml:space="preserve"> and the second round impacts that this has on </w:t>
      </w:r>
      <w:r w:rsidR="00A70FC3" w:rsidRPr="003F264A">
        <w:rPr>
          <w:rFonts w:cstheme="minorHAnsi"/>
        </w:rPr>
        <w:t xml:space="preserve">their </w:t>
      </w:r>
      <w:r w:rsidRPr="003F264A">
        <w:rPr>
          <w:rFonts w:cstheme="minorHAnsi"/>
        </w:rPr>
        <w:t xml:space="preserve">personal and family lives. Gender equality </w:t>
      </w:r>
      <w:r w:rsidR="009342A1" w:rsidRPr="003F264A">
        <w:rPr>
          <w:rFonts w:cstheme="minorHAnsi"/>
        </w:rPr>
        <w:t xml:space="preserve">levels the playing field </w:t>
      </w:r>
      <w:r w:rsidRPr="003F264A">
        <w:rPr>
          <w:rFonts w:cstheme="minorHAnsi"/>
        </w:rPr>
        <w:t>by ensuring women are equipped to get jobs</w:t>
      </w:r>
      <w:r w:rsidR="0013161A">
        <w:rPr>
          <w:rFonts w:cstheme="minorHAnsi"/>
        </w:rPr>
        <w:t>,</w:t>
      </w:r>
      <w:r w:rsidR="00BF74CA">
        <w:rPr>
          <w:rFonts w:cstheme="minorHAnsi"/>
        </w:rPr>
        <w:t xml:space="preserve"> </w:t>
      </w:r>
      <w:r w:rsidRPr="003F264A">
        <w:rPr>
          <w:rFonts w:cstheme="minorHAnsi"/>
        </w:rPr>
        <w:t>succeed in those jobs</w:t>
      </w:r>
      <w:r w:rsidR="0013161A">
        <w:rPr>
          <w:rFonts w:cstheme="minorHAnsi"/>
        </w:rPr>
        <w:t xml:space="preserve"> and be equally remunerated so they don’t continue to suffer the lifetime wealth inequalities that currently exist between women and men</w:t>
      </w:r>
      <w:r w:rsidRPr="003F264A">
        <w:rPr>
          <w:rFonts w:cstheme="minorHAnsi"/>
        </w:rPr>
        <w:t xml:space="preserve">. The </w:t>
      </w:r>
      <w:r w:rsidR="00936F52" w:rsidRPr="003F264A">
        <w:rPr>
          <w:rFonts w:cstheme="minorHAnsi"/>
        </w:rPr>
        <w:t>overall impacts for individuals as a result of the current WGEA</w:t>
      </w:r>
      <w:r w:rsidR="00AC571A" w:rsidRPr="003F264A">
        <w:rPr>
          <w:rFonts w:cstheme="minorHAnsi"/>
        </w:rPr>
        <w:t xml:space="preserve"> and WGE Ac</w:t>
      </w:r>
      <w:r w:rsidRPr="003F264A">
        <w:rPr>
          <w:rFonts w:cstheme="minorHAnsi"/>
        </w:rPr>
        <w:t>t</w:t>
      </w:r>
      <w:r w:rsidR="00936F52" w:rsidRPr="003F264A">
        <w:rPr>
          <w:rFonts w:cstheme="minorHAnsi"/>
        </w:rPr>
        <w:t xml:space="preserve"> system</w:t>
      </w:r>
      <w:r w:rsidR="00161DB0" w:rsidRPr="003F264A">
        <w:rPr>
          <w:rFonts w:cstheme="minorHAnsi"/>
        </w:rPr>
        <w:t xml:space="preserve"> are detailed below</w:t>
      </w:r>
      <w:r w:rsidR="00936F52" w:rsidRPr="003F264A">
        <w:rPr>
          <w:rFonts w:cstheme="minorHAnsi"/>
        </w:rPr>
        <w:t xml:space="preserve">. </w:t>
      </w:r>
      <w:r w:rsidR="00AC571A" w:rsidRPr="003F264A">
        <w:rPr>
          <w:rFonts w:cstheme="minorHAnsi"/>
        </w:rPr>
        <w:t>Benefits</w:t>
      </w:r>
      <w:r w:rsidR="00936F52" w:rsidRPr="003F264A">
        <w:rPr>
          <w:rFonts w:cstheme="minorHAnsi"/>
        </w:rPr>
        <w:t xml:space="preserve"> to individuals in Options 2 and 3 </w:t>
      </w:r>
      <w:r w:rsidR="00F1482F" w:rsidRPr="003F264A">
        <w:rPr>
          <w:rFonts w:cstheme="minorHAnsi"/>
        </w:rPr>
        <w:t>include these impacts and build</w:t>
      </w:r>
      <w:r w:rsidR="00936F52" w:rsidRPr="003F264A">
        <w:rPr>
          <w:rFonts w:cstheme="minorHAnsi"/>
        </w:rPr>
        <w:t xml:space="preserve"> on them further. </w:t>
      </w:r>
    </w:p>
    <w:p w14:paraId="5B77BFD0" w14:textId="5C6DF80F" w:rsidR="009342A1" w:rsidRPr="003F264A" w:rsidRDefault="009342A1" w:rsidP="000F6998">
      <w:pPr>
        <w:jc w:val="both"/>
        <w:rPr>
          <w:rFonts w:cstheme="minorHAnsi"/>
        </w:rPr>
      </w:pPr>
      <w:r w:rsidRPr="003F264A">
        <w:rPr>
          <w:rFonts w:cstheme="minorHAnsi"/>
        </w:rPr>
        <w:t>Since the establishment of WGEA, women’s workforce participation has increased and the gender pay gap has decreased.</w:t>
      </w:r>
      <w:r w:rsidR="00E77CB8" w:rsidRPr="003F264A">
        <w:rPr>
          <w:rStyle w:val="FootnoteReference"/>
          <w:rFonts w:cstheme="minorHAnsi"/>
        </w:rPr>
        <w:footnoteReference w:id="119"/>
      </w:r>
      <w:r w:rsidRPr="003F264A">
        <w:rPr>
          <w:rFonts w:cstheme="minorHAnsi"/>
        </w:rPr>
        <w:t xml:space="preserve"> </w:t>
      </w:r>
      <w:r w:rsidR="00E77CB8" w:rsidRPr="003F264A">
        <w:rPr>
          <w:rFonts w:cstheme="minorHAnsi"/>
        </w:rPr>
        <w:t>Women are earning higher wages</w:t>
      </w:r>
      <w:r w:rsidR="007E1B52">
        <w:rPr>
          <w:rFonts w:cstheme="minorHAnsi"/>
        </w:rPr>
        <w:t xml:space="preserve"> </w:t>
      </w:r>
      <w:r w:rsidR="00570858">
        <w:rPr>
          <w:rFonts w:cstheme="minorHAnsi"/>
        </w:rPr>
        <w:t xml:space="preserve">- </w:t>
      </w:r>
      <w:r w:rsidR="007E1B52">
        <w:rPr>
          <w:rFonts w:cstheme="minorHAnsi"/>
        </w:rPr>
        <w:t>demonstrated by a fall in the gender pay gap from 24.7 per cent to 2</w:t>
      </w:r>
      <w:r w:rsidR="00AC27DC">
        <w:rPr>
          <w:rFonts w:cstheme="minorHAnsi"/>
        </w:rPr>
        <w:t>2</w:t>
      </w:r>
      <w:r w:rsidR="007E1B52">
        <w:rPr>
          <w:rFonts w:cstheme="minorHAnsi"/>
        </w:rPr>
        <w:t>.</w:t>
      </w:r>
      <w:r w:rsidR="00AC27DC">
        <w:rPr>
          <w:rFonts w:cstheme="minorHAnsi"/>
        </w:rPr>
        <w:t>8</w:t>
      </w:r>
      <w:r w:rsidR="007E1B52">
        <w:rPr>
          <w:rFonts w:cstheme="minorHAnsi"/>
        </w:rPr>
        <w:t xml:space="preserve"> per cent</w:t>
      </w:r>
      <w:r w:rsidR="00E77CB8" w:rsidRPr="003F264A">
        <w:rPr>
          <w:rFonts w:cstheme="minorHAnsi"/>
        </w:rPr>
        <w:t xml:space="preserve"> </w:t>
      </w:r>
      <w:r w:rsidR="00AC27DC">
        <w:rPr>
          <w:rFonts w:cstheme="minorHAnsi"/>
        </w:rPr>
        <w:t>(accordingly to WGEA data from March 2021)</w:t>
      </w:r>
      <w:r w:rsidR="00570858">
        <w:rPr>
          <w:rFonts w:cstheme="minorHAnsi"/>
        </w:rPr>
        <w:t xml:space="preserve">- </w:t>
      </w:r>
      <w:r w:rsidR="00E77CB8" w:rsidRPr="003F264A">
        <w:rPr>
          <w:rFonts w:cstheme="minorHAnsi"/>
        </w:rPr>
        <w:t xml:space="preserve">and are </w:t>
      </w:r>
      <w:r w:rsidR="008F7893">
        <w:rPr>
          <w:rFonts w:cstheme="minorHAnsi"/>
        </w:rPr>
        <w:t>more likely to enter management</w:t>
      </w:r>
      <w:r w:rsidR="00570858">
        <w:rPr>
          <w:rFonts w:cstheme="minorHAnsi"/>
        </w:rPr>
        <w:t xml:space="preserve"> and leadership roles.</w:t>
      </w:r>
      <w:r w:rsidR="00E77CB8" w:rsidRPr="003F264A">
        <w:rPr>
          <w:rFonts w:cstheme="minorHAnsi"/>
        </w:rPr>
        <w:t xml:space="preserve"> </w:t>
      </w:r>
      <w:r w:rsidR="00570858">
        <w:rPr>
          <w:rFonts w:cstheme="minorHAnsi"/>
        </w:rPr>
        <w:t>Employers</w:t>
      </w:r>
      <w:r w:rsidR="008F7893">
        <w:rPr>
          <w:rFonts w:cstheme="minorHAnsi"/>
        </w:rPr>
        <w:t xml:space="preserve"> that demonstrate consistent gender equality policies and practices had an increase in female managers by 5.5 per cent.</w:t>
      </w:r>
      <w:r w:rsidR="007E1B52">
        <w:rPr>
          <w:rStyle w:val="FootnoteReference"/>
          <w:rFonts w:cstheme="minorHAnsi"/>
        </w:rPr>
        <w:footnoteReference w:id="120"/>
      </w:r>
    </w:p>
    <w:p w14:paraId="1C06784A" w14:textId="269F4E06" w:rsidR="009342A1" w:rsidRPr="003F264A" w:rsidRDefault="00E77CB8" w:rsidP="000F6998">
      <w:pPr>
        <w:jc w:val="both"/>
        <w:rPr>
          <w:rFonts w:cstheme="minorHAnsi"/>
        </w:rPr>
      </w:pPr>
      <w:r w:rsidRPr="003F264A">
        <w:rPr>
          <w:rFonts w:cstheme="minorHAnsi"/>
        </w:rPr>
        <w:t>S</w:t>
      </w:r>
      <w:r w:rsidR="001B183D" w:rsidRPr="003F264A">
        <w:rPr>
          <w:rFonts w:cstheme="minorHAnsi"/>
        </w:rPr>
        <w:t xml:space="preserve">econd round </w:t>
      </w:r>
      <w:r w:rsidRPr="003F264A">
        <w:rPr>
          <w:rFonts w:cstheme="minorHAnsi"/>
        </w:rPr>
        <w:t xml:space="preserve">impacts are also being </w:t>
      </w:r>
      <w:r w:rsidR="00570858">
        <w:rPr>
          <w:rFonts w:cstheme="minorHAnsi"/>
        </w:rPr>
        <w:t>experienced</w:t>
      </w:r>
      <w:r w:rsidR="00570858" w:rsidRPr="003F264A">
        <w:rPr>
          <w:rFonts w:cstheme="minorHAnsi"/>
        </w:rPr>
        <w:t xml:space="preserve"> </w:t>
      </w:r>
      <w:r w:rsidRPr="003F264A">
        <w:rPr>
          <w:rFonts w:cstheme="minorHAnsi"/>
        </w:rPr>
        <w:t>by women.</w:t>
      </w:r>
      <w:r w:rsidR="001B183D" w:rsidRPr="003F264A">
        <w:rPr>
          <w:rFonts w:cstheme="minorHAnsi"/>
        </w:rPr>
        <w:t xml:space="preserve"> </w:t>
      </w:r>
      <w:r w:rsidR="00570858">
        <w:rPr>
          <w:rFonts w:cstheme="minorHAnsi"/>
        </w:rPr>
        <w:t>Employment</w:t>
      </w:r>
      <w:r w:rsidR="00670967" w:rsidRPr="003F264A">
        <w:rPr>
          <w:rFonts w:cstheme="minorHAnsi"/>
        </w:rPr>
        <w:t xml:space="preserve"> is </w:t>
      </w:r>
      <w:r w:rsidR="001B183D" w:rsidRPr="003F264A">
        <w:rPr>
          <w:rFonts w:cstheme="minorHAnsi"/>
        </w:rPr>
        <w:t>typically the main source of household income, and determines material wellbeing and living standard</w:t>
      </w:r>
      <w:r w:rsidR="00570858">
        <w:rPr>
          <w:rFonts w:cstheme="minorHAnsi"/>
        </w:rPr>
        <w:t>s</w:t>
      </w:r>
      <w:r w:rsidR="001B183D" w:rsidRPr="003F264A">
        <w:rPr>
          <w:rFonts w:cstheme="minorHAnsi"/>
        </w:rPr>
        <w:t>.</w:t>
      </w:r>
      <w:r w:rsidR="001B183D" w:rsidRPr="003F264A">
        <w:rPr>
          <w:rStyle w:val="FootnoteReference"/>
          <w:rFonts w:cstheme="minorHAnsi"/>
        </w:rPr>
        <w:footnoteReference w:id="121"/>
      </w:r>
      <w:r w:rsidR="001B183D" w:rsidRPr="003F264A">
        <w:rPr>
          <w:rFonts w:cstheme="minorHAnsi"/>
        </w:rPr>
        <w:t xml:space="preserve"> </w:t>
      </w:r>
      <w:r w:rsidR="00570858">
        <w:rPr>
          <w:rFonts w:cstheme="minorHAnsi"/>
        </w:rPr>
        <w:t>Improved g</w:t>
      </w:r>
      <w:r w:rsidR="00AC571A" w:rsidRPr="003F264A">
        <w:rPr>
          <w:rFonts w:cstheme="minorHAnsi"/>
        </w:rPr>
        <w:t>ender equality would</w:t>
      </w:r>
      <w:r w:rsidR="00EE2136" w:rsidRPr="003F264A">
        <w:rPr>
          <w:rFonts w:cstheme="minorHAnsi"/>
        </w:rPr>
        <w:t xml:space="preserve"> </w:t>
      </w:r>
      <w:r w:rsidR="0013161A">
        <w:rPr>
          <w:rFonts w:cstheme="minorHAnsi"/>
        </w:rPr>
        <w:t>enable</w:t>
      </w:r>
      <w:r w:rsidR="0013161A" w:rsidRPr="003F264A">
        <w:rPr>
          <w:rFonts w:cstheme="minorHAnsi"/>
        </w:rPr>
        <w:t xml:space="preserve"> </w:t>
      </w:r>
      <w:r w:rsidR="00EE2136" w:rsidRPr="003F264A">
        <w:rPr>
          <w:rFonts w:cstheme="minorHAnsi"/>
        </w:rPr>
        <w:t xml:space="preserve">women </w:t>
      </w:r>
      <w:r w:rsidR="0013161A">
        <w:rPr>
          <w:rFonts w:cstheme="minorHAnsi"/>
        </w:rPr>
        <w:t xml:space="preserve">to </w:t>
      </w:r>
      <w:r w:rsidR="00EE2136" w:rsidRPr="003F264A">
        <w:rPr>
          <w:rFonts w:cstheme="minorHAnsi"/>
        </w:rPr>
        <w:t>work and earn more</w:t>
      </w:r>
      <w:r w:rsidR="00570858">
        <w:rPr>
          <w:rFonts w:cstheme="minorHAnsi"/>
        </w:rPr>
        <w:t>,</w:t>
      </w:r>
      <w:r w:rsidR="00EE2136" w:rsidRPr="003F264A">
        <w:rPr>
          <w:rFonts w:cstheme="minorHAnsi"/>
        </w:rPr>
        <w:t xml:space="preserve"> </w:t>
      </w:r>
      <w:r w:rsidR="0013161A">
        <w:rPr>
          <w:rFonts w:cstheme="minorHAnsi"/>
        </w:rPr>
        <w:t>delivering</w:t>
      </w:r>
      <w:r w:rsidR="00EE2136" w:rsidRPr="003F264A">
        <w:rPr>
          <w:rFonts w:cstheme="minorHAnsi"/>
        </w:rPr>
        <w:t xml:space="preserve"> financial benefits for the individuals</w:t>
      </w:r>
      <w:r w:rsidR="0013161A">
        <w:rPr>
          <w:rFonts w:cstheme="minorHAnsi"/>
        </w:rPr>
        <w:t>, their families</w:t>
      </w:r>
      <w:r w:rsidR="00EE2136" w:rsidRPr="003F264A">
        <w:rPr>
          <w:rFonts w:cstheme="minorHAnsi"/>
        </w:rPr>
        <w:t xml:space="preserve"> </w:t>
      </w:r>
      <w:r w:rsidR="00570858">
        <w:rPr>
          <w:rFonts w:cstheme="minorHAnsi"/>
        </w:rPr>
        <w:t>and their households</w:t>
      </w:r>
      <w:r w:rsidR="00EE2136" w:rsidRPr="003F264A">
        <w:rPr>
          <w:rFonts w:cstheme="minorHAnsi"/>
        </w:rPr>
        <w:t>. Social impacts are also experienced</w:t>
      </w:r>
      <w:r w:rsidR="00570858">
        <w:rPr>
          <w:rFonts w:cstheme="minorHAnsi"/>
        </w:rPr>
        <w:t xml:space="preserve"> - employment</w:t>
      </w:r>
      <w:r w:rsidR="001B183D" w:rsidRPr="003F264A">
        <w:rPr>
          <w:rFonts w:cstheme="minorHAnsi"/>
        </w:rPr>
        <w:t xml:space="preserve"> im</w:t>
      </w:r>
      <w:r w:rsidR="00A11E3A" w:rsidRPr="003F264A">
        <w:rPr>
          <w:rFonts w:cstheme="minorHAnsi"/>
        </w:rPr>
        <w:t>proves physical and mental health</w:t>
      </w:r>
      <w:r w:rsidR="001B183D" w:rsidRPr="003F264A">
        <w:rPr>
          <w:rFonts w:cstheme="minorHAnsi"/>
        </w:rPr>
        <w:t>, increases a person’</w:t>
      </w:r>
      <w:r w:rsidR="00F768D4" w:rsidRPr="003F264A">
        <w:rPr>
          <w:rFonts w:cstheme="minorHAnsi"/>
        </w:rPr>
        <w:t>s social circle, shapes identit</w:t>
      </w:r>
      <w:r w:rsidR="001B183D" w:rsidRPr="003F264A">
        <w:rPr>
          <w:rFonts w:cstheme="minorHAnsi"/>
        </w:rPr>
        <w:t>y and boosts life satisfaction.</w:t>
      </w:r>
      <w:r w:rsidR="00A11E3A" w:rsidRPr="003F264A">
        <w:rPr>
          <w:rStyle w:val="FootnoteReference"/>
          <w:rFonts w:cstheme="minorHAnsi"/>
        </w:rPr>
        <w:footnoteReference w:id="122"/>
      </w:r>
      <w:r w:rsidR="001B183D" w:rsidRPr="003F264A">
        <w:rPr>
          <w:rFonts w:cstheme="minorHAnsi"/>
        </w:rPr>
        <w:t xml:space="preserve"> </w:t>
      </w:r>
    </w:p>
    <w:p w14:paraId="3F416DAC" w14:textId="09E9B75F" w:rsidR="00F1482F" w:rsidRPr="003F264A" w:rsidRDefault="001A02E9" w:rsidP="000F6998">
      <w:pPr>
        <w:jc w:val="both"/>
        <w:rPr>
          <w:rFonts w:cstheme="minorHAnsi"/>
        </w:rPr>
      </w:pPr>
      <w:r w:rsidRPr="003F264A">
        <w:rPr>
          <w:rFonts w:cstheme="minorHAnsi"/>
        </w:rPr>
        <w:t>Gender equality is good for the economy</w:t>
      </w:r>
      <w:r w:rsidR="00A6738E">
        <w:rPr>
          <w:rFonts w:cstheme="minorHAnsi"/>
        </w:rPr>
        <w:t xml:space="preserve">, with research showing that closing the workforce participation gap between men and women would lead to projected growth </w:t>
      </w:r>
      <w:r w:rsidR="00B468BA">
        <w:rPr>
          <w:rFonts w:cstheme="minorHAnsi"/>
        </w:rPr>
        <w:t>in</w:t>
      </w:r>
      <w:r w:rsidR="00A6738E">
        <w:rPr>
          <w:rFonts w:cstheme="minorHAnsi"/>
        </w:rPr>
        <w:t xml:space="preserve"> Australia’s GDP of between </w:t>
      </w:r>
      <w:r w:rsidR="00570858">
        <w:rPr>
          <w:rFonts w:cstheme="minorHAnsi"/>
        </w:rPr>
        <w:t xml:space="preserve">8-11 </w:t>
      </w:r>
      <w:r w:rsidR="00A6738E">
        <w:rPr>
          <w:rFonts w:cstheme="minorHAnsi"/>
        </w:rPr>
        <w:t>per cent</w:t>
      </w:r>
      <w:r w:rsidRPr="003F264A">
        <w:rPr>
          <w:rFonts w:cstheme="minorHAnsi"/>
        </w:rPr>
        <w:t>.</w:t>
      </w:r>
      <w:r w:rsidR="000238B9">
        <w:rPr>
          <w:rStyle w:val="FootnoteReference"/>
          <w:rFonts w:cstheme="minorHAnsi"/>
        </w:rPr>
        <w:footnoteReference w:id="123"/>
      </w:r>
      <w:r w:rsidRPr="003F264A">
        <w:rPr>
          <w:rFonts w:cstheme="minorHAnsi"/>
        </w:rPr>
        <w:t xml:space="preserve"> </w:t>
      </w:r>
      <w:r w:rsidR="00F1482F" w:rsidRPr="003F264A">
        <w:rPr>
          <w:rFonts w:cstheme="minorHAnsi"/>
        </w:rPr>
        <w:t xml:space="preserve"> </w:t>
      </w:r>
      <w:r w:rsidR="00161DB0" w:rsidRPr="003F264A">
        <w:rPr>
          <w:rFonts w:cstheme="minorHAnsi"/>
        </w:rPr>
        <w:t>In turn, a</w:t>
      </w:r>
      <w:r w:rsidR="00F1482F" w:rsidRPr="003F264A">
        <w:rPr>
          <w:rFonts w:cstheme="minorHAnsi"/>
        </w:rPr>
        <w:t xml:space="preserve"> healthy economy is a good place for Australians to live</w:t>
      </w:r>
      <w:r w:rsidR="00F768D4" w:rsidRPr="003F264A">
        <w:rPr>
          <w:rFonts w:cstheme="minorHAnsi"/>
        </w:rPr>
        <w:t>, both economically and socially</w:t>
      </w:r>
      <w:r w:rsidR="00F1482F" w:rsidRPr="003F264A">
        <w:rPr>
          <w:rFonts w:cstheme="minorHAnsi"/>
        </w:rPr>
        <w:t xml:space="preserve">. </w:t>
      </w:r>
    </w:p>
    <w:p w14:paraId="4C194191" w14:textId="77777777" w:rsidR="00936F52" w:rsidRPr="003F264A" w:rsidRDefault="001A02E9" w:rsidP="000F6998">
      <w:pPr>
        <w:jc w:val="both"/>
        <w:rPr>
          <w:rFonts w:cstheme="minorHAnsi"/>
        </w:rPr>
      </w:pPr>
      <w:r w:rsidRPr="003F264A">
        <w:rPr>
          <w:rFonts w:cstheme="minorHAnsi"/>
        </w:rPr>
        <w:t>By</w:t>
      </w:r>
      <w:r w:rsidR="00F768D4" w:rsidRPr="003F264A">
        <w:rPr>
          <w:rFonts w:cstheme="minorHAnsi"/>
        </w:rPr>
        <w:t xml:space="preserve"> address</w:t>
      </w:r>
      <w:r w:rsidRPr="003F264A">
        <w:rPr>
          <w:rFonts w:cstheme="minorHAnsi"/>
        </w:rPr>
        <w:t>ing</w:t>
      </w:r>
      <w:r w:rsidR="00F768D4" w:rsidRPr="003F264A">
        <w:rPr>
          <w:rFonts w:cstheme="minorHAnsi"/>
        </w:rPr>
        <w:t xml:space="preserve"> gender inequality in the workplace, </w:t>
      </w:r>
      <w:r w:rsidR="00036D64" w:rsidRPr="003F264A">
        <w:rPr>
          <w:rFonts w:cstheme="minorHAnsi"/>
        </w:rPr>
        <w:t>WGEA’</w:t>
      </w:r>
      <w:r w:rsidR="00C66293" w:rsidRPr="003F264A">
        <w:rPr>
          <w:rFonts w:cstheme="minorHAnsi"/>
        </w:rPr>
        <w:t xml:space="preserve">s work also benefits men. A </w:t>
      </w:r>
      <w:r w:rsidR="00F20C92" w:rsidRPr="003F264A">
        <w:rPr>
          <w:rFonts w:cstheme="minorHAnsi"/>
        </w:rPr>
        <w:t>DCA re</w:t>
      </w:r>
      <w:r w:rsidR="00961C1B" w:rsidRPr="003F264A">
        <w:rPr>
          <w:rFonts w:cstheme="minorHAnsi"/>
        </w:rPr>
        <w:t>port set out a range of social</w:t>
      </w:r>
      <w:r w:rsidR="00F20C92" w:rsidRPr="003F264A">
        <w:rPr>
          <w:rFonts w:cstheme="minorHAnsi"/>
        </w:rPr>
        <w:t xml:space="preserve"> benefits </w:t>
      </w:r>
      <w:r w:rsidR="00C66293" w:rsidRPr="003F264A">
        <w:rPr>
          <w:rFonts w:cstheme="minorHAnsi"/>
        </w:rPr>
        <w:t xml:space="preserve">for men </w:t>
      </w:r>
      <w:r w:rsidR="00F20C92" w:rsidRPr="003F264A">
        <w:rPr>
          <w:rFonts w:cstheme="minorHAnsi"/>
        </w:rPr>
        <w:t>that would result from progress being made on gender inequality:</w:t>
      </w:r>
      <w:r w:rsidR="009F3FC8" w:rsidRPr="003F264A">
        <w:rPr>
          <w:rStyle w:val="FootnoteReference"/>
          <w:rFonts w:cstheme="minorHAnsi"/>
        </w:rPr>
        <w:footnoteReference w:id="124"/>
      </w:r>
      <w:r w:rsidR="00936F52" w:rsidRPr="003F264A">
        <w:rPr>
          <w:rFonts w:cstheme="minorHAnsi"/>
        </w:rPr>
        <w:t xml:space="preserve"> </w:t>
      </w:r>
    </w:p>
    <w:p w14:paraId="7FF52898" w14:textId="167D6069" w:rsidR="00936F52" w:rsidRPr="003F264A" w:rsidRDefault="00936F52" w:rsidP="000F6998">
      <w:pPr>
        <w:pStyle w:val="ListParagraph"/>
        <w:numPr>
          <w:ilvl w:val="0"/>
          <w:numId w:val="25"/>
        </w:numPr>
        <w:jc w:val="both"/>
        <w:rPr>
          <w:rFonts w:cstheme="minorHAnsi"/>
        </w:rPr>
      </w:pPr>
      <w:r w:rsidRPr="003F264A">
        <w:rPr>
          <w:rFonts w:cstheme="minorHAnsi"/>
          <w:b/>
        </w:rPr>
        <w:t>Men gain when women gain</w:t>
      </w:r>
      <w:r w:rsidRPr="003F264A">
        <w:rPr>
          <w:rFonts w:cstheme="minorHAnsi"/>
        </w:rPr>
        <w:t>. Because gender equality is good for women and girls, it is good for men too. Men and boys share their lives with women and girls</w:t>
      </w:r>
      <w:r w:rsidR="00570858">
        <w:rPr>
          <w:rFonts w:cstheme="minorHAnsi"/>
        </w:rPr>
        <w:t>,</w:t>
      </w:r>
      <w:r w:rsidRPr="003F264A">
        <w:rPr>
          <w:rFonts w:cstheme="minorHAnsi"/>
        </w:rPr>
        <w:t xml:space="preserve"> and men gain when the women and girls around them have lives which are safe and fair.</w:t>
      </w:r>
      <w:r w:rsidR="00E21290">
        <w:rPr>
          <w:rStyle w:val="FootnoteReference"/>
          <w:rFonts w:cstheme="minorHAnsi"/>
        </w:rPr>
        <w:footnoteReference w:id="125"/>
      </w:r>
      <w:r w:rsidRPr="003F264A">
        <w:rPr>
          <w:rFonts w:cstheme="minorHAnsi"/>
        </w:rPr>
        <w:t xml:space="preserve"> </w:t>
      </w:r>
    </w:p>
    <w:p w14:paraId="7B235603" w14:textId="7B43E32C" w:rsidR="00936F52" w:rsidRPr="003F264A" w:rsidRDefault="00936F52" w:rsidP="000F6998">
      <w:pPr>
        <w:pStyle w:val="ListParagraph"/>
        <w:numPr>
          <w:ilvl w:val="0"/>
          <w:numId w:val="25"/>
        </w:numPr>
        <w:jc w:val="both"/>
        <w:rPr>
          <w:rFonts w:cstheme="minorHAnsi"/>
        </w:rPr>
      </w:pPr>
      <w:r w:rsidRPr="003F264A">
        <w:rPr>
          <w:rFonts w:cstheme="minorHAnsi"/>
          <w:b/>
        </w:rPr>
        <w:t>Wellbeing</w:t>
      </w:r>
      <w:r w:rsidR="002D0033" w:rsidRPr="003F264A">
        <w:rPr>
          <w:rFonts w:cstheme="minorHAnsi"/>
        </w:rPr>
        <w:t>. Men’s own wellbeing is limited by narrow</w:t>
      </w:r>
      <w:r w:rsidRPr="003F264A">
        <w:rPr>
          <w:rFonts w:cstheme="minorHAnsi"/>
        </w:rPr>
        <w:t xml:space="preserve"> ideas about how they are “supposed” to behave.</w:t>
      </w:r>
      <w:r w:rsidR="004C521B" w:rsidDel="004C521B">
        <w:rPr>
          <w:rStyle w:val="FootnoteReference"/>
          <w:rFonts w:cstheme="minorHAnsi"/>
        </w:rPr>
        <w:t xml:space="preserve"> </w:t>
      </w:r>
      <w:r w:rsidRPr="003F264A">
        <w:rPr>
          <w:rFonts w:cstheme="minorHAnsi"/>
        </w:rPr>
        <w:t xml:space="preserve"> Feminism gives men greater choices about working and family lives by questioning narrow, restricting gender roles for women and men.</w:t>
      </w:r>
      <w:r w:rsidR="00E21290">
        <w:rPr>
          <w:rStyle w:val="FootnoteReference"/>
          <w:rFonts w:cstheme="minorHAnsi"/>
        </w:rPr>
        <w:footnoteReference w:id="126"/>
      </w:r>
      <w:r w:rsidRPr="003F264A">
        <w:rPr>
          <w:rFonts w:cstheme="minorHAnsi"/>
        </w:rPr>
        <w:t xml:space="preserve"> </w:t>
      </w:r>
    </w:p>
    <w:p w14:paraId="15A7A89A" w14:textId="766F145B" w:rsidR="00936F52" w:rsidRPr="003F264A" w:rsidRDefault="00936F52" w:rsidP="000F6998">
      <w:pPr>
        <w:pStyle w:val="ListParagraph"/>
        <w:numPr>
          <w:ilvl w:val="0"/>
          <w:numId w:val="25"/>
        </w:numPr>
        <w:jc w:val="both"/>
        <w:rPr>
          <w:rFonts w:cstheme="minorHAnsi"/>
        </w:rPr>
      </w:pPr>
      <w:r w:rsidRPr="003F264A">
        <w:rPr>
          <w:rFonts w:cstheme="minorHAnsi"/>
          <w:b/>
        </w:rPr>
        <w:t>Relationships</w:t>
      </w:r>
      <w:r w:rsidRPr="003F264A">
        <w:rPr>
          <w:rFonts w:cstheme="minorHAnsi"/>
        </w:rPr>
        <w:t>. Gender equality is good for men’s relationships. US research finds that men with feminist partners report greater relationship stability than men with non-feminist partners.</w:t>
      </w:r>
      <w:r w:rsidR="00E21290">
        <w:rPr>
          <w:rStyle w:val="FootnoteReference"/>
          <w:rFonts w:cstheme="minorHAnsi"/>
        </w:rPr>
        <w:footnoteReference w:id="127"/>
      </w:r>
      <w:r w:rsidRPr="003F264A">
        <w:rPr>
          <w:rFonts w:cstheme="minorHAnsi"/>
        </w:rPr>
        <w:t xml:space="preserve"> </w:t>
      </w:r>
    </w:p>
    <w:p w14:paraId="15BC757D" w14:textId="552D97D2" w:rsidR="00BF74CA" w:rsidRDefault="00141D26" w:rsidP="000F6998">
      <w:pPr>
        <w:jc w:val="both"/>
        <w:rPr>
          <w:rFonts w:cstheme="minorHAnsi"/>
        </w:rPr>
      </w:pPr>
      <w:r w:rsidRPr="003F264A">
        <w:rPr>
          <w:rFonts w:cstheme="minorHAnsi"/>
        </w:rPr>
        <w:t xml:space="preserve">Benefits for men in the workplace are also </w:t>
      </w:r>
      <w:r w:rsidR="00570858">
        <w:rPr>
          <w:rFonts w:cstheme="minorHAnsi"/>
        </w:rPr>
        <w:t>realised</w:t>
      </w:r>
      <w:r w:rsidRPr="003F264A">
        <w:rPr>
          <w:rFonts w:cstheme="minorHAnsi"/>
        </w:rPr>
        <w:t>. With progress towards gender equality in workplaces, men will enjoy workplaces with greater productivity, creativity and diversity because of the wider pool of talent and fairer processes on which they are based. Men will also experience higher quality work resulting from greater teamwork and collaborating</w:t>
      </w:r>
      <w:r w:rsidR="004C6A73">
        <w:rPr>
          <w:rFonts w:cstheme="minorHAnsi"/>
        </w:rPr>
        <w:t>, increased workplace flexibility</w:t>
      </w:r>
      <w:r w:rsidRPr="003F264A">
        <w:rPr>
          <w:rFonts w:cstheme="minorHAnsi"/>
        </w:rPr>
        <w:t xml:space="preserve"> and a reduced emphasis on competitiveness</w:t>
      </w:r>
      <w:r w:rsidR="004C6A73">
        <w:rPr>
          <w:rFonts w:cstheme="minorHAnsi"/>
        </w:rPr>
        <w:t xml:space="preserve"> through access to more gender equal policies</w:t>
      </w:r>
      <w:r w:rsidRPr="003F264A">
        <w:rPr>
          <w:rFonts w:cstheme="minorHAnsi"/>
        </w:rPr>
        <w:t>. Finally, men will benefit psychologically from being active participants in the process of positive change.</w:t>
      </w:r>
      <w:r w:rsidRPr="003F264A">
        <w:rPr>
          <w:rStyle w:val="FootnoteReference"/>
          <w:rFonts w:cstheme="minorHAnsi"/>
        </w:rPr>
        <w:footnoteReference w:id="128"/>
      </w:r>
      <w:r w:rsidRPr="003F264A">
        <w:rPr>
          <w:rFonts w:cstheme="minorHAnsi"/>
        </w:rPr>
        <w:t xml:space="preserve"> </w:t>
      </w:r>
    </w:p>
    <w:p w14:paraId="6A730450" w14:textId="1659BF01" w:rsidR="00141D26" w:rsidRPr="003F264A" w:rsidRDefault="0076091F" w:rsidP="000F6998">
      <w:pPr>
        <w:jc w:val="both"/>
        <w:rPr>
          <w:rFonts w:cstheme="minorHAnsi"/>
        </w:rPr>
      </w:pPr>
      <w:r w:rsidRPr="0076091F">
        <w:rPr>
          <w:rFonts w:cstheme="minorHAnsi"/>
        </w:rPr>
        <w:t xml:space="preserve">Equal rights for </w:t>
      </w:r>
      <w:r>
        <w:rPr>
          <w:rFonts w:cstheme="minorHAnsi"/>
        </w:rPr>
        <w:t>women does no</w:t>
      </w:r>
      <w:r w:rsidRPr="0076091F">
        <w:rPr>
          <w:rFonts w:cstheme="minorHAnsi"/>
        </w:rPr>
        <w:t xml:space="preserve">t mean fewer rights for </w:t>
      </w:r>
      <w:r>
        <w:rPr>
          <w:rFonts w:cstheme="minorHAnsi"/>
        </w:rPr>
        <w:t>men</w:t>
      </w:r>
      <w:r w:rsidRPr="0076091F">
        <w:rPr>
          <w:rFonts w:cstheme="minorHAnsi"/>
        </w:rPr>
        <w:t>. That is not how the system of equality works. </w:t>
      </w:r>
      <w:r>
        <w:rPr>
          <w:rFonts w:cstheme="minorHAnsi"/>
        </w:rPr>
        <w:t xml:space="preserve">While there </w:t>
      </w:r>
      <w:r w:rsidR="004353B9">
        <w:rPr>
          <w:rFonts w:cstheme="minorHAnsi"/>
        </w:rPr>
        <w:t xml:space="preserve">may </w:t>
      </w:r>
      <w:r w:rsidR="00570858">
        <w:rPr>
          <w:rFonts w:cstheme="minorHAnsi"/>
        </w:rPr>
        <w:t xml:space="preserve">exist </w:t>
      </w:r>
      <w:r w:rsidR="004353B9">
        <w:rPr>
          <w:rFonts w:cstheme="minorHAnsi"/>
        </w:rPr>
        <w:t xml:space="preserve">a perception that </w:t>
      </w:r>
      <w:r w:rsidR="00B227EA">
        <w:rPr>
          <w:rFonts w:cstheme="minorHAnsi"/>
        </w:rPr>
        <w:t xml:space="preserve">action </w:t>
      </w:r>
      <w:r w:rsidR="00C52622">
        <w:rPr>
          <w:rFonts w:cstheme="minorHAnsi"/>
        </w:rPr>
        <w:t xml:space="preserve">to improve gender equality </w:t>
      </w:r>
      <w:r>
        <w:rPr>
          <w:rFonts w:cstheme="minorHAnsi"/>
        </w:rPr>
        <w:t>in the workplace</w:t>
      </w:r>
      <w:r w:rsidR="00C52622">
        <w:rPr>
          <w:rFonts w:cstheme="minorHAnsi"/>
        </w:rPr>
        <w:t xml:space="preserve"> </w:t>
      </w:r>
      <w:r w:rsidR="004353B9">
        <w:rPr>
          <w:rFonts w:cstheme="minorHAnsi"/>
        </w:rPr>
        <w:t>could</w:t>
      </w:r>
      <w:r w:rsidR="00C52622">
        <w:rPr>
          <w:rFonts w:cstheme="minorHAnsi"/>
        </w:rPr>
        <w:t xml:space="preserve"> </w:t>
      </w:r>
      <w:r w:rsidR="004353B9">
        <w:rPr>
          <w:rFonts w:cstheme="minorHAnsi"/>
        </w:rPr>
        <w:t xml:space="preserve">‘disadvantage’ </w:t>
      </w:r>
      <w:r w:rsidR="00CD3A4D">
        <w:rPr>
          <w:rFonts w:cstheme="minorHAnsi"/>
        </w:rPr>
        <w:t xml:space="preserve">some </w:t>
      </w:r>
      <w:r w:rsidR="004353B9">
        <w:rPr>
          <w:rFonts w:cstheme="minorHAnsi"/>
        </w:rPr>
        <w:t xml:space="preserve">men </w:t>
      </w:r>
      <w:r w:rsidR="00CD3A4D">
        <w:rPr>
          <w:rFonts w:cstheme="minorHAnsi"/>
        </w:rPr>
        <w:t>(some men ‘losing’ an advantage)</w:t>
      </w:r>
      <w:r>
        <w:rPr>
          <w:rFonts w:cstheme="minorHAnsi"/>
        </w:rPr>
        <w:t>, the evidence is clear that equality has benefits for everyone.</w:t>
      </w:r>
    </w:p>
    <w:p w14:paraId="7283795F" w14:textId="15F5F266" w:rsidR="00F0724B" w:rsidRPr="00146267" w:rsidRDefault="00C66293" w:rsidP="000F6998">
      <w:pPr>
        <w:jc w:val="both"/>
        <w:rPr>
          <w:rFonts w:cstheme="minorHAnsi"/>
        </w:rPr>
      </w:pPr>
      <w:r w:rsidRPr="003F264A">
        <w:rPr>
          <w:rFonts w:cstheme="minorHAnsi"/>
        </w:rPr>
        <w:t>Under the status quo, individuals</w:t>
      </w:r>
      <w:r w:rsidR="00F768D4" w:rsidRPr="003F264A">
        <w:rPr>
          <w:rFonts w:cstheme="minorHAnsi"/>
        </w:rPr>
        <w:t xml:space="preserve"> benefit from WGEA’s</w:t>
      </w:r>
      <w:r w:rsidRPr="003F264A">
        <w:rPr>
          <w:rFonts w:cstheme="minorHAnsi"/>
        </w:rPr>
        <w:t xml:space="preserve"> resources,</w:t>
      </w:r>
      <w:r w:rsidR="00F768D4" w:rsidRPr="003F264A">
        <w:rPr>
          <w:rFonts w:cstheme="minorHAnsi"/>
        </w:rPr>
        <w:t xml:space="preserve"> analysis of data, resources and public tools. </w:t>
      </w:r>
      <w:r w:rsidRPr="003F264A">
        <w:rPr>
          <w:rFonts w:cstheme="minorHAnsi"/>
        </w:rPr>
        <w:t>T</w:t>
      </w:r>
      <w:r w:rsidR="00F768D4" w:rsidRPr="003F264A">
        <w:rPr>
          <w:rFonts w:cstheme="minorHAnsi"/>
        </w:rPr>
        <w:t>he public WGEA dashbo</w:t>
      </w:r>
      <w:r w:rsidR="00AC571A" w:rsidRPr="003F264A">
        <w:rPr>
          <w:rFonts w:cstheme="minorHAnsi"/>
        </w:rPr>
        <w:t xml:space="preserve">ard data explorer (available </w:t>
      </w:r>
      <w:hyperlink r:id="rId21" w:history="1">
        <w:r w:rsidR="00AC571A" w:rsidRPr="003F264A">
          <w:rPr>
            <w:rStyle w:val="Hyperlink"/>
            <w:rFonts w:cstheme="minorHAnsi"/>
          </w:rPr>
          <w:t>here</w:t>
        </w:r>
      </w:hyperlink>
      <w:r w:rsidR="00AC571A" w:rsidRPr="003F264A">
        <w:rPr>
          <w:rFonts w:cstheme="minorHAnsi"/>
        </w:rPr>
        <w:t xml:space="preserve">) is available for anyone </w:t>
      </w:r>
      <w:r w:rsidRPr="003F264A">
        <w:rPr>
          <w:rFonts w:cstheme="minorHAnsi"/>
        </w:rPr>
        <w:t>to access</w:t>
      </w:r>
      <w:r w:rsidR="00F768D4" w:rsidRPr="003F264A">
        <w:rPr>
          <w:rFonts w:cstheme="minorHAnsi"/>
        </w:rPr>
        <w:t>. The data explorer contains key statistics about gender inequality in the workplace. It also sets out gender pay gaps via industry</w:t>
      </w:r>
      <w:r w:rsidR="00C012A6">
        <w:rPr>
          <w:rFonts w:cstheme="minorHAnsi"/>
        </w:rPr>
        <w:t xml:space="preserve"> and occupation</w:t>
      </w:r>
      <w:r w:rsidR="00F768D4" w:rsidRPr="003F264A">
        <w:rPr>
          <w:rFonts w:cstheme="minorHAnsi"/>
        </w:rPr>
        <w:t xml:space="preserve"> and limited information as to organisations. This publicly accessible data allows individuals to be equipped with information</w:t>
      </w:r>
      <w:r w:rsidR="008B312A" w:rsidRPr="003F264A">
        <w:rPr>
          <w:rFonts w:cstheme="minorHAnsi"/>
        </w:rPr>
        <w:t xml:space="preserve"> to drive change and progress for themselves and within their workplaces.</w:t>
      </w:r>
    </w:p>
    <w:p w14:paraId="1FDBF354" w14:textId="45E4B869" w:rsidR="00054EC8" w:rsidRPr="00190721" w:rsidRDefault="00054EC8" w:rsidP="000F6998">
      <w:pPr>
        <w:jc w:val="both"/>
        <w:rPr>
          <w:rFonts w:cstheme="minorHAnsi"/>
          <w:b/>
        </w:rPr>
      </w:pPr>
      <w:r w:rsidRPr="00190721">
        <w:rPr>
          <w:rFonts w:cstheme="minorHAnsi"/>
          <w:b/>
        </w:rPr>
        <w:t>Costs</w:t>
      </w:r>
    </w:p>
    <w:p w14:paraId="667F0145" w14:textId="5E89CF33" w:rsidR="003D175A" w:rsidRDefault="00AC27DC" w:rsidP="003D175A">
      <w:pPr>
        <w:jc w:val="both"/>
        <w:rPr>
          <w:rFonts w:cstheme="minorHAnsi"/>
        </w:rPr>
      </w:pPr>
      <w:r>
        <w:rPr>
          <w:rFonts w:cstheme="minorHAnsi"/>
        </w:rPr>
        <w:t>Under the status quo, the gender pay gap will close but it wil</w:t>
      </w:r>
      <w:r w:rsidR="00C65F93">
        <w:rPr>
          <w:rFonts w:cstheme="minorHAnsi"/>
        </w:rPr>
        <w:t>l take approximately 26 years (a</w:t>
      </w:r>
      <w:r>
        <w:rPr>
          <w:rFonts w:cstheme="minorHAnsi"/>
        </w:rPr>
        <w:t>s outlined above)</w:t>
      </w:r>
      <w:r w:rsidR="00677424">
        <w:rPr>
          <w:rFonts w:cstheme="minorHAnsi"/>
        </w:rPr>
        <w:t>.</w:t>
      </w:r>
      <w:r>
        <w:rPr>
          <w:rFonts w:cstheme="minorHAnsi"/>
        </w:rPr>
        <w:t xml:space="preserve"> </w:t>
      </w:r>
      <w:r w:rsidR="009521B6" w:rsidRPr="003F264A">
        <w:rPr>
          <w:rFonts w:cstheme="minorHAnsi"/>
        </w:rPr>
        <w:t>Gender pay gaps lead to significant earnings shortfalls for women across their careers.</w:t>
      </w:r>
      <w:r w:rsidR="009521B6" w:rsidRPr="003F264A">
        <w:rPr>
          <w:rStyle w:val="FootnoteReference"/>
          <w:rFonts w:cstheme="minorHAnsi"/>
        </w:rPr>
        <w:footnoteReference w:id="129"/>
      </w:r>
      <w:r w:rsidR="00EF3DC9" w:rsidRPr="003F264A">
        <w:rPr>
          <w:rFonts w:cstheme="minorHAnsi"/>
        </w:rPr>
        <w:t xml:space="preserve"> </w:t>
      </w:r>
      <w:r>
        <w:rPr>
          <w:rFonts w:cstheme="minorHAnsi"/>
        </w:rPr>
        <w:t xml:space="preserve">The costs of the gender pay gap over this period of time will include </w:t>
      </w:r>
      <w:r w:rsidR="006666A5" w:rsidRPr="003F264A">
        <w:rPr>
          <w:rFonts w:cstheme="minorHAnsi"/>
          <w:color w:val="000000"/>
        </w:rPr>
        <w:t>an equivalent of $898</w:t>
      </w:r>
      <w:r w:rsidR="002A1726">
        <w:rPr>
          <w:rFonts w:cstheme="minorHAnsi"/>
          <w:color w:val="000000"/>
        </w:rPr>
        <w:t> </w:t>
      </w:r>
      <w:r w:rsidR="006666A5" w:rsidRPr="003F264A">
        <w:rPr>
          <w:rFonts w:cstheme="minorHAnsi"/>
          <w:color w:val="000000"/>
        </w:rPr>
        <w:t>million</w:t>
      </w:r>
      <w:r w:rsidR="002A1726">
        <w:rPr>
          <w:rFonts w:cstheme="minorHAnsi"/>
          <w:color w:val="000000"/>
        </w:rPr>
        <w:t> </w:t>
      </w:r>
      <w:r w:rsidR="006666A5" w:rsidRPr="003F264A">
        <w:rPr>
          <w:rFonts w:cstheme="minorHAnsi"/>
          <w:color w:val="000000"/>
        </w:rPr>
        <w:t>per</w:t>
      </w:r>
      <w:r w:rsidR="002A1726">
        <w:rPr>
          <w:rFonts w:cstheme="minorHAnsi"/>
          <w:color w:val="000000"/>
        </w:rPr>
        <w:t> </w:t>
      </w:r>
      <w:r w:rsidR="006666A5" w:rsidRPr="003F264A">
        <w:rPr>
          <w:rFonts w:cstheme="minorHAnsi"/>
          <w:color w:val="000000"/>
        </w:rPr>
        <w:t>week in earnings</w:t>
      </w:r>
      <w:r>
        <w:rPr>
          <w:rFonts w:cstheme="minorHAnsi"/>
          <w:color w:val="000000"/>
        </w:rPr>
        <w:t xml:space="preserve"> from </w:t>
      </w:r>
      <w:r w:rsidRPr="003F264A">
        <w:rPr>
          <w:rFonts w:cstheme="minorHAnsi"/>
          <w:color w:val="000000"/>
        </w:rPr>
        <w:t xml:space="preserve">gender discrimination; </w:t>
      </w:r>
      <w:r>
        <w:rPr>
          <w:rFonts w:cstheme="minorHAnsi"/>
          <w:color w:val="000000"/>
        </w:rPr>
        <w:t xml:space="preserve">a combination of </w:t>
      </w:r>
      <w:r w:rsidRPr="003F264A">
        <w:rPr>
          <w:rFonts w:cstheme="minorHAnsi"/>
          <w:color w:val="000000"/>
        </w:rPr>
        <w:t>care, family responsibilities and workforce participation; and</w:t>
      </w:r>
      <w:r>
        <w:rPr>
          <w:rFonts w:cstheme="minorHAnsi"/>
          <w:color w:val="000000"/>
        </w:rPr>
        <w:t xml:space="preserve"> gender segregation by job type</w:t>
      </w:r>
      <w:r w:rsidR="006666A5" w:rsidRPr="003F264A">
        <w:rPr>
          <w:rFonts w:cstheme="minorHAnsi"/>
          <w:color w:val="000000"/>
        </w:rPr>
        <w:t>.</w:t>
      </w:r>
      <w:r w:rsidR="0063366E" w:rsidRPr="003F264A">
        <w:rPr>
          <w:rStyle w:val="FootnoteReference"/>
          <w:rFonts w:cstheme="minorHAnsi"/>
          <w:color w:val="000000"/>
        </w:rPr>
        <w:footnoteReference w:id="130"/>
      </w:r>
      <w:r w:rsidR="006666A5" w:rsidRPr="003F264A">
        <w:rPr>
          <w:rFonts w:cstheme="minorHAnsi"/>
          <w:color w:val="000000"/>
        </w:rPr>
        <w:t xml:space="preserve"> </w:t>
      </w:r>
      <w:r w:rsidR="00161DB0" w:rsidRPr="003F264A">
        <w:rPr>
          <w:rFonts w:cstheme="minorHAnsi"/>
          <w:color w:val="000000"/>
        </w:rPr>
        <w:t>Analysis of</w:t>
      </w:r>
      <w:r w:rsidR="00EF3DC9" w:rsidRPr="003F264A">
        <w:rPr>
          <w:rFonts w:cstheme="minorHAnsi"/>
        </w:rPr>
        <w:t xml:space="preserve"> WGEA data, </w:t>
      </w:r>
      <w:r w:rsidR="00161DB0" w:rsidRPr="003F264A">
        <w:rPr>
          <w:rFonts w:cstheme="minorHAnsi"/>
        </w:rPr>
        <w:t>shows</w:t>
      </w:r>
      <w:r w:rsidR="009521B6" w:rsidRPr="003F264A">
        <w:rPr>
          <w:rFonts w:cstheme="minorHAnsi"/>
        </w:rPr>
        <w:t xml:space="preserve"> if women and men both progress at the same pace, working full-time and reaching a </w:t>
      </w:r>
      <w:r w:rsidR="00670D93">
        <w:rPr>
          <w:rFonts w:cstheme="minorHAnsi"/>
        </w:rPr>
        <w:t>Key Management Personnel</w:t>
      </w:r>
      <w:r w:rsidR="00161DB0" w:rsidRPr="003F264A">
        <w:rPr>
          <w:rFonts w:cstheme="minorHAnsi"/>
        </w:rPr>
        <w:t xml:space="preserve"> (</w:t>
      </w:r>
      <w:r w:rsidR="009521B6" w:rsidRPr="003F264A">
        <w:rPr>
          <w:rFonts w:cstheme="minorHAnsi"/>
        </w:rPr>
        <w:t>KMP</w:t>
      </w:r>
      <w:r w:rsidR="00161DB0" w:rsidRPr="003F264A">
        <w:rPr>
          <w:rFonts w:cstheme="minorHAnsi"/>
        </w:rPr>
        <w:t>) role</w:t>
      </w:r>
      <w:r w:rsidR="009521B6" w:rsidRPr="003F264A">
        <w:rPr>
          <w:rFonts w:cstheme="minorHAnsi"/>
        </w:rPr>
        <w:t xml:space="preserve"> in their tenth year, men </w:t>
      </w:r>
      <w:r w:rsidR="00BC054C">
        <w:rPr>
          <w:rFonts w:cstheme="minorHAnsi"/>
        </w:rPr>
        <w:t xml:space="preserve">can </w:t>
      </w:r>
      <w:r w:rsidR="009521B6" w:rsidRPr="003F264A">
        <w:rPr>
          <w:rFonts w:cstheme="minorHAnsi"/>
        </w:rPr>
        <w:t xml:space="preserve">expect to have earned $2.3 million while women </w:t>
      </w:r>
      <w:r w:rsidR="00BC054C">
        <w:rPr>
          <w:rFonts w:cstheme="minorHAnsi"/>
        </w:rPr>
        <w:t>can expect</w:t>
      </w:r>
      <w:r w:rsidR="009521B6" w:rsidRPr="003F264A">
        <w:rPr>
          <w:rFonts w:cstheme="minorHAnsi"/>
        </w:rPr>
        <w:t xml:space="preserve"> $1.7 million in base salary over this period.</w:t>
      </w:r>
      <w:r w:rsidR="009521B6" w:rsidRPr="003F264A">
        <w:rPr>
          <w:rStyle w:val="FootnoteReference"/>
          <w:rFonts w:cstheme="minorHAnsi"/>
        </w:rPr>
        <w:footnoteReference w:id="131"/>
      </w:r>
      <w:bookmarkStart w:id="76" w:name="_Toc125541353"/>
      <w:bookmarkStart w:id="77" w:name="_Toc125541459"/>
      <w:bookmarkStart w:id="78" w:name="_Toc125712234"/>
      <w:bookmarkStart w:id="79" w:name="_Toc125714717"/>
    </w:p>
    <w:p w14:paraId="00E242A3" w14:textId="29680694" w:rsidR="008E2785" w:rsidRDefault="00321897" w:rsidP="009E6ADD">
      <w:pPr>
        <w:jc w:val="both"/>
      </w:pPr>
      <w:r w:rsidRPr="008E2785">
        <w:rPr>
          <w:rFonts w:cstheme="minorHAnsi"/>
        </w:rPr>
        <w:t xml:space="preserve">Under </w:t>
      </w:r>
      <w:r w:rsidR="004C7766" w:rsidRPr="008E2785">
        <w:rPr>
          <w:rFonts w:cstheme="minorHAnsi"/>
        </w:rPr>
        <w:t xml:space="preserve">the </w:t>
      </w:r>
      <w:r w:rsidRPr="008E2785">
        <w:rPr>
          <w:rFonts w:cstheme="minorHAnsi"/>
        </w:rPr>
        <w:t xml:space="preserve">current </w:t>
      </w:r>
      <w:r w:rsidR="004C7766" w:rsidRPr="008E2785">
        <w:rPr>
          <w:rFonts w:cstheme="minorHAnsi"/>
        </w:rPr>
        <w:t>system it will take</w:t>
      </w:r>
      <w:r w:rsidRPr="008E2785">
        <w:rPr>
          <w:rFonts w:cstheme="minorHAnsi"/>
        </w:rPr>
        <w:t xml:space="preserve"> 26 yea</w:t>
      </w:r>
      <w:r w:rsidR="00633D69" w:rsidRPr="008E2785">
        <w:rPr>
          <w:rFonts w:cstheme="minorHAnsi"/>
        </w:rPr>
        <w:t>rs</w:t>
      </w:r>
      <w:r w:rsidR="004C7766" w:rsidRPr="008E2785">
        <w:rPr>
          <w:rFonts w:cstheme="minorHAnsi"/>
        </w:rPr>
        <w:t xml:space="preserve"> (until 2049)</w:t>
      </w:r>
      <w:r w:rsidR="00633D69" w:rsidRPr="008E2785">
        <w:rPr>
          <w:rFonts w:cstheme="minorHAnsi"/>
        </w:rPr>
        <w:t xml:space="preserve"> to close the </w:t>
      </w:r>
      <w:r w:rsidR="004C7766" w:rsidRPr="008E2785">
        <w:rPr>
          <w:rFonts w:cstheme="minorHAnsi"/>
        </w:rPr>
        <w:t>gender pay gap</w:t>
      </w:r>
      <w:r w:rsidR="00633D69" w:rsidRPr="008E2785">
        <w:rPr>
          <w:rFonts w:cstheme="minorHAnsi"/>
        </w:rPr>
        <w:t xml:space="preserve"> </w:t>
      </w:r>
      <w:r w:rsidR="004C7766" w:rsidRPr="008E2785">
        <w:rPr>
          <w:rFonts w:cstheme="minorHAnsi"/>
        </w:rPr>
        <w:t>with a continued</w:t>
      </w:r>
      <w:r w:rsidR="00633D69" w:rsidRPr="008E2785">
        <w:rPr>
          <w:rFonts w:cstheme="minorHAnsi"/>
        </w:rPr>
        <w:t xml:space="preserve"> </w:t>
      </w:r>
      <w:r w:rsidR="004C7766" w:rsidRPr="008E2785">
        <w:rPr>
          <w:rFonts w:cstheme="minorHAnsi"/>
        </w:rPr>
        <w:t xml:space="preserve">a </w:t>
      </w:r>
      <w:r w:rsidR="00633D69" w:rsidRPr="008E2785">
        <w:rPr>
          <w:rFonts w:cstheme="minorHAnsi"/>
        </w:rPr>
        <w:t xml:space="preserve">$263.90 </w:t>
      </w:r>
      <w:r w:rsidRPr="008E2785">
        <w:rPr>
          <w:rFonts w:cstheme="minorHAnsi"/>
        </w:rPr>
        <w:t>per w</w:t>
      </w:r>
      <w:r w:rsidR="00633D69" w:rsidRPr="008E2785">
        <w:rPr>
          <w:rFonts w:cstheme="minorHAnsi"/>
        </w:rPr>
        <w:t>eek loss</w:t>
      </w:r>
      <w:r w:rsidRPr="008E2785">
        <w:rPr>
          <w:rFonts w:cstheme="minorHAnsi"/>
        </w:rPr>
        <w:t xml:space="preserve"> f</w:t>
      </w:r>
      <w:r w:rsidR="00633D69" w:rsidRPr="008E2785">
        <w:rPr>
          <w:rFonts w:cstheme="minorHAnsi"/>
        </w:rPr>
        <w:t>or women</w:t>
      </w:r>
      <w:r w:rsidR="004C7766" w:rsidRPr="008E2785">
        <w:rPr>
          <w:rFonts w:cstheme="minorHAnsi"/>
        </w:rPr>
        <w:t>, a $348 million per week in lost national earnings due to gender discrimination and a $232 million per week in lost national earnings due to gender segregation in job type</w:t>
      </w:r>
      <w:r w:rsidR="004C7766" w:rsidRPr="00C923F8">
        <w:rPr>
          <w:rFonts w:cstheme="minorHAnsi"/>
        </w:rPr>
        <w:t>.</w:t>
      </w:r>
      <w:r w:rsidR="00633D69" w:rsidRPr="008E2785">
        <w:rPr>
          <w:rStyle w:val="FootnoteReference"/>
          <w:rFonts w:cstheme="minorHAnsi"/>
        </w:rPr>
        <w:footnoteReference w:id="132"/>
      </w:r>
      <w:r w:rsidRPr="008E2785" w:rsidDel="00321897">
        <w:rPr>
          <w:rFonts w:cstheme="minorHAnsi"/>
        </w:rPr>
        <w:t xml:space="preserve"> </w:t>
      </w:r>
      <w:r w:rsidR="004C7766" w:rsidRPr="008E2785">
        <w:rPr>
          <w:rFonts w:cstheme="minorHAnsi"/>
        </w:rPr>
        <w:t>Closing the workforce participation gap could lift Australia’s GDP by 8.7</w:t>
      </w:r>
      <w:r w:rsidR="002A1726">
        <w:rPr>
          <w:rFonts w:cstheme="minorHAnsi"/>
        </w:rPr>
        <w:t> </w:t>
      </w:r>
      <w:r w:rsidR="004C7766" w:rsidRPr="008E2785">
        <w:rPr>
          <w:rFonts w:cstheme="minorHAnsi"/>
        </w:rPr>
        <w:t>per cent, or $353 billion, by 2050.</w:t>
      </w:r>
      <w:r w:rsidR="004C7766" w:rsidRPr="008E2785">
        <w:rPr>
          <w:rStyle w:val="FootnoteReference"/>
          <w:rFonts w:cstheme="minorHAnsi"/>
        </w:rPr>
        <w:footnoteReference w:id="133"/>
      </w:r>
      <w:bookmarkStart w:id="80" w:name="_Toc118794742"/>
      <w:bookmarkEnd w:id="76"/>
      <w:bookmarkEnd w:id="77"/>
      <w:bookmarkEnd w:id="78"/>
      <w:bookmarkEnd w:id="79"/>
    </w:p>
    <w:p w14:paraId="0323190C" w14:textId="77777777" w:rsidR="003B5209" w:rsidRPr="003F264A" w:rsidRDefault="005C3D2C" w:rsidP="000F6998">
      <w:pPr>
        <w:pStyle w:val="Heading2"/>
        <w:jc w:val="both"/>
        <w:rPr>
          <w:rFonts w:asciiTheme="minorHAnsi" w:eastAsia="Calibri Light" w:hAnsiTheme="minorHAnsi" w:cstheme="minorHAnsi"/>
          <w:color w:val="4472C4" w:themeColor="accent5"/>
        </w:rPr>
      </w:pPr>
      <w:bookmarkStart w:id="81" w:name="_Toc125714718"/>
      <w:r w:rsidRPr="003F264A">
        <w:rPr>
          <w:rFonts w:asciiTheme="minorHAnsi" w:eastAsia="Calibri Light" w:hAnsiTheme="minorHAnsi" w:cstheme="minorHAnsi"/>
          <w:color w:val="4472C4" w:themeColor="accent5"/>
        </w:rPr>
        <w:t>7.1</w:t>
      </w:r>
      <w:r w:rsidR="004A7DEE" w:rsidRPr="003F264A">
        <w:rPr>
          <w:rFonts w:asciiTheme="minorHAnsi" w:eastAsia="Calibri Light" w:hAnsiTheme="minorHAnsi" w:cstheme="minorHAnsi"/>
          <w:color w:val="4472C4" w:themeColor="accent5"/>
        </w:rPr>
        <w:t>.2 – Medium and Large Businesses</w:t>
      </w:r>
      <w:bookmarkEnd w:id="80"/>
      <w:r w:rsidR="009971F9">
        <w:rPr>
          <w:rFonts w:asciiTheme="minorHAnsi" w:eastAsia="Calibri Light" w:hAnsiTheme="minorHAnsi" w:cstheme="minorHAnsi"/>
          <w:color w:val="4472C4" w:themeColor="accent5"/>
        </w:rPr>
        <w:t xml:space="preserve"> (and Community Organisations)</w:t>
      </w:r>
      <w:bookmarkEnd w:id="81"/>
    </w:p>
    <w:p w14:paraId="74848CD1" w14:textId="77777777" w:rsidR="003B5209" w:rsidRPr="003F264A" w:rsidRDefault="005C76D3" w:rsidP="000F6998">
      <w:pPr>
        <w:spacing w:before="240"/>
        <w:jc w:val="both"/>
        <w:rPr>
          <w:rFonts w:cstheme="minorHAnsi"/>
          <w:b/>
        </w:rPr>
      </w:pPr>
      <w:r w:rsidRPr="003F264A">
        <w:rPr>
          <w:rFonts w:cstheme="minorHAnsi"/>
          <w:b/>
        </w:rPr>
        <w:t>Benefits</w:t>
      </w:r>
    </w:p>
    <w:p w14:paraId="1C1B20C1" w14:textId="6FF23167" w:rsidR="0066127F" w:rsidRPr="003F264A" w:rsidRDefault="0090330F" w:rsidP="000F6998">
      <w:pPr>
        <w:jc w:val="both"/>
        <w:rPr>
          <w:rFonts w:cstheme="minorHAnsi"/>
        </w:rPr>
      </w:pPr>
      <w:r w:rsidRPr="003F264A">
        <w:rPr>
          <w:rFonts w:cstheme="minorHAnsi"/>
        </w:rPr>
        <w:t xml:space="preserve">Achieving gender equality in Australian workplaces </w:t>
      </w:r>
      <w:r w:rsidR="002A1726">
        <w:rPr>
          <w:rFonts w:cstheme="minorHAnsi"/>
        </w:rPr>
        <w:t>is</w:t>
      </w:r>
      <w:r w:rsidRPr="003F264A">
        <w:rPr>
          <w:rFonts w:cstheme="minorHAnsi"/>
        </w:rPr>
        <w:t xml:space="preserve"> good for the Australian economy and Australian businesses.</w:t>
      </w:r>
      <w:r w:rsidR="005C76D3" w:rsidRPr="003F264A">
        <w:rPr>
          <w:rFonts w:cstheme="minorHAnsi"/>
        </w:rPr>
        <w:t xml:space="preserve"> The Global Gender Pay Gap report published by the World Economic Forum states</w:t>
      </w:r>
      <w:r w:rsidR="002A1726">
        <w:rPr>
          <w:rFonts w:cstheme="minorHAnsi"/>
        </w:rPr>
        <w:t>,</w:t>
      </w:r>
      <w:r w:rsidR="005C76D3" w:rsidRPr="003F264A">
        <w:rPr>
          <w:rFonts w:cstheme="minorHAnsi"/>
        </w:rPr>
        <w:t xml:space="preserve"> “People and their talents are among the core drivers of sustainable, long-term economic growth. If half of these talents are underdeveloped or underutilized, growth and sustainability will be compromised.”</w:t>
      </w:r>
      <w:r w:rsidR="005C76D3" w:rsidRPr="003F264A">
        <w:rPr>
          <w:rStyle w:val="FootnoteReference"/>
          <w:rFonts w:cstheme="minorHAnsi"/>
        </w:rPr>
        <w:footnoteReference w:id="134"/>
      </w:r>
      <w:r w:rsidR="005C76D3" w:rsidRPr="003F264A">
        <w:rPr>
          <w:rFonts w:cstheme="minorHAnsi"/>
        </w:rPr>
        <w:t xml:space="preserve"> </w:t>
      </w:r>
    </w:p>
    <w:p w14:paraId="57C449C7" w14:textId="46062066" w:rsidR="007145DF" w:rsidRDefault="00670967" w:rsidP="000F6998">
      <w:pPr>
        <w:jc w:val="both"/>
        <w:rPr>
          <w:rFonts w:cstheme="minorHAnsi"/>
        </w:rPr>
      </w:pPr>
      <w:r w:rsidRPr="003F264A">
        <w:rPr>
          <w:rFonts w:cstheme="minorHAnsi"/>
        </w:rPr>
        <w:t>Gender equality in the workplace benefits both medium and large business</w:t>
      </w:r>
      <w:r w:rsidR="00F972E4" w:rsidRPr="003F264A">
        <w:rPr>
          <w:rFonts w:cstheme="minorHAnsi"/>
        </w:rPr>
        <w:t>es</w:t>
      </w:r>
      <w:r w:rsidRPr="003F264A">
        <w:rPr>
          <w:rFonts w:cstheme="minorHAnsi"/>
        </w:rPr>
        <w:t xml:space="preserve"> by</w:t>
      </w:r>
      <w:r w:rsidR="005C76D3" w:rsidRPr="003F264A">
        <w:rPr>
          <w:rFonts w:cstheme="minorHAnsi"/>
        </w:rPr>
        <w:t xml:space="preserve"> </w:t>
      </w:r>
      <w:r w:rsidRPr="003F264A">
        <w:rPr>
          <w:rFonts w:cstheme="minorHAnsi"/>
        </w:rPr>
        <w:t>having a positive impact on organisation culture and operations</w:t>
      </w:r>
      <w:r w:rsidR="00A951A7">
        <w:rPr>
          <w:rFonts w:cstheme="minorHAnsi"/>
        </w:rPr>
        <w:t>,</w:t>
      </w:r>
      <w:r w:rsidRPr="003F264A">
        <w:rPr>
          <w:rFonts w:cstheme="minorHAnsi"/>
        </w:rPr>
        <w:t xml:space="preserve"> and increasing the success of a business. </w:t>
      </w:r>
      <w:r w:rsidR="006232CF" w:rsidRPr="003F264A">
        <w:rPr>
          <w:rFonts w:cstheme="minorHAnsi"/>
        </w:rPr>
        <w:t>Research from WGEA states that ‘</w:t>
      </w:r>
      <w:r w:rsidR="009C4D63" w:rsidRPr="003F264A">
        <w:rPr>
          <w:rFonts w:cstheme="minorHAnsi"/>
        </w:rPr>
        <w:t xml:space="preserve">A diverse and inclusive workforce, regardless of size and industry, generates tangible benefits, such as increased efficiency, productivity, innovation, creativity and improved employee engagement. There is significant evidence from </w:t>
      </w:r>
      <w:r w:rsidR="00F972E4" w:rsidRPr="003F264A">
        <w:rPr>
          <w:rFonts w:cstheme="minorHAnsi"/>
        </w:rPr>
        <w:t>around</w:t>
      </w:r>
      <w:r w:rsidR="009C4D63" w:rsidRPr="003F264A">
        <w:rPr>
          <w:rFonts w:cstheme="minorHAnsi"/>
        </w:rPr>
        <w:t xml:space="preserve"> the globe demonstrating the positive impacts on company performance of female representation on boards, in executive man</w:t>
      </w:r>
      <w:r w:rsidR="00653F98" w:rsidRPr="003F264A">
        <w:rPr>
          <w:rFonts w:cstheme="minorHAnsi"/>
        </w:rPr>
        <w:t>agement and senior leadership.</w:t>
      </w:r>
      <w:r w:rsidR="009C4D63" w:rsidRPr="003F264A">
        <w:rPr>
          <w:rFonts w:cstheme="minorHAnsi"/>
        </w:rPr>
        <w:t xml:space="preserve"> Increased gender diversity on boards and senior executive positions is associated with better financial performance</w:t>
      </w:r>
      <w:r w:rsidR="006232CF" w:rsidRPr="003F264A">
        <w:rPr>
          <w:rFonts w:cstheme="minorHAnsi"/>
        </w:rPr>
        <w:t>’</w:t>
      </w:r>
      <w:r w:rsidR="009C4D63" w:rsidRPr="003F264A">
        <w:rPr>
          <w:rFonts w:cstheme="minorHAnsi"/>
        </w:rPr>
        <w:t>.</w:t>
      </w:r>
      <w:r w:rsidR="00447C9C">
        <w:rPr>
          <w:rStyle w:val="FootnoteReference"/>
          <w:rFonts w:cstheme="minorHAnsi"/>
        </w:rPr>
        <w:footnoteReference w:id="135"/>
      </w:r>
    </w:p>
    <w:p w14:paraId="204F43F1" w14:textId="5BCBD944" w:rsidR="00110175" w:rsidRPr="003F264A" w:rsidRDefault="005F5377" w:rsidP="000F6998">
      <w:pPr>
        <w:jc w:val="both"/>
        <w:rPr>
          <w:rFonts w:cstheme="minorHAnsi"/>
        </w:rPr>
      </w:pPr>
      <w:r w:rsidRPr="003F264A">
        <w:rPr>
          <w:rFonts w:cstheme="minorHAnsi"/>
        </w:rPr>
        <w:t xml:space="preserve">Additional </w:t>
      </w:r>
      <w:r w:rsidR="00110175" w:rsidRPr="003F264A">
        <w:rPr>
          <w:rFonts w:cstheme="minorHAnsi"/>
        </w:rPr>
        <w:t>benefits include:</w:t>
      </w:r>
      <w:r w:rsidR="004B04BA">
        <w:rPr>
          <w:rStyle w:val="FootnoteReference"/>
          <w:rFonts w:cstheme="minorHAnsi"/>
        </w:rPr>
        <w:footnoteReference w:id="136"/>
      </w:r>
    </w:p>
    <w:p w14:paraId="1BEE3691" w14:textId="77777777" w:rsidR="00110175" w:rsidRPr="003F264A" w:rsidRDefault="005F5377" w:rsidP="000F6998">
      <w:pPr>
        <w:pStyle w:val="ListParagraph"/>
        <w:numPr>
          <w:ilvl w:val="0"/>
          <w:numId w:val="30"/>
        </w:numPr>
        <w:jc w:val="both"/>
        <w:rPr>
          <w:rFonts w:cstheme="minorHAnsi"/>
        </w:rPr>
      </w:pPr>
      <w:r w:rsidRPr="003F264A">
        <w:rPr>
          <w:rFonts w:cstheme="minorHAnsi"/>
        </w:rPr>
        <w:t>d</w:t>
      </w:r>
      <w:r w:rsidR="00110175" w:rsidRPr="003F264A">
        <w:rPr>
          <w:rFonts w:cstheme="minorHAnsi"/>
        </w:rPr>
        <w:t>iversity and organisational performance</w:t>
      </w:r>
      <w:r w:rsidRPr="003F264A">
        <w:rPr>
          <w:rFonts w:cstheme="minorHAnsi"/>
        </w:rPr>
        <w:t>;</w:t>
      </w:r>
    </w:p>
    <w:p w14:paraId="1CB00D21" w14:textId="77777777" w:rsidR="00110175" w:rsidRPr="003F264A" w:rsidRDefault="005F5377" w:rsidP="000F6998">
      <w:pPr>
        <w:pStyle w:val="ListParagraph"/>
        <w:numPr>
          <w:ilvl w:val="0"/>
          <w:numId w:val="30"/>
        </w:numPr>
        <w:jc w:val="both"/>
        <w:rPr>
          <w:rFonts w:cstheme="minorHAnsi"/>
        </w:rPr>
      </w:pPr>
      <w:r w:rsidRPr="003F264A">
        <w:rPr>
          <w:rFonts w:cstheme="minorHAnsi"/>
        </w:rPr>
        <w:t>e</w:t>
      </w:r>
      <w:r w:rsidR="00110175" w:rsidRPr="003F264A">
        <w:rPr>
          <w:rFonts w:cstheme="minorHAnsi"/>
        </w:rPr>
        <w:t>nhanced ability of companies to attract talent</w:t>
      </w:r>
      <w:r w:rsidRPr="003F264A">
        <w:rPr>
          <w:rFonts w:cstheme="minorHAnsi"/>
        </w:rPr>
        <w:t>;</w:t>
      </w:r>
    </w:p>
    <w:p w14:paraId="28F46429" w14:textId="77777777" w:rsidR="00110175" w:rsidRPr="003F264A" w:rsidRDefault="005F5377" w:rsidP="000F6998">
      <w:pPr>
        <w:pStyle w:val="ListParagraph"/>
        <w:numPr>
          <w:ilvl w:val="0"/>
          <w:numId w:val="30"/>
        </w:numPr>
        <w:jc w:val="both"/>
        <w:rPr>
          <w:rFonts w:cstheme="minorHAnsi"/>
        </w:rPr>
      </w:pPr>
      <w:r w:rsidRPr="003F264A">
        <w:rPr>
          <w:rFonts w:cstheme="minorHAnsi"/>
        </w:rPr>
        <w:t>e</w:t>
      </w:r>
      <w:r w:rsidR="00110175" w:rsidRPr="003F264A">
        <w:rPr>
          <w:rFonts w:cstheme="minorHAnsi"/>
        </w:rPr>
        <w:t xml:space="preserve">nhanced ability of companies to retain employees; </w:t>
      </w:r>
      <w:r w:rsidRPr="003F264A">
        <w:rPr>
          <w:rFonts w:cstheme="minorHAnsi"/>
        </w:rPr>
        <w:t>and</w:t>
      </w:r>
    </w:p>
    <w:p w14:paraId="42B34313" w14:textId="77777777" w:rsidR="009C4D63" w:rsidRPr="003F264A" w:rsidRDefault="005F5377" w:rsidP="000F6998">
      <w:pPr>
        <w:pStyle w:val="ListParagraph"/>
        <w:numPr>
          <w:ilvl w:val="0"/>
          <w:numId w:val="30"/>
        </w:numPr>
        <w:jc w:val="both"/>
        <w:rPr>
          <w:rFonts w:cstheme="minorHAnsi"/>
        </w:rPr>
      </w:pPr>
      <w:r w:rsidRPr="003F264A">
        <w:rPr>
          <w:rFonts w:cstheme="minorHAnsi"/>
        </w:rPr>
        <w:t>e</w:t>
      </w:r>
      <w:r w:rsidR="00110175" w:rsidRPr="003F264A">
        <w:rPr>
          <w:rFonts w:cstheme="minorHAnsi"/>
        </w:rPr>
        <w:t xml:space="preserve">nhanced organisational reputation. </w:t>
      </w:r>
    </w:p>
    <w:p w14:paraId="722102FF" w14:textId="77777777" w:rsidR="005C76D3" w:rsidRPr="003F264A" w:rsidRDefault="005C76D3" w:rsidP="000F6998">
      <w:pPr>
        <w:jc w:val="both"/>
        <w:rPr>
          <w:rFonts w:cstheme="minorHAnsi"/>
          <w:b/>
        </w:rPr>
      </w:pPr>
      <w:r w:rsidRPr="003F264A">
        <w:rPr>
          <w:rFonts w:cstheme="minorHAnsi"/>
          <w:b/>
        </w:rPr>
        <w:t>Costs</w:t>
      </w:r>
    </w:p>
    <w:p w14:paraId="777CDB55" w14:textId="395E1E33" w:rsidR="009C4D63" w:rsidRPr="003F264A" w:rsidRDefault="000E3256" w:rsidP="000F6998">
      <w:pPr>
        <w:jc w:val="both"/>
        <w:rPr>
          <w:rFonts w:cstheme="minorHAnsi"/>
        </w:rPr>
      </w:pPr>
      <w:r w:rsidRPr="003F264A">
        <w:rPr>
          <w:rFonts w:cstheme="minorHAnsi"/>
        </w:rPr>
        <w:t>The above evidence demonstrates t</w:t>
      </w:r>
      <w:r w:rsidR="00D90250">
        <w:rPr>
          <w:rFonts w:cstheme="minorHAnsi"/>
        </w:rPr>
        <w:t>he potential benefits that will</w:t>
      </w:r>
      <w:r w:rsidRPr="003F264A">
        <w:rPr>
          <w:rFonts w:cstheme="minorHAnsi"/>
        </w:rPr>
        <w:t xml:space="preserve"> be </w:t>
      </w:r>
      <w:r w:rsidR="00F972E4" w:rsidRPr="003F264A">
        <w:rPr>
          <w:rFonts w:cstheme="minorHAnsi"/>
        </w:rPr>
        <w:t>realised</w:t>
      </w:r>
      <w:r w:rsidRPr="003F264A">
        <w:rPr>
          <w:rFonts w:cstheme="minorHAnsi"/>
        </w:rPr>
        <w:t xml:space="preserve"> by medium and large </w:t>
      </w:r>
      <w:r w:rsidR="005F5377" w:rsidRPr="003F264A">
        <w:rPr>
          <w:rFonts w:cstheme="minorHAnsi"/>
        </w:rPr>
        <w:t>businesses</w:t>
      </w:r>
      <w:r w:rsidRPr="003F264A">
        <w:rPr>
          <w:rFonts w:cstheme="minorHAnsi"/>
        </w:rPr>
        <w:t xml:space="preserve"> </w:t>
      </w:r>
      <w:r w:rsidR="00D90250">
        <w:rPr>
          <w:rFonts w:cstheme="minorHAnsi"/>
        </w:rPr>
        <w:t>to achieve</w:t>
      </w:r>
      <w:r w:rsidRPr="003F264A">
        <w:rPr>
          <w:rFonts w:cstheme="minorHAnsi"/>
        </w:rPr>
        <w:t xml:space="preserve"> gender equality. </w:t>
      </w:r>
      <w:r w:rsidR="00653F98" w:rsidRPr="003F264A">
        <w:rPr>
          <w:rFonts w:cstheme="minorHAnsi"/>
        </w:rPr>
        <w:t xml:space="preserve">However, currently progress </w:t>
      </w:r>
      <w:r w:rsidR="00A951A7">
        <w:rPr>
          <w:rFonts w:cstheme="minorHAnsi"/>
        </w:rPr>
        <w:t>towards</w:t>
      </w:r>
      <w:r w:rsidR="00A951A7" w:rsidRPr="003F264A">
        <w:rPr>
          <w:rFonts w:cstheme="minorHAnsi"/>
        </w:rPr>
        <w:t xml:space="preserve"> </w:t>
      </w:r>
      <w:r w:rsidR="00653F98" w:rsidRPr="003F264A">
        <w:rPr>
          <w:rFonts w:cstheme="minorHAnsi"/>
        </w:rPr>
        <w:t xml:space="preserve">achieving </w:t>
      </w:r>
      <w:r w:rsidR="005F7A85" w:rsidRPr="003F264A">
        <w:rPr>
          <w:rFonts w:cstheme="minorHAnsi"/>
        </w:rPr>
        <w:t xml:space="preserve">gender equality is occurring </w:t>
      </w:r>
      <w:r w:rsidR="00653F98" w:rsidRPr="003F264A">
        <w:rPr>
          <w:rFonts w:cstheme="minorHAnsi"/>
        </w:rPr>
        <w:t xml:space="preserve">at a slow pace and the gender pay gap remains. Review consultation found that many stakeholders, including </w:t>
      </w:r>
      <w:r w:rsidR="006666A5" w:rsidRPr="003F264A">
        <w:rPr>
          <w:rFonts w:cstheme="minorHAnsi"/>
        </w:rPr>
        <w:t>businesses</w:t>
      </w:r>
      <w:r w:rsidR="00653F98" w:rsidRPr="003F264A">
        <w:rPr>
          <w:rFonts w:cstheme="minorHAnsi"/>
        </w:rPr>
        <w:t xml:space="preserve">, want to do more to address gender inequality in the workplace. </w:t>
      </w:r>
    </w:p>
    <w:p w14:paraId="0BF73EE6" w14:textId="77777777" w:rsidR="00BC2B01" w:rsidRPr="003F264A" w:rsidRDefault="00CB4E13" w:rsidP="000F6998">
      <w:pPr>
        <w:jc w:val="both"/>
        <w:rPr>
          <w:rFonts w:eastAsia="Times New Roman" w:cstheme="minorHAnsi"/>
          <w:color w:val="000000"/>
          <w:lang w:eastAsia="en-AU"/>
        </w:rPr>
      </w:pPr>
      <w:r w:rsidRPr="003F264A">
        <w:rPr>
          <w:rFonts w:cstheme="minorHAnsi"/>
        </w:rPr>
        <w:t xml:space="preserve">Research </w:t>
      </w:r>
      <w:r w:rsidR="00157E85" w:rsidRPr="003F264A">
        <w:rPr>
          <w:rFonts w:cstheme="minorHAnsi"/>
        </w:rPr>
        <w:t>shows a strong causal link between an increase in the number of women in key leadership positions and subsequent improvements in company performance.</w:t>
      </w:r>
      <w:r w:rsidR="006B0001" w:rsidRPr="003F264A">
        <w:rPr>
          <w:rStyle w:val="FootnoteReference"/>
          <w:rFonts w:cstheme="minorHAnsi"/>
        </w:rPr>
        <w:footnoteReference w:id="137"/>
      </w:r>
      <w:r w:rsidR="006B0001" w:rsidRPr="003F264A">
        <w:rPr>
          <w:rFonts w:cstheme="minorHAnsi"/>
        </w:rPr>
        <w:t xml:space="preserve"> </w:t>
      </w:r>
      <w:r w:rsidR="008A7039" w:rsidRPr="003F264A">
        <w:rPr>
          <w:rFonts w:cstheme="minorHAnsi"/>
        </w:rPr>
        <w:t>In other words, g</w:t>
      </w:r>
      <w:r w:rsidR="006B0001" w:rsidRPr="003F264A">
        <w:rPr>
          <w:rFonts w:cstheme="minorHAnsi"/>
        </w:rPr>
        <w:t>ender inequality has an economic cost at an organisational leve</w:t>
      </w:r>
      <w:r w:rsidR="008A7039" w:rsidRPr="003F264A">
        <w:rPr>
          <w:rFonts w:cstheme="minorHAnsi"/>
        </w:rPr>
        <w:t xml:space="preserve">l for businesses </w:t>
      </w:r>
      <w:r w:rsidR="00EF65A7">
        <w:rPr>
          <w:rFonts w:cstheme="minorHAnsi"/>
        </w:rPr>
        <w:t xml:space="preserve">which </w:t>
      </w:r>
      <w:r w:rsidR="008A7039" w:rsidRPr="003F264A">
        <w:rPr>
          <w:rFonts w:cstheme="minorHAnsi"/>
        </w:rPr>
        <w:t>re</w:t>
      </w:r>
      <w:r w:rsidR="002C010B" w:rsidRPr="003F264A">
        <w:rPr>
          <w:rFonts w:cstheme="minorHAnsi"/>
        </w:rPr>
        <w:t>sult</w:t>
      </w:r>
      <w:r w:rsidR="00EF65A7">
        <w:rPr>
          <w:rFonts w:cstheme="minorHAnsi"/>
        </w:rPr>
        <w:t>s</w:t>
      </w:r>
      <w:r w:rsidR="002C010B" w:rsidRPr="003F264A">
        <w:rPr>
          <w:rFonts w:cstheme="minorHAnsi"/>
        </w:rPr>
        <w:t xml:space="preserve"> in potential lost profits for medium and large businesses. </w:t>
      </w:r>
    </w:p>
    <w:p w14:paraId="2734AA24" w14:textId="77777777" w:rsidR="00436B51" w:rsidRPr="003F264A" w:rsidRDefault="00AD6BFD" w:rsidP="000F6998">
      <w:pPr>
        <w:pStyle w:val="Heading2"/>
        <w:jc w:val="both"/>
        <w:rPr>
          <w:rFonts w:asciiTheme="minorHAnsi" w:hAnsiTheme="minorHAnsi" w:cstheme="minorHAnsi"/>
        </w:rPr>
      </w:pPr>
      <w:bookmarkStart w:id="82" w:name="_Toc118794743"/>
      <w:bookmarkStart w:id="83" w:name="_Toc125714719"/>
      <w:r w:rsidRPr="003F264A">
        <w:rPr>
          <w:rFonts w:asciiTheme="minorHAnsi" w:hAnsiTheme="minorHAnsi" w:cstheme="minorHAnsi"/>
        </w:rPr>
        <w:t>7.1.3 Government</w:t>
      </w:r>
      <w:bookmarkEnd w:id="82"/>
      <w:bookmarkEnd w:id="83"/>
      <w:r w:rsidRPr="003F264A">
        <w:rPr>
          <w:rFonts w:asciiTheme="minorHAnsi" w:hAnsiTheme="minorHAnsi" w:cstheme="minorHAnsi"/>
        </w:rPr>
        <w:t xml:space="preserve"> </w:t>
      </w:r>
    </w:p>
    <w:p w14:paraId="2A6FDD7A" w14:textId="77777777" w:rsidR="005C3D2C" w:rsidRPr="003F264A" w:rsidRDefault="00FE4F45" w:rsidP="000F6998">
      <w:pPr>
        <w:spacing w:before="240"/>
        <w:jc w:val="both"/>
        <w:rPr>
          <w:rFonts w:cstheme="minorHAnsi"/>
          <w:b/>
        </w:rPr>
      </w:pPr>
      <w:r w:rsidRPr="003F264A">
        <w:rPr>
          <w:rFonts w:cstheme="minorHAnsi"/>
          <w:b/>
        </w:rPr>
        <w:t>Benefits</w:t>
      </w:r>
    </w:p>
    <w:p w14:paraId="20906637" w14:textId="32ACDA46" w:rsidR="002C10B7" w:rsidRPr="003F264A" w:rsidRDefault="005C3D2C" w:rsidP="000F6998">
      <w:pPr>
        <w:jc w:val="both"/>
        <w:rPr>
          <w:rFonts w:cstheme="minorHAnsi"/>
        </w:rPr>
      </w:pPr>
      <w:r w:rsidRPr="003F264A">
        <w:rPr>
          <w:rFonts w:cstheme="minorHAnsi"/>
        </w:rPr>
        <w:t xml:space="preserve">The data that employers </w:t>
      </w:r>
      <w:r w:rsidR="002C10B7" w:rsidRPr="003F264A">
        <w:rPr>
          <w:rFonts w:cstheme="minorHAnsi"/>
        </w:rPr>
        <w:t>report to WGEA contributes</w:t>
      </w:r>
      <w:r w:rsidRPr="003F264A">
        <w:rPr>
          <w:rFonts w:cstheme="minorHAnsi"/>
        </w:rPr>
        <w:t xml:space="preserve"> to WGEA’s </w:t>
      </w:r>
      <w:r w:rsidR="00A94238" w:rsidRPr="003F264A">
        <w:rPr>
          <w:rFonts w:cstheme="minorHAnsi"/>
        </w:rPr>
        <w:t xml:space="preserve">world leading dataset. This dataset </w:t>
      </w:r>
      <w:r w:rsidRPr="003F264A">
        <w:rPr>
          <w:rFonts w:cstheme="minorHAnsi"/>
        </w:rPr>
        <w:t>is one of the richest in the world and has been described as a ‘national treasure’.</w:t>
      </w:r>
      <w:r w:rsidR="00896068" w:rsidRPr="003F264A">
        <w:rPr>
          <w:rStyle w:val="FootnoteReference"/>
          <w:rFonts w:cstheme="minorHAnsi"/>
        </w:rPr>
        <w:footnoteReference w:id="138"/>
      </w:r>
      <w:r w:rsidRPr="003F264A">
        <w:rPr>
          <w:rFonts w:cstheme="minorHAnsi"/>
        </w:rPr>
        <w:t xml:space="preserve"> </w:t>
      </w:r>
    </w:p>
    <w:p w14:paraId="5EAE1E1A" w14:textId="75A3938E" w:rsidR="005C3D2C" w:rsidRPr="003F264A" w:rsidRDefault="005B55CB" w:rsidP="000F6998">
      <w:pPr>
        <w:jc w:val="both"/>
        <w:rPr>
          <w:rFonts w:cstheme="minorHAnsi"/>
        </w:rPr>
      </w:pPr>
      <w:r w:rsidRPr="003F264A">
        <w:rPr>
          <w:rFonts w:cstheme="minorHAnsi"/>
        </w:rPr>
        <w:t xml:space="preserve">WGEA, as a </w:t>
      </w:r>
      <w:r w:rsidR="005E188C" w:rsidRPr="003F264A">
        <w:rPr>
          <w:rFonts w:cstheme="minorHAnsi"/>
        </w:rPr>
        <w:t>Government</w:t>
      </w:r>
      <w:r w:rsidRPr="003F264A">
        <w:rPr>
          <w:rFonts w:cstheme="minorHAnsi"/>
        </w:rPr>
        <w:t xml:space="preserve"> agency, is afforded the benefit of being </w:t>
      </w:r>
      <w:r w:rsidR="00F972E4" w:rsidRPr="003F264A">
        <w:rPr>
          <w:rFonts w:cstheme="minorHAnsi"/>
        </w:rPr>
        <w:t xml:space="preserve">able </w:t>
      </w:r>
      <w:r w:rsidRPr="003F264A">
        <w:rPr>
          <w:rFonts w:cstheme="minorHAnsi"/>
        </w:rPr>
        <w:t>to access and analys</w:t>
      </w:r>
      <w:r w:rsidR="00F972E4" w:rsidRPr="003F264A">
        <w:rPr>
          <w:rFonts w:cstheme="minorHAnsi"/>
        </w:rPr>
        <w:t>e</w:t>
      </w:r>
      <w:r w:rsidRPr="003F264A">
        <w:rPr>
          <w:rFonts w:cstheme="minorHAnsi"/>
        </w:rPr>
        <w:t xml:space="preserve"> this </w:t>
      </w:r>
      <w:r w:rsidR="00F972E4" w:rsidRPr="003F264A">
        <w:rPr>
          <w:rFonts w:cstheme="minorHAnsi"/>
        </w:rPr>
        <w:t>rich</w:t>
      </w:r>
      <w:r w:rsidRPr="003F264A">
        <w:rPr>
          <w:rFonts w:cstheme="minorHAnsi"/>
        </w:rPr>
        <w:t xml:space="preserve"> data</w:t>
      </w:r>
      <w:r w:rsidR="00F972E4" w:rsidRPr="003F264A">
        <w:rPr>
          <w:rFonts w:cstheme="minorHAnsi"/>
        </w:rPr>
        <w:t>set</w:t>
      </w:r>
      <w:r w:rsidRPr="003F264A">
        <w:rPr>
          <w:rFonts w:cstheme="minorHAnsi"/>
        </w:rPr>
        <w:t xml:space="preserve">. This data allows WGEA to </w:t>
      </w:r>
      <w:r w:rsidR="005E188C" w:rsidRPr="003F264A">
        <w:rPr>
          <w:rFonts w:cstheme="minorHAnsi"/>
        </w:rPr>
        <w:t>publish</w:t>
      </w:r>
      <w:r w:rsidRPr="003F264A">
        <w:rPr>
          <w:rFonts w:cstheme="minorHAnsi"/>
        </w:rPr>
        <w:t xml:space="preserve"> its own research</w:t>
      </w:r>
      <w:r w:rsidR="00A951A7">
        <w:rPr>
          <w:rFonts w:cstheme="minorHAnsi"/>
        </w:rPr>
        <w:t xml:space="preserve"> and analysis and</w:t>
      </w:r>
      <w:r w:rsidRPr="003F264A">
        <w:rPr>
          <w:rFonts w:cstheme="minorHAnsi"/>
        </w:rPr>
        <w:t xml:space="preserve"> </w:t>
      </w:r>
      <w:r w:rsidR="00A951A7">
        <w:rPr>
          <w:rFonts w:cstheme="minorHAnsi"/>
        </w:rPr>
        <w:t xml:space="preserve">develop high-quality </w:t>
      </w:r>
      <w:r w:rsidRPr="003F264A">
        <w:rPr>
          <w:rFonts w:cstheme="minorHAnsi"/>
        </w:rPr>
        <w:t>resources. WGEA is also able to share data with other Government department</w:t>
      </w:r>
      <w:r w:rsidR="00602962" w:rsidRPr="003F264A">
        <w:rPr>
          <w:rFonts w:cstheme="minorHAnsi"/>
        </w:rPr>
        <w:t>s</w:t>
      </w:r>
      <w:r w:rsidRPr="003F264A">
        <w:rPr>
          <w:rFonts w:cstheme="minorHAnsi"/>
        </w:rPr>
        <w:t xml:space="preserve"> in order to provide evidence and data for a wide range of policies across Government.</w:t>
      </w:r>
      <w:r w:rsidR="002D120A" w:rsidRPr="003F264A">
        <w:rPr>
          <w:rFonts w:cstheme="minorHAnsi"/>
        </w:rPr>
        <w:t xml:space="preserve"> In particular, WGEA works closely with the</w:t>
      </w:r>
      <w:r w:rsidR="00607E6E" w:rsidRPr="003F264A">
        <w:rPr>
          <w:rFonts w:cstheme="minorHAnsi"/>
        </w:rPr>
        <w:t xml:space="preserve"> </w:t>
      </w:r>
      <w:r w:rsidR="001818A3">
        <w:rPr>
          <w:rFonts w:cstheme="minorHAnsi"/>
        </w:rPr>
        <w:t>OFW</w:t>
      </w:r>
      <w:r w:rsidR="001818A3" w:rsidRPr="003F264A">
        <w:rPr>
          <w:rFonts w:cstheme="minorHAnsi"/>
        </w:rPr>
        <w:t xml:space="preserve"> </w:t>
      </w:r>
      <w:r w:rsidR="002D120A" w:rsidRPr="003F264A">
        <w:rPr>
          <w:rFonts w:cstheme="minorHAnsi"/>
        </w:rPr>
        <w:t>to help drive whole-of-government policies aimed at improving the lives of women</w:t>
      </w:r>
      <w:r w:rsidRPr="003F264A">
        <w:rPr>
          <w:rFonts w:cstheme="minorHAnsi"/>
        </w:rPr>
        <w:t>. WGEA also works closely with the A</w:t>
      </w:r>
      <w:r w:rsidR="00F972E4" w:rsidRPr="003F264A">
        <w:rPr>
          <w:rFonts w:cstheme="minorHAnsi"/>
        </w:rPr>
        <w:t>ustralian Public Service Commission (A</w:t>
      </w:r>
      <w:r w:rsidRPr="003F264A">
        <w:rPr>
          <w:rFonts w:cstheme="minorHAnsi"/>
        </w:rPr>
        <w:t>PSC</w:t>
      </w:r>
      <w:r w:rsidR="00F972E4" w:rsidRPr="003F264A">
        <w:rPr>
          <w:rFonts w:cstheme="minorHAnsi"/>
        </w:rPr>
        <w:t>)</w:t>
      </w:r>
      <w:r w:rsidRPr="003F264A">
        <w:rPr>
          <w:rFonts w:cstheme="minorHAnsi"/>
        </w:rPr>
        <w:t xml:space="preserve"> and the ABS. </w:t>
      </w:r>
    </w:p>
    <w:p w14:paraId="58C5A848" w14:textId="77777777" w:rsidR="005C3D2C" w:rsidRPr="003F264A" w:rsidRDefault="00FE4F45" w:rsidP="000F6998">
      <w:pPr>
        <w:jc w:val="both"/>
        <w:rPr>
          <w:rFonts w:cstheme="minorHAnsi"/>
          <w:b/>
        </w:rPr>
      </w:pPr>
      <w:r w:rsidRPr="003F264A">
        <w:rPr>
          <w:rFonts w:cstheme="minorHAnsi"/>
          <w:b/>
        </w:rPr>
        <w:t>Costs</w:t>
      </w:r>
    </w:p>
    <w:p w14:paraId="31D5AE05" w14:textId="77777777" w:rsidR="005C3D2C" w:rsidRPr="003F264A" w:rsidRDefault="00CA6D71" w:rsidP="000F6998">
      <w:pPr>
        <w:jc w:val="both"/>
        <w:rPr>
          <w:rFonts w:cstheme="minorHAnsi"/>
        </w:rPr>
      </w:pPr>
      <w:r w:rsidRPr="003F264A">
        <w:rPr>
          <w:rFonts w:cstheme="minorHAnsi"/>
        </w:rPr>
        <w:t xml:space="preserve">As set out in detail in </w:t>
      </w:r>
      <w:r w:rsidR="00602962" w:rsidRPr="003F264A">
        <w:rPr>
          <w:rFonts w:cstheme="minorHAnsi"/>
        </w:rPr>
        <w:t xml:space="preserve">Chapter </w:t>
      </w:r>
      <w:r w:rsidRPr="003F264A">
        <w:rPr>
          <w:rFonts w:cstheme="minorHAnsi"/>
        </w:rPr>
        <w:t xml:space="preserve">3, the Review </w:t>
      </w:r>
      <w:r w:rsidR="00F972E4" w:rsidRPr="003F264A">
        <w:rPr>
          <w:rFonts w:cstheme="minorHAnsi"/>
        </w:rPr>
        <w:t>identified</w:t>
      </w:r>
      <w:r w:rsidR="008A6CB0" w:rsidRPr="003F264A">
        <w:rPr>
          <w:rFonts w:cstheme="minorHAnsi"/>
        </w:rPr>
        <w:t xml:space="preserve"> </w:t>
      </w:r>
      <w:r w:rsidRPr="003F264A">
        <w:rPr>
          <w:rFonts w:cstheme="minorHAnsi"/>
        </w:rPr>
        <w:t>three main issues with the current reporting system:</w:t>
      </w:r>
    </w:p>
    <w:p w14:paraId="6D81C3D0" w14:textId="77777777" w:rsidR="00CA6D71" w:rsidRPr="003F264A" w:rsidRDefault="00CA6D71" w:rsidP="000F6998">
      <w:pPr>
        <w:pStyle w:val="ListParagraph"/>
        <w:numPr>
          <w:ilvl w:val="0"/>
          <w:numId w:val="31"/>
        </w:numPr>
        <w:jc w:val="both"/>
        <w:rPr>
          <w:rFonts w:cstheme="minorHAnsi"/>
        </w:rPr>
      </w:pPr>
      <w:r w:rsidRPr="003F264A">
        <w:rPr>
          <w:rFonts w:cstheme="minorHAnsi"/>
        </w:rPr>
        <w:t xml:space="preserve">Gaps exist in the current dataset; </w:t>
      </w:r>
    </w:p>
    <w:p w14:paraId="26420623" w14:textId="77777777" w:rsidR="00CA6D71" w:rsidRPr="003F264A" w:rsidRDefault="00CA6D71" w:rsidP="000F6998">
      <w:pPr>
        <w:pStyle w:val="ListParagraph"/>
        <w:numPr>
          <w:ilvl w:val="0"/>
          <w:numId w:val="31"/>
        </w:numPr>
        <w:jc w:val="both"/>
        <w:rPr>
          <w:rFonts w:cstheme="minorHAnsi"/>
        </w:rPr>
      </w:pPr>
      <w:r w:rsidRPr="003F264A">
        <w:rPr>
          <w:rFonts w:cstheme="minorHAnsi"/>
        </w:rPr>
        <w:t>Certain elements of reporting are burdensome on businesses; and</w:t>
      </w:r>
    </w:p>
    <w:p w14:paraId="4DF2450E" w14:textId="77777777" w:rsidR="00CA6D71" w:rsidRPr="003F264A" w:rsidRDefault="00CA6D71" w:rsidP="000F6998">
      <w:pPr>
        <w:pStyle w:val="ListParagraph"/>
        <w:numPr>
          <w:ilvl w:val="0"/>
          <w:numId w:val="31"/>
        </w:numPr>
        <w:jc w:val="both"/>
        <w:rPr>
          <w:rFonts w:cstheme="minorHAnsi"/>
        </w:rPr>
      </w:pPr>
      <w:r w:rsidRPr="003F264A">
        <w:rPr>
          <w:rFonts w:cstheme="minorHAnsi"/>
        </w:rPr>
        <w:t xml:space="preserve">Current regulation is not ambitious enough to drive change in gender inequality </w:t>
      </w:r>
    </w:p>
    <w:p w14:paraId="625009D8" w14:textId="57FBF318" w:rsidR="004A38F7" w:rsidRPr="003F264A" w:rsidRDefault="00385E48" w:rsidP="000F6998">
      <w:pPr>
        <w:jc w:val="both"/>
        <w:rPr>
          <w:rFonts w:cstheme="minorHAnsi"/>
        </w:rPr>
      </w:pPr>
      <w:r w:rsidRPr="003F264A">
        <w:rPr>
          <w:rFonts w:cstheme="minorHAnsi"/>
        </w:rPr>
        <w:t xml:space="preserve">Elements 1 and 3 of the problem in particular </w:t>
      </w:r>
      <w:r w:rsidR="007E7B48" w:rsidRPr="003F264A">
        <w:rPr>
          <w:rFonts w:cstheme="minorHAnsi"/>
        </w:rPr>
        <w:t xml:space="preserve">are preventing Government from creating </w:t>
      </w:r>
      <w:r w:rsidR="00F972E4" w:rsidRPr="003F264A">
        <w:rPr>
          <w:rFonts w:cstheme="minorHAnsi"/>
        </w:rPr>
        <w:t xml:space="preserve">an </w:t>
      </w:r>
      <w:r w:rsidR="007E7B48" w:rsidRPr="003F264A">
        <w:rPr>
          <w:rFonts w:cstheme="minorHAnsi"/>
        </w:rPr>
        <w:t xml:space="preserve">impact at a </w:t>
      </w:r>
      <w:r w:rsidR="0026425C">
        <w:rPr>
          <w:rFonts w:cstheme="minorHAnsi"/>
        </w:rPr>
        <w:t>faster</w:t>
      </w:r>
      <w:r w:rsidR="007E7B48" w:rsidRPr="003F264A">
        <w:rPr>
          <w:rFonts w:cstheme="minorHAnsi"/>
        </w:rPr>
        <w:t xml:space="preserve"> rate. </w:t>
      </w:r>
      <w:r w:rsidR="0026425C">
        <w:rPr>
          <w:rFonts w:cstheme="minorHAnsi"/>
        </w:rPr>
        <w:t>Improving w</w:t>
      </w:r>
      <w:r w:rsidR="007E7B48" w:rsidRPr="003F264A">
        <w:rPr>
          <w:rFonts w:cstheme="minorHAnsi"/>
        </w:rPr>
        <w:t xml:space="preserve">omen’s economic </w:t>
      </w:r>
      <w:r w:rsidR="0026425C">
        <w:rPr>
          <w:rFonts w:cstheme="minorHAnsi"/>
        </w:rPr>
        <w:t>equality</w:t>
      </w:r>
      <w:r w:rsidR="0026425C" w:rsidRPr="003F264A">
        <w:rPr>
          <w:rFonts w:cstheme="minorHAnsi"/>
        </w:rPr>
        <w:t xml:space="preserve"> </w:t>
      </w:r>
      <w:r w:rsidR="007E7B48" w:rsidRPr="003F264A">
        <w:rPr>
          <w:rFonts w:cstheme="minorHAnsi"/>
        </w:rPr>
        <w:t>is a key Government priority</w:t>
      </w:r>
      <w:r w:rsidR="002966FC" w:rsidRPr="003F264A">
        <w:rPr>
          <w:rFonts w:cstheme="minorHAnsi"/>
        </w:rPr>
        <w:t xml:space="preserve"> and an</w:t>
      </w:r>
      <w:r w:rsidR="004A38F7" w:rsidRPr="003F264A">
        <w:rPr>
          <w:rFonts w:cstheme="minorHAnsi"/>
        </w:rPr>
        <w:t xml:space="preserve"> economic and social imperative. The cost of not acting </w:t>
      </w:r>
      <w:r w:rsidR="0026425C">
        <w:rPr>
          <w:rFonts w:cstheme="minorHAnsi"/>
        </w:rPr>
        <w:t>is</w:t>
      </w:r>
      <w:r w:rsidR="0026425C" w:rsidRPr="003F264A">
        <w:rPr>
          <w:rFonts w:cstheme="minorHAnsi"/>
        </w:rPr>
        <w:t xml:space="preserve"> </w:t>
      </w:r>
      <w:r w:rsidR="004A38F7" w:rsidRPr="003F264A">
        <w:rPr>
          <w:rFonts w:cstheme="minorHAnsi"/>
        </w:rPr>
        <w:t xml:space="preserve">set out clearly under the </w:t>
      </w:r>
      <w:r w:rsidR="00F972E4" w:rsidRPr="003F264A">
        <w:rPr>
          <w:rFonts w:cstheme="minorHAnsi"/>
        </w:rPr>
        <w:t>‘</w:t>
      </w:r>
      <w:r w:rsidR="004A38F7" w:rsidRPr="003F264A">
        <w:rPr>
          <w:rFonts w:cstheme="minorHAnsi"/>
        </w:rPr>
        <w:t>Individuals section</w:t>
      </w:r>
      <w:r w:rsidR="00F972E4" w:rsidRPr="003F264A">
        <w:rPr>
          <w:rFonts w:cstheme="minorHAnsi"/>
        </w:rPr>
        <w:t>’</w:t>
      </w:r>
      <w:r w:rsidR="004A38F7" w:rsidRPr="003F264A">
        <w:rPr>
          <w:rFonts w:cstheme="minorHAnsi"/>
        </w:rPr>
        <w:t xml:space="preserve">. </w:t>
      </w:r>
    </w:p>
    <w:p w14:paraId="3396828E" w14:textId="5291B821" w:rsidR="00CA6D71" w:rsidRPr="003F264A" w:rsidRDefault="004A38F7" w:rsidP="000F6998">
      <w:pPr>
        <w:jc w:val="both"/>
        <w:rPr>
          <w:rFonts w:cstheme="minorHAnsi"/>
        </w:rPr>
      </w:pPr>
      <w:r w:rsidRPr="003F264A">
        <w:rPr>
          <w:rFonts w:cstheme="minorHAnsi"/>
        </w:rPr>
        <w:t xml:space="preserve">Not only does gender inequality </w:t>
      </w:r>
      <w:r w:rsidR="001818A3">
        <w:rPr>
          <w:rFonts w:cstheme="minorHAnsi"/>
        </w:rPr>
        <w:t>generate</w:t>
      </w:r>
      <w:r w:rsidR="001818A3" w:rsidRPr="003F264A">
        <w:rPr>
          <w:rFonts w:cstheme="minorHAnsi"/>
        </w:rPr>
        <w:t xml:space="preserve"> </w:t>
      </w:r>
      <w:r w:rsidRPr="003F264A">
        <w:rPr>
          <w:rFonts w:cstheme="minorHAnsi"/>
        </w:rPr>
        <w:t xml:space="preserve">costs for individuals, it also impacts businesses by preventing them from operating </w:t>
      </w:r>
      <w:r w:rsidR="0026425C">
        <w:rPr>
          <w:rFonts w:cstheme="minorHAnsi"/>
        </w:rPr>
        <w:t>efficiently</w:t>
      </w:r>
      <w:r w:rsidRPr="003F264A">
        <w:rPr>
          <w:rFonts w:cstheme="minorHAnsi"/>
        </w:rPr>
        <w:t xml:space="preserve">. </w:t>
      </w:r>
      <w:r w:rsidR="00575B17" w:rsidRPr="003F264A">
        <w:rPr>
          <w:rFonts w:cstheme="minorHAnsi"/>
        </w:rPr>
        <w:t xml:space="preserve">Government economic policy aims to ensure </w:t>
      </w:r>
      <w:r w:rsidR="00F972E4" w:rsidRPr="003F264A">
        <w:rPr>
          <w:rFonts w:cstheme="minorHAnsi"/>
        </w:rPr>
        <w:t xml:space="preserve">an environment where </w:t>
      </w:r>
      <w:r w:rsidR="00575B17" w:rsidRPr="003F264A">
        <w:rPr>
          <w:rFonts w:cstheme="minorHAnsi"/>
        </w:rPr>
        <w:t xml:space="preserve">businesses in Australia can be successful. Where businesses are experiencing costs (as </w:t>
      </w:r>
      <w:r w:rsidR="002154B4" w:rsidRPr="003F264A">
        <w:rPr>
          <w:rFonts w:cstheme="minorHAnsi"/>
        </w:rPr>
        <w:t>detailed</w:t>
      </w:r>
      <w:r w:rsidR="00575B17" w:rsidRPr="003F264A">
        <w:rPr>
          <w:rFonts w:cstheme="minorHAnsi"/>
        </w:rPr>
        <w:t xml:space="preserve"> above), then this is also a cost to Government. </w:t>
      </w:r>
    </w:p>
    <w:p w14:paraId="301B4852" w14:textId="77777777" w:rsidR="00FA5DD3" w:rsidRPr="003F264A" w:rsidRDefault="00885038" w:rsidP="000F6998">
      <w:pPr>
        <w:pStyle w:val="Heading2"/>
        <w:jc w:val="both"/>
        <w:rPr>
          <w:rFonts w:asciiTheme="minorHAnsi" w:hAnsiTheme="minorHAnsi" w:cstheme="minorHAnsi"/>
        </w:rPr>
      </w:pPr>
      <w:bookmarkStart w:id="84" w:name="_Toc118794744"/>
      <w:bookmarkStart w:id="85" w:name="_Toc125714720"/>
      <w:r w:rsidRPr="003F264A">
        <w:rPr>
          <w:rFonts w:asciiTheme="minorHAnsi" w:hAnsiTheme="minorHAnsi" w:cstheme="minorHAnsi"/>
        </w:rPr>
        <w:t xml:space="preserve">7.2 </w:t>
      </w:r>
      <w:r w:rsidR="008C1F46" w:rsidRPr="003F264A">
        <w:rPr>
          <w:rFonts w:asciiTheme="minorHAnsi" w:hAnsiTheme="minorHAnsi" w:cstheme="minorHAnsi"/>
        </w:rPr>
        <w:t>Estimated Regulatory Costs</w:t>
      </w:r>
      <w:bookmarkEnd w:id="84"/>
      <w:bookmarkEnd w:id="85"/>
    </w:p>
    <w:p w14:paraId="21B23740" w14:textId="77777777" w:rsidR="00FA5DD3" w:rsidRPr="003F264A" w:rsidRDefault="00FA5DD3" w:rsidP="000F6998">
      <w:pPr>
        <w:spacing w:before="240"/>
        <w:jc w:val="both"/>
        <w:rPr>
          <w:rFonts w:cstheme="minorHAnsi"/>
        </w:rPr>
      </w:pPr>
      <w:r w:rsidRPr="003F264A">
        <w:rPr>
          <w:rFonts w:cstheme="minorHAnsi"/>
        </w:rPr>
        <w:t>In the following sections, th</w:t>
      </w:r>
      <w:r w:rsidR="00F972E4" w:rsidRPr="003F264A">
        <w:rPr>
          <w:rFonts w:cstheme="minorHAnsi"/>
        </w:rPr>
        <w:t>e</w:t>
      </w:r>
      <w:r w:rsidRPr="003F264A">
        <w:rPr>
          <w:rFonts w:cstheme="minorHAnsi"/>
        </w:rPr>
        <w:t xml:space="preserve"> status quo is the “baseline” or “business as usual” against which the potential regulatory impact of Options 2 and 3 are expressed.  </w:t>
      </w:r>
    </w:p>
    <w:p w14:paraId="4CFE5456" w14:textId="77777777" w:rsidR="00050A95" w:rsidRDefault="005F2A1F" w:rsidP="000F6998">
      <w:pPr>
        <w:spacing w:line="257" w:lineRule="auto"/>
        <w:jc w:val="both"/>
        <w:rPr>
          <w:rFonts w:eastAsia="Calibri" w:cstheme="minorHAnsi"/>
        </w:rPr>
      </w:pPr>
      <w:r w:rsidRPr="003F264A">
        <w:rPr>
          <w:rFonts w:eastAsia="Calibri" w:cstheme="minorHAnsi"/>
        </w:rPr>
        <w:t xml:space="preserve">The regulatory costs for Option 1 is calculated based on time and labour costs for impacted entities to comply with existing reporting requirements to WGEA annually. </w:t>
      </w:r>
      <w:r w:rsidR="00050A95">
        <w:rPr>
          <w:rFonts w:eastAsia="Calibri" w:cstheme="minorHAnsi"/>
        </w:rPr>
        <w:t>This includes:</w:t>
      </w:r>
    </w:p>
    <w:p w14:paraId="53F64906" w14:textId="77777777" w:rsidR="00050A95" w:rsidRPr="000A0347" w:rsidRDefault="00050A95" w:rsidP="000F6998">
      <w:pPr>
        <w:pStyle w:val="ListParagraph"/>
        <w:numPr>
          <w:ilvl w:val="0"/>
          <w:numId w:val="48"/>
        </w:numPr>
        <w:spacing w:line="257" w:lineRule="auto"/>
        <w:jc w:val="both"/>
        <w:rPr>
          <w:rFonts w:eastAsia="Calibri" w:cstheme="minorHAnsi"/>
        </w:rPr>
      </w:pPr>
      <w:r>
        <w:rPr>
          <w:rFonts w:eastAsia="Calibri" w:cstheme="minorHAnsi"/>
        </w:rPr>
        <w:t xml:space="preserve">Set up costs - </w:t>
      </w:r>
      <w:r>
        <w:rPr>
          <w:rFonts w:cstheme="minorHAnsi"/>
        </w:rPr>
        <w:t xml:space="preserve">time taken by businesses and community organisations to initially comply with WGEA reporting requirements </w:t>
      </w:r>
    </w:p>
    <w:p w14:paraId="2A5C4698" w14:textId="77777777" w:rsidR="00050A95" w:rsidRPr="000A0347" w:rsidRDefault="00050A95" w:rsidP="000F6998">
      <w:pPr>
        <w:pStyle w:val="ListParagraph"/>
        <w:numPr>
          <w:ilvl w:val="0"/>
          <w:numId w:val="48"/>
        </w:numPr>
        <w:spacing w:line="257" w:lineRule="auto"/>
        <w:jc w:val="both"/>
        <w:rPr>
          <w:rFonts w:eastAsia="Calibri" w:cstheme="minorHAnsi"/>
        </w:rPr>
      </w:pPr>
      <w:r>
        <w:rPr>
          <w:rFonts w:cstheme="minorHAnsi"/>
        </w:rPr>
        <w:t>Ongoing costs - the time taken in subsequent years to continue to comply</w:t>
      </w:r>
    </w:p>
    <w:p w14:paraId="310CFFC6" w14:textId="0BD50485" w:rsidR="00050A95" w:rsidRDefault="00050A95" w:rsidP="000F6998">
      <w:pPr>
        <w:jc w:val="both"/>
        <w:rPr>
          <w:rFonts w:cstheme="minorHAnsi"/>
        </w:rPr>
      </w:pPr>
      <w:r w:rsidRPr="000A0347">
        <w:rPr>
          <w:rFonts w:cstheme="minorHAnsi"/>
        </w:rPr>
        <w:t xml:space="preserve">The ‘time taken’ estimates reflect survey feedback from the ‘in-scope’ businesses and community organisations, and differ by enterprise size. </w:t>
      </w:r>
    </w:p>
    <w:p w14:paraId="061B1CB0" w14:textId="40D1C15C" w:rsidR="00D84E2A" w:rsidRDefault="00D84E2A" w:rsidP="000F6998">
      <w:pPr>
        <w:jc w:val="both"/>
        <w:rPr>
          <w:rFonts w:cstheme="minorHAnsi"/>
        </w:rPr>
      </w:pPr>
    </w:p>
    <w:p w14:paraId="49F3C74E" w14:textId="77777777" w:rsidR="00D84E2A" w:rsidRDefault="00D84E2A" w:rsidP="000F6998">
      <w:pPr>
        <w:jc w:val="both"/>
        <w:rPr>
          <w:rFonts w:cstheme="minorHAnsi"/>
        </w:rPr>
      </w:pPr>
    </w:p>
    <w:p w14:paraId="5ABD1E81" w14:textId="498399E4" w:rsidR="00050A95" w:rsidRPr="00FF17A1" w:rsidRDefault="00FF17A1" w:rsidP="000F6998">
      <w:pPr>
        <w:spacing w:line="257" w:lineRule="auto"/>
        <w:jc w:val="both"/>
        <w:rPr>
          <w:rFonts w:eastAsia="Calibri" w:cstheme="minorHAnsi"/>
          <w:b/>
          <w:highlight w:val="yellow"/>
        </w:rPr>
      </w:pPr>
      <w:r w:rsidRPr="00FF17A1">
        <w:rPr>
          <w:rFonts w:eastAsia="Calibri" w:cstheme="minorHAnsi"/>
          <w:b/>
        </w:rPr>
        <w:t>Option 1: Estimated exist</w:t>
      </w:r>
      <w:r>
        <w:rPr>
          <w:rFonts w:eastAsia="Calibri" w:cstheme="minorHAnsi"/>
          <w:b/>
        </w:rPr>
        <w:t>ing WGEA regulatory hours (</w:t>
      </w:r>
      <w:r w:rsidRPr="00FF17A1">
        <w:rPr>
          <w:rFonts w:eastAsia="Calibri" w:cstheme="minorHAnsi"/>
          <w:b/>
        </w:rPr>
        <w:t>Status Quo)</w:t>
      </w:r>
    </w:p>
    <w:tbl>
      <w:tblPr>
        <w:tblStyle w:val="GridTable5Dark-Accent5"/>
        <w:tblW w:w="0" w:type="auto"/>
        <w:tblLook w:val="04A0" w:firstRow="1" w:lastRow="0" w:firstColumn="1" w:lastColumn="0" w:noHBand="0" w:noVBand="1"/>
      </w:tblPr>
      <w:tblGrid>
        <w:gridCol w:w="2960"/>
        <w:gridCol w:w="2620"/>
        <w:gridCol w:w="3100"/>
      </w:tblGrid>
      <w:tr w:rsidR="00FF17A1" w:rsidRPr="00FF17A1" w14:paraId="336249E7" w14:textId="77777777" w:rsidTr="00FF17A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7F792ECC" w14:textId="77777777" w:rsidR="00FF17A1" w:rsidRPr="00FF17A1" w:rsidRDefault="00FF17A1" w:rsidP="000F6998">
            <w:pPr>
              <w:spacing w:line="257" w:lineRule="auto"/>
              <w:jc w:val="both"/>
              <w:rPr>
                <w:rFonts w:eastAsia="Calibri" w:cstheme="minorHAnsi"/>
              </w:rPr>
            </w:pPr>
          </w:p>
        </w:tc>
        <w:tc>
          <w:tcPr>
            <w:tcW w:w="2620" w:type="dxa"/>
            <w:noWrap/>
            <w:hideMark/>
          </w:tcPr>
          <w:p w14:paraId="6705320E" w14:textId="77777777" w:rsidR="00FF17A1" w:rsidRPr="00FF17A1" w:rsidRDefault="00FF17A1" w:rsidP="000F6998">
            <w:pPr>
              <w:spacing w:line="257"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rPr>
            </w:pPr>
            <w:r w:rsidRPr="00FF17A1">
              <w:rPr>
                <w:rFonts w:eastAsia="Calibri" w:cstheme="minorHAnsi"/>
              </w:rPr>
              <w:t>Initial Year (Year 1)</w:t>
            </w:r>
          </w:p>
        </w:tc>
        <w:tc>
          <w:tcPr>
            <w:tcW w:w="3100" w:type="dxa"/>
            <w:noWrap/>
            <w:hideMark/>
          </w:tcPr>
          <w:p w14:paraId="4D5E3D4B" w14:textId="77777777" w:rsidR="00FF17A1" w:rsidRPr="00FF17A1" w:rsidRDefault="00FF17A1" w:rsidP="000F6998">
            <w:pPr>
              <w:spacing w:line="257"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rPr>
            </w:pPr>
            <w:r w:rsidRPr="00FF17A1">
              <w:rPr>
                <w:rFonts w:eastAsia="Calibri" w:cstheme="minorHAnsi"/>
              </w:rPr>
              <w:t>Subsequent years (Year 2 to 10)</w:t>
            </w:r>
          </w:p>
        </w:tc>
      </w:tr>
      <w:tr w:rsidR="00FF17A1" w:rsidRPr="00FF17A1" w14:paraId="1D61B000" w14:textId="77777777" w:rsidTr="00FF17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5CB9ECB9" w14:textId="77777777" w:rsidR="00FF17A1" w:rsidRPr="00FF17A1" w:rsidRDefault="00FF17A1" w:rsidP="000F6998">
            <w:pPr>
              <w:spacing w:line="257" w:lineRule="auto"/>
              <w:jc w:val="both"/>
              <w:rPr>
                <w:rFonts w:eastAsia="Calibri" w:cstheme="minorHAnsi"/>
              </w:rPr>
            </w:pPr>
            <w:r w:rsidRPr="00FF17A1">
              <w:rPr>
                <w:rFonts w:eastAsia="Calibri" w:cstheme="minorHAnsi"/>
              </w:rPr>
              <w:t>New Medium employers</w:t>
            </w:r>
          </w:p>
        </w:tc>
        <w:tc>
          <w:tcPr>
            <w:tcW w:w="2620" w:type="dxa"/>
            <w:noWrap/>
            <w:hideMark/>
          </w:tcPr>
          <w:p w14:paraId="63BB4BD3" w14:textId="77777777" w:rsidR="00FF17A1" w:rsidRPr="00FF17A1" w:rsidRDefault="00FF17A1" w:rsidP="000F6998">
            <w:pPr>
              <w:spacing w:line="257"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FF17A1">
              <w:rPr>
                <w:rFonts w:eastAsia="Calibri" w:cstheme="minorHAnsi"/>
              </w:rPr>
              <w:t>24 hours per annum</w:t>
            </w:r>
          </w:p>
        </w:tc>
        <w:tc>
          <w:tcPr>
            <w:tcW w:w="3100" w:type="dxa"/>
            <w:noWrap/>
            <w:hideMark/>
          </w:tcPr>
          <w:p w14:paraId="2358B698" w14:textId="77777777" w:rsidR="00FF17A1" w:rsidRPr="00FF17A1" w:rsidRDefault="00FF17A1" w:rsidP="000F6998">
            <w:pPr>
              <w:spacing w:line="257"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FF17A1">
              <w:rPr>
                <w:rFonts w:eastAsia="Calibri" w:cstheme="minorHAnsi"/>
              </w:rPr>
              <w:t>n.a.</w:t>
            </w:r>
          </w:p>
        </w:tc>
      </w:tr>
      <w:tr w:rsidR="00FF17A1" w:rsidRPr="00FF17A1" w14:paraId="0E1739C7" w14:textId="77777777" w:rsidTr="00FF17A1">
        <w:trPr>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47A9AE1E" w14:textId="77777777" w:rsidR="00FF17A1" w:rsidRPr="00FF17A1" w:rsidRDefault="00FF17A1" w:rsidP="000F6998">
            <w:pPr>
              <w:spacing w:line="257" w:lineRule="auto"/>
              <w:jc w:val="both"/>
              <w:rPr>
                <w:rFonts w:eastAsia="Calibri" w:cstheme="minorHAnsi"/>
              </w:rPr>
            </w:pPr>
            <w:r w:rsidRPr="00FF17A1">
              <w:rPr>
                <w:rFonts w:eastAsia="Calibri" w:cstheme="minorHAnsi"/>
              </w:rPr>
              <w:t>Existing medium employers</w:t>
            </w:r>
          </w:p>
        </w:tc>
        <w:tc>
          <w:tcPr>
            <w:tcW w:w="2620" w:type="dxa"/>
            <w:noWrap/>
            <w:hideMark/>
          </w:tcPr>
          <w:p w14:paraId="53897EA1" w14:textId="77777777" w:rsidR="00FF17A1" w:rsidRPr="00FF17A1" w:rsidRDefault="00FF17A1" w:rsidP="000F6998">
            <w:pPr>
              <w:spacing w:line="257"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FF17A1">
              <w:rPr>
                <w:rFonts w:eastAsia="Calibri" w:cstheme="minorHAnsi"/>
              </w:rPr>
              <w:t>14 hours per annum</w:t>
            </w:r>
          </w:p>
        </w:tc>
        <w:tc>
          <w:tcPr>
            <w:tcW w:w="3100" w:type="dxa"/>
            <w:noWrap/>
            <w:hideMark/>
          </w:tcPr>
          <w:p w14:paraId="5CCBB623" w14:textId="77777777" w:rsidR="00FF17A1" w:rsidRPr="00FF17A1" w:rsidRDefault="00FF17A1" w:rsidP="000F6998">
            <w:pPr>
              <w:spacing w:line="257"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FF17A1">
              <w:rPr>
                <w:rFonts w:eastAsia="Calibri" w:cstheme="minorHAnsi"/>
              </w:rPr>
              <w:t>14 hours per annum</w:t>
            </w:r>
          </w:p>
        </w:tc>
      </w:tr>
      <w:tr w:rsidR="00FF17A1" w:rsidRPr="00FF17A1" w14:paraId="7DFF277E" w14:textId="77777777" w:rsidTr="00FF17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2C1051B3" w14:textId="77777777" w:rsidR="00FF17A1" w:rsidRPr="00FF17A1" w:rsidRDefault="00FF17A1" w:rsidP="000F6998">
            <w:pPr>
              <w:spacing w:line="257" w:lineRule="auto"/>
              <w:jc w:val="both"/>
              <w:rPr>
                <w:rFonts w:eastAsia="Calibri" w:cstheme="minorHAnsi"/>
              </w:rPr>
            </w:pPr>
            <w:r w:rsidRPr="00FF17A1">
              <w:rPr>
                <w:rFonts w:eastAsia="Calibri" w:cstheme="minorHAnsi"/>
              </w:rPr>
              <w:t>Existing large employers</w:t>
            </w:r>
          </w:p>
        </w:tc>
        <w:tc>
          <w:tcPr>
            <w:tcW w:w="2620" w:type="dxa"/>
            <w:noWrap/>
            <w:hideMark/>
          </w:tcPr>
          <w:p w14:paraId="091B01AB" w14:textId="77777777" w:rsidR="00FF17A1" w:rsidRPr="00FF17A1" w:rsidRDefault="00FF17A1" w:rsidP="000F6998">
            <w:pPr>
              <w:spacing w:line="257"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FF17A1">
              <w:rPr>
                <w:rFonts w:eastAsia="Calibri" w:cstheme="minorHAnsi"/>
              </w:rPr>
              <w:t>26 hours per annum</w:t>
            </w:r>
          </w:p>
        </w:tc>
        <w:tc>
          <w:tcPr>
            <w:tcW w:w="3100" w:type="dxa"/>
            <w:noWrap/>
            <w:hideMark/>
          </w:tcPr>
          <w:p w14:paraId="6C1BB517" w14:textId="77777777" w:rsidR="00FF17A1" w:rsidRPr="00FF17A1" w:rsidRDefault="00FF17A1" w:rsidP="000F6998">
            <w:pPr>
              <w:spacing w:line="257"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FF17A1">
              <w:rPr>
                <w:rFonts w:eastAsia="Calibri" w:cstheme="minorHAnsi"/>
              </w:rPr>
              <w:t>26 hours per annum</w:t>
            </w:r>
          </w:p>
        </w:tc>
      </w:tr>
    </w:tbl>
    <w:p w14:paraId="2FD261BF" w14:textId="77777777" w:rsidR="00FF17A1" w:rsidRPr="000A0347" w:rsidRDefault="00FF17A1" w:rsidP="000F6998">
      <w:pPr>
        <w:spacing w:line="257" w:lineRule="auto"/>
        <w:jc w:val="both"/>
        <w:rPr>
          <w:rFonts w:eastAsia="Calibri" w:cstheme="minorHAnsi"/>
        </w:rPr>
      </w:pPr>
    </w:p>
    <w:p w14:paraId="244810F5" w14:textId="3B51AB3F" w:rsidR="00050A95" w:rsidRPr="00DA58F7" w:rsidRDefault="00050A95" w:rsidP="000F6998">
      <w:pPr>
        <w:jc w:val="both"/>
        <w:rPr>
          <w:rFonts w:cstheme="minorHAnsi"/>
        </w:rPr>
      </w:pPr>
      <w:r w:rsidRPr="00050A95">
        <w:rPr>
          <w:rFonts w:cstheme="minorHAnsi"/>
        </w:rPr>
        <w:t>The number of ‘in scope’</w:t>
      </w:r>
      <w:r w:rsidR="0026425C">
        <w:rPr>
          <w:rFonts w:cstheme="minorHAnsi"/>
        </w:rPr>
        <w:t xml:space="preserve"> </w:t>
      </w:r>
      <w:r w:rsidRPr="00050A95">
        <w:rPr>
          <w:rFonts w:cstheme="minorHAnsi"/>
        </w:rPr>
        <w:t xml:space="preserve">entities is assumed to grow over time, with the growth rate based on ABS data on the number of Australian businesses </w:t>
      </w:r>
      <w:r w:rsidRPr="007903D7">
        <w:rPr>
          <w:rFonts w:cstheme="minorHAnsi"/>
        </w:rPr>
        <w:t xml:space="preserve">2016-17 to 2021-22; and data on the number of registered charities. </w:t>
      </w:r>
    </w:p>
    <w:p w14:paraId="764103AA" w14:textId="77777777" w:rsidR="005F2A1F" w:rsidRDefault="005F2A1F" w:rsidP="000F6998">
      <w:pPr>
        <w:spacing w:line="257" w:lineRule="auto"/>
        <w:jc w:val="both"/>
        <w:rPr>
          <w:rFonts w:eastAsia="Calibri" w:cstheme="minorHAnsi"/>
        </w:rPr>
      </w:pPr>
      <w:r w:rsidRPr="003F264A">
        <w:rPr>
          <w:rFonts w:eastAsia="Calibri" w:cstheme="minorHAnsi"/>
        </w:rPr>
        <w:t xml:space="preserve">An important assumption made in calculating regulatory burden was that an average user tasked with the reporting responsibilities – at the </w:t>
      </w:r>
      <w:r w:rsidR="00F972E4" w:rsidRPr="003F264A">
        <w:rPr>
          <w:rFonts w:eastAsia="Calibri" w:cstheme="minorHAnsi"/>
        </w:rPr>
        <w:t xml:space="preserve">‘within scope </w:t>
      </w:r>
      <w:r w:rsidRPr="003F264A">
        <w:rPr>
          <w:rFonts w:eastAsia="Calibri" w:cstheme="minorHAnsi"/>
        </w:rPr>
        <w:t>entities</w:t>
      </w:r>
      <w:r w:rsidR="00093505" w:rsidRPr="003F264A">
        <w:rPr>
          <w:rFonts w:eastAsia="Calibri" w:cstheme="minorHAnsi"/>
        </w:rPr>
        <w:t>’</w:t>
      </w:r>
      <w:r w:rsidRPr="003F264A">
        <w:rPr>
          <w:rFonts w:eastAsia="Calibri" w:cstheme="minorHAnsi"/>
        </w:rPr>
        <w:t xml:space="preserve"> – </w:t>
      </w:r>
      <w:r w:rsidR="00093505" w:rsidRPr="003F264A">
        <w:rPr>
          <w:rFonts w:eastAsia="Calibri" w:cstheme="minorHAnsi"/>
        </w:rPr>
        <w:t>i</w:t>
      </w:r>
      <w:r w:rsidRPr="003F264A">
        <w:rPr>
          <w:rFonts w:eastAsia="Calibri" w:cstheme="minorHAnsi"/>
        </w:rPr>
        <w:t>s someone new to WGEA reporting with a baseline knowledge of payroll matters and intermediate knowledge of human resource (HR) matters in the organisation. This provide</w:t>
      </w:r>
      <w:r w:rsidR="00093505" w:rsidRPr="003F264A">
        <w:rPr>
          <w:rFonts w:eastAsia="Calibri" w:cstheme="minorHAnsi"/>
        </w:rPr>
        <w:t>s</w:t>
      </w:r>
      <w:r w:rsidRPr="003F264A">
        <w:rPr>
          <w:rFonts w:eastAsia="Calibri" w:cstheme="minorHAnsi"/>
        </w:rPr>
        <w:t xml:space="preserve"> a more realistic view of the additional activities required to meet the WGEA regulatory requirements, than by considering users that have limited knowledge in HR matters and payroll systems. In the case of users with limited knowledge, significant knowledge transfers and uplift in training would be required in preparation to engage with a regulated entity’s HR matters and payroll system – regardless of WGEA reporting requirements.</w:t>
      </w:r>
    </w:p>
    <w:p w14:paraId="6D2B27F3" w14:textId="77777777" w:rsidR="00677424" w:rsidRDefault="00B16E61" w:rsidP="000F6998">
      <w:pPr>
        <w:spacing w:line="257" w:lineRule="auto"/>
        <w:jc w:val="both"/>
        <w:rPr>
          <w:rFonts w:eastAsia="Calibri" w:cstheme="minorHAnsi"/>
        </w:rPr>
      </w:pPr>
      <w:r w:rsidRPr="00B16E61">
        <w:rPr>
          <w:rFonts w:eastAsia="Calibri" w:cstheme="minorHAnsi"/>
        </w:rPr>
        <w:t xml:space="preserve">The estimated annual average economy-wide regulatory compliance cost of Option 1 has </w:t>
      </w:r>
      <w:r w:rsidR="008B72B3">
        <w:rPr>
          <w:rFonts w:eastAsia="Calibri" w:cstheme="minorHAnsi"/>
        </w:rPr>
        <w:t>been estimated at $8.75 million over a 10 year period,</w:t>
      </w:r>
      <w:r w:rsidRPr="00B16E61">
        <w:rPr>
          <w:rFonts w:eastAsia="Calibri" w:cstheme="minorHAnsi"/>
        </w:rPr>
        <w:t xml:space="preserve"> as set out in Table 1 below.</w:t>
      </w:r>
    </w:p>
    <w:p w14:paraId="449A7126" w14:textId="4C4E2696" w:rsidR="00050A95" w:rsidRPr="003F264A" w:rsidRDefault="00050A95" w:rsidP="000F6998">
      <w:pPr>
        <w:spacing w:line="257" w:lineRule="auto"/>
        <w:jc w:val="both"/>
        <w:rPr>
          <w:rFonts w:eastAsia="Calibri" w:cstheme="minorHAnsi"/>
        </w:rPr>
      </w:pPr>
      <w:r w:rsidRPr="003F264A">
        <w:rPr>
          <w:rFonts w:eastAsia="Calibri" w:cstheme="minorHAnsi"/>
        </w:rPr>
        <w:t xml:space="preserve">This figure has been developed in accordance with the Australian Government’s Regulatory Burden Measurement Framework, and relies on a range of assumptions described in further detail in </w:t>
      </w:r>
      <w:r w:rsidRPr="0089667D">
        <w:rPr>
          <w:rFonts w:eastAsia="Calibri" w:cstheme="minorHAnsi"/>
        </w:rPr>
        <w:t>Appendix</w:t>
      </w:r>
      <w:r w:rsidR="0026425C">
        <w:rPr>
          <w:rFonts w:eastAsia="Calibri" w:cstheme="minorHAnsi"/>
        </w:rPr>
        <w:t> </w:t>
      </w:r>
      <w:r w:rsidRPr="0089667D">
        <w:rPr>
          <w:rFonts w:eastAsia="Calibri" w:cstheme="minorHAnsi"/>
        </w:rPr>
        <w:t>E.</w:t>
      </w:r>
      <w:r w:rsidRPr="003F264A">
        <w:rPr>
          <w:rFonts w:eastAsia="Calibri" w:cstheme="minorHAnsi"/>
        </w:rPr>
        <w:t xml:space="preserve"> </w:t>
      </w:r>
    </w:p>
    <w:p w14:paraId="73F38815" w14:textId="59746FDB" w:rsidR="00F541F5" w:rsidRPr="003C5639" w:rsidRDefault="00226DBF" w:rsidP="000F6998">
      <w:pPr>
        <w:jc w:val="both"/>
        <w:rPr>
          <w:rFonts w:eastAsia="Calibri" w:cstheme="minorHAnsi"/>
          <w:b/>
        </w:rPr>
      </w:pPr>
      <w:r w:rsidRPr="003C5639">
        <w:rPr>
          <w:rFonts w:eastAsia="Calibri" w:cstheme="minorHAnsi"/>
          <w:b/>
        </w:rPr>
        <w:t>Table 1</w:t>
      </w:r>
      <w:r w:rsidR="004A159E">
        <w:rPr>
          <w:rFonts w:eastAsia="Calibri" w:cstheme="minorHAnsi"/>
          <w:b/>
        </w:rPr>
        <w:t xml:space="preserve">: </w:t>
      </w:r>
      <w:r w:rsidR="004A159E" w:rsidRPr="004A159E">
        <w:rPr>
          <w:rFonts w:eastAsia="Calibri" w:cstheme="minorHAnsi"/>
          <w:b/>
        </w:rPr>
        <w:t>Option 1 Average annual compliance costs (i.e. business as usual scenario)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912"/>
        <w:gridCol w:w="2075"/>
        <w:gridCol w:w="1601"/>
        <w:gridCol w:w="1601"/>
      </w:tblGrid>
      <w:tr w:rsidR="000E41A2" w:rsidRPr="0047278B" w14:paraId="7A12F597" w14:textId="77777777" w:rsidTr="005F2A1F">
        <w:tc>
          <w:tcPr>
            <w:tcW w:w="1827" w:type="dxa"/>
            <w:shd w:val="clear" w:color="auto" w:fill="DEEAF6" w:themeFill="accent1" w:themeFillTint="33"/>
            <w:vAlign w:val="center"/>
          </w:tcPr>
          <w:p w14:paraId="60B88031" w14:textId="77777777" w:rsidR="000E41A2" w:rsidRPr="003F264A" w:rsidRDefault="000E41A2" w:rsidP="000F6998">
            <w:pPr>
              <w:spacing w:after="120"/>
              <w:jc w:val="both"/>
              <w:rPr>
                <w:rFonts w:cstheme="minorHAnsi"/>
                <w:b/>
                <w:szCs w:val="24"/>
              </w:rPr>
            </w:pPr>
            <w:r w:rsidRPr="003F264A">
              <w:rPr>
                <w:rFonts w:cstheme="minorHAnsi"/>
                <w:b/>
                <w:szCs w:val="24"/>
              </w:rPr>
              <w:t>Costs*</w:t>
            </w:r>
          </w:p>
        </w:tc>
        <w:tc>
          <w:tcPr>
            <w:tcW w:w="1912" w:type="dxa"/>
            <w:shd w:val="clear" w:color="auto" w:fill="DEEAF6" w:themeFill="accent1" w:themeFillTint="33"/>
            <w:vAlign w:val="center"/>
          </w:tcPr>
          <w:p w14:paraId="211ACDAA" w14:textId="77777777" w:rsidR="000E41A2" w:rsidRPr="003F264A" w:rsidRDefault="000E41A2" w:rsidP="000F6998">
            <w:pPr>
              <w:spacing w:after="120"/>
              <w:jc w:val="both"/>
              <w:rPr>
                <w:rFonts w:cstheme="minorHAnsi"/>
                <w:b/>
                <w:szCs w:val="24"/>
              </w:rPr>
            </w:pPr>
            <w:r w:rsidRPr="003F264A">
              <w:rPr>
                <w:rFonts w:cstheme="minorHAnsi"/>
                <w:b/>
                <w:szCs w:val="24"/>
              </w:rPr>
              <w:t>Business</w:t>
            </w:r>
          </w:p>
        </w:tc>
        <w:tc>
          <w:tcPr>
            <w:tcW w:w="2075" w:type="dxa"/>
            <w:shd w:val="clear" w:color="auto" w:fill="DEEAF6" w:themeFill="accent1" w:themeFillTint="33"/>
            <w:vAlign w:val="center"/>
          </w:tcPr>
          <w:p w14:paraId="1C50C1E2" w14:textId="77777777" w:rsidR="000E41A2" w:rsidRPr="003F264A" w:rsidRDefault="000E41A2" w:rsidP="000F6998">
            <w:pPr>
              <w:spacing w:after="120"/>
              <w:jc w:val="both"/>
              <w:rPr>
                <w:rFonts w:cstheme="minorHAnsi"/>
                <w:b/>
                <w:szCs w:val="24"/>
              </w:rPr>
            </w:pPr>
            <w:r w:rsidRPr="003F264A">
              <w:rPr>
                <w:rFonts w:cstheme="minorHAnsi"/>
                <w:b/>
                <w:szCs w:val="24"/>
              </w:rPr>
              <w:t>Community Organisations</w:t>
            </w:r>
          </w:p>
        </w:tc>
        <w:tc>
          <w:tcPr>
            <w:tcW w:w="1601" w:type="dxa"/>
            <w:shd w:val="clear" w:color="auto" w:fill="DEEAF6" w:themeFill="accent1" w:themeFillTint="33"/>
            <w:vAlign w:val="center"/>
          </w:tcPr>
          <w:p w14:paraId="612ACDBF" w14:textId="77777777" w:rsidR="000E41A2" w:rsidRPr="003F264A" w:rsidRDefault="000E41A2" w:rsidP="000F6998">
            <w:pPr>
              <w:spacing w:after="120"/>
              <w:jc w:val="both"/>
              <w:rPr>
                <w:rFonts w:cstheme="minorHAnsi"/>
                <w:b/>
                <w:szCs w:val="24"/>
              </w:rPr>
            </w:pPr>
            <w:r w:rsidRPr="003F264A">
              <w:rPr>
                <w:rFonts w:cstheme="minorHAnsi"/>
                <w:b/>
                <w:szCs w:val="24"/>
              </w:rPr>
              <w:t>Individuals</w:t>
            </w:r>
          </w:p>
        </w:tc>
        <w:tc>
          <w:tcPr>
            <w:tcW w:w="1601" w:type="dxa"/>
            <w:shd w:val="clear" w:color="auto" w:fill="DEEAF6" w:themeFill="accent1" w:themeFillTint="33"/>
            <w:vAlign w:val="center"/>
          </w:tcPr>
          <w:p w14:paraId="4223FFA3" w14:textId="77777777" w:rsidR="000E41A2" w:rsidRPr="003F264A" w:rsidRDefault="000E41A2" w:rsidP="000F6998">
            <w:pPr>
              <w:spacing w:after="120"/>
              <w:jc w:val="both"/>
              <w:rPr>
                <w:rFonts w:cstheme="minorHAnsi"/>
                <w:b/>
                <w:szCs w:val="24"/>
              </w:rPr>
            </w:pPr>
            <w:r w:rsidRPr="003F264A">
              <w:rPr>
                <w:rFonts w:cstheme="minorHAnsi"/>
                <w:b/>
                <w:szCs w:val="24"/>
              </w:rPr>
              <w:t>Total Cost</w:t>
            </w:r>
          </w:p>
        </w:tc>
      </w:tr>
      <w:tr w:rsidR="000E41A2" w:rsidRPr="0047278B" w14:paraId="4198DB66" w14:textId="77777777" w:rsidTr="005F2A1F">
        <w:tc>
          <w:tcPr>
            <w:tcW w:w="1827" w:type="dxa"/>
            <w:shd w:val="clear" w:color="auto" w:fill="0070C0"/>
            <w:vAlign w:val="center"/>
          </w:tcPr>
          <w:p w14:paraId="446498D7" w14:textId="77777777" w:rsidR="000E41A2" w:rsidRPr="003F264A" w:rsidRDefault="000E41A2" w:rsidP="000F6998">
            <w:pPr>
              <w:spacing w:after="120"/>
              <w:jc w:val="both"/>
              <w:rPr>
                <w:rFonts w:cstheme="minorHAnsi"/>
                <w:color w:val="FFFFFF" w:themeColor="background1"/>
                <w:szCs w:val="24"/>
              </w:rPr>
            </w:pPr>
            <w:r w:rsidRPr="003F264A">
              <w:rPr>
                <w:rFonts w:cstheme="minorHAnsi"/>
                <w:color w:val="FFFFFF" w:themeColor="background1"/>
                <w:szCs w:val="24"/>
              </w:rPr>
              <w:t>Regulated entities</w:t>
            </w:r>
          </w:p>
        </w:tc>
        <w:tc>
          <w:tcPr>
            <w:tcW w:w="1912" w:type="dxa"/>
            <w:shd w:val="clear" w:color="auto" w:fill="0070C0"/>
            <w:vAlign w:val="center"/>
          </w:tcPr>
          <w:p w14:paraId="62485B07" w14:textId="77777777" w:rsidR="000E41A2" w:rsidRPr="003F264A" w:rsidRDefault="000E41A2" w:rsidP="000F6998">
            <w:pPr>
              <w:spacing w:after="120"/>
              <w:jc w:val="both"/>
              <w:rPr>
                <w:rFonts w:cstheme="minorHAnsi"/>
                <w:color w:val="FFFFFF" w:themeColor="background1"/>
                <w:szCs w:val="24"/>
              </w:rPr>
            </w:pPr>
            <w:r w:rsidRPr="003F264A">
              <w:rPr>
                <w:rFonts w:cstheme="minorHAnsi"/>
                <w:color w:val="FFFFFF" w:themeColor="background1"/>
                <w:szCs w:val="24"/>
              </w:rPr>
              <w:t>$6,562,794</w:t>
            </w:r>
          </w:p>
        </w:tc>
        <w:tc>
          <w:tcPr>
            <w:tcW w:w="2075" w:type="dxa"/>
            <w:shd w:val="clear" w:color="auto" w:fill="0070C0"/>
            <w:vAlign w:val="center"/>
          </w:tcPr>
          <w:p w14:paraId="0CD8FD1A" w14:textId="77777777" w:rsidR="000E41A2" w:rsidRPr="003F264A" w:rsidRDefault="000E41A2" w:rsidP="000F6998">
            <w:pPr>
              <w:spacing w:after="120"/>
              <w:jc w:val="both"/>
              <w:rPr>
                <w:rFonts w:cstheme="minorHAnsi"/>
                <w:color w:val="FFFFFF" w:themeColor="background1"/>
                <w:szCs w:val="24"/>
              </w:rPr>
            </w:pPr>
            <w:r w:rsidRPr="003F264A">
              <w:rPr>
                <w:rFonts w:cstheme="minorHAnsi"/>
                <w:color w:val="FFFFFF" w:themeColor="background1"/>
                <w:szCs w:val="24"/>
              </w:rPr>
              <w:t>$2,184,951</w:t>
            </w:r>
          </w:p>
        </w:tc>
        <w:tc>
          <w:tcPr>
            <w:tcW w:w="1601" w:type="dxa"/>
            <w:shd w:val="clear" w:color="auto" w:fill="A5A5A5" w:themeFill="accent3"/>
            <w:vAlign w:val="center"/>
          </w:tcPr>
          <w:p w14:paraId="7B7294F3" w14:textId="77777777" w:rsidR="000E41A2" w:rsidRPr="003F264A" w:rsidRDefault="000E41A2" w:rsidP="000F6998">
            <w:pPr>
              <w:spacing w:after="120"/>
              <w:jc w:val="both"/>
              <w:rPr>
                <w:rFonts w:cstheme="minorHAnsi"/>
                <w:szCs w:val="24"/>
              </w:rPr>
            </w:pPr>
          </w:p>
        </w:tc>
        <w:tc>
          <w:tcPr>
            <w:tcW w:w="1601" w:type="dxa"/>
            <w:shd w:val="clear" w:color="auto" w:fill="0070C0"/>
            <w:vAlign w:val="center"/>
          </w:tcPr>
          <w:p w14:paraId="75C92B8E" w14:textId="77777777" w:rsidR="000E41A2" w:rsidRPr="003F264A" w:rsidRDefault="000E41A2" w:rsidP="000F6998">
            <w:pPr>
              <w:spacing w:after="120"/>
              <w:jc w:val="both"/>
              <w:rPr>
                <w:rFonts w:cstheme="minorHAnsi"/>
                <w:szCs w:val="24"/>
              </w:rPr>
            </w:pPr>
            <w:r w:rsidRPr="003F264A">
              <w:rPr>
                <w:rFonts w:cstheme="minorHAnsi"/>
                <w:color w:val="FFFFFF" w:themeColor="background1"/>
                <w:szCs w:val="24"/>
              </w:rPr>
              <w:t>$8,747,746</w:t>
            </w:r>
          </w:p>
        </w:tc>
      </w:tr>
      <w:tr w:rsidR="000E41A2" w:rsidRPr="0047278B" w14:paraId="624BDD79" w14:textId="77777777" w:rsidTr="005F2A1F">
        <w:tc>
          <w:tcPr>
            <w:tcW w:w="1827" w:type="dxa"/>
            <w:shd w:val="clear" w:color="auto" w:fill="525252" w:themeFill="accent3" w:themeFillShade="80"/>
            <w:vAlign w:val="center"/>
          </w:tcPr>
          <w:p w14:paraId="2025B8CA" w14:textId="77777777" w:rsidR="000E41A2" w:rsidRPr="003F264A" w:rsidRDefault="000E41A2" w:rsidP="000F6998">
            <w:pPr>
              <w:spacing w:before="120" w:after="120"/>
              <w:jc w:val="both"/>
              <w:rPr>
                <w:rFonts w:cstheme="minorHAnsi"/>
                <w:color w:val="FFFFFF" w:themeColor="background1"/>
                <w:szCs w:val="24"/>
              </w:rPr>
            </w:pPr>
            <w:r w:rsidRPr="003F264A">
              <w:rPr>
                <w:rFonts w:cstheme="minorHAnsi"/>
                <w:color w:val="FFFFFF" w:themeColor="background1"/>
                <w:szCs w:val="24"/>
              </w:rPr>
              <w:t>Total by sector</w:t>
            </w:r>
          </w:p>
        </w:tc>
        <w:tc>
          <w:tcPr>
            <w:tcW w:w="1912" w:type="dxa"/>
            <w:shd w:val="clear" w:color="auto" w:fill="525252" w:themeFill="accent3" w:themeFillShade="80"/>
            <w:vAlign w:val="center"/>
          </w:tcPr>
          <w:p w14:paraId="622EE3F7" w14:textId="77777777" w:rsidR="000E41A2" w:rsidRPr="003F264A" w:rsidRDefault="000E41A2" w:rsidP="000F6998">
            <w:pPr>
              <w:spacing w:before="120" w:after="120"/>
              <w:jc w:val="both"/>
              <w:rPr>
                <w:rFonts w:cstheme="minorHAnsi"/>
                <w:color w:val="FFFFFF" w:themeColor="background1"/>
                <w:szCs w:val="24"/>
              </w:rPr>
            </w:pPr>
            <w:r w:rsidRPr="003F264A">
              <w:rPr>
                <w:rFonts w:cstheme="minorHAnsi"/>
                <w:color w:val="FFFFFF" w:themeColor="background1"/>
                <w:szCs w:val="24"/>
              </w:rPr>
              <w:t>$6,562,794</w:t>
            </w:r>
          </w:p>
        </w:tc>
        <w:tc>
          <w:tcPr>
            <w:tcW w:w="2075" w:type="dxa"/>
            <w:shd w:val="clear" w:color="auto" w:fill="525252" w:themeFill="accent3" w:themeFillShade="80"/>
            <w:vAlign w:val="center"/>
          </w:tcPr>
          <w:p w14:paraId="3BEC589E" w14:textId="77777777" w:rsidR="000E41A2" w:rsidRPr="003F264A" w:rsidRDefault="000E41A2" w:rsidP="000F6998">
            <w:pPr>
              <w:spacing w:before="120" w:after="120"/>
              <w:jc w:val="both"/>
              <w:rPr>
                <w:rFonts w:cstheme="minorHAnsi"/>
                <w:color w:val="FFFFFF" w:themeColor="background1"/>
                <w:szCs w:val="24"/>
              </w:rPr>
            </w:pPr>
            <w:r w:rsidRPr="003F264A">
              <w:rPr>
                <w:rFonts w:cstheme="minorHAnsi"/>
                <w:color w:val="FFFFFF" w:themeColor="background1"/>
                <w:szCs w:val="24"/>
              </w:rPr>
              <w:t>$2,184,951</w:t>
            </w:r>
          </w:p>
        </w:tc>
        <w:tc>
          <w:tcPr>
            <w:tcW w:w="1601" w:type="dxa"/>
            <w:shd w:val="clear" w:color="auto" w:fill="525252" w:themeFill="accent3" w:themeFillShade="80"/>
            <w:vAlign w:val="center"/>
          </w:tcPr>
          <w:p w14:paraId="75106FB9" w14:textId="77777777" w:rsidR="000E41A2" w:rsidRPr="003F264A" w:rsidRDefault="000E41A2" w:rsidP="000F6998">
            <w:pPr>
              <w:spacing w:before="120" w:after="120"/>
              <w:jc w:val="both"/>
              <w:rPr>
                <w:rFonts w:cstheme="minorHAnsi"/>
                <w:color w:val="FFFFFF" w:themeColor="background1"/>
                <w:szCs w:val="24"/>
              </w:rPr>
            </w:pPr>
            <w:r w:rsidRPr="003F264A">
              <w:rPr>
                <w:rFonts w:cstheme="minorHAnsi"/>
                <w:color w:val="FFFFFF" w:themeColor="background1"/>
                <w:szCs w:val="24"/>
              </w:rPr>
              <w:t>N/A</w:t>
            </w:r>
          </w:p>
        </w:tc>
        <w:tc>
          <w:tcPr>
            <w:tcW w:w="1601" w:type="dxa"/>
            <w:shd w:val="clear" w:color="auto" w:fill="525252" w:themeFill="accent3" w:themeFillShade="80"/>
            <w:vAlign w:val="center"/>
          </w:tcPr>
          <w:p w14:paraId="129B139B" w14:textId="77777777" w:rsidR="000E41A2" w:rsidRPr="003F264A" w:rsidRDefault="000E41A2" w:rsidP="000F6998">
            <w:pPr>
              <w:spacing w:before="120" w:after="120"/>
              <w:jc w:val="both"/>
              <w:rPr>
                <w:rFonts w:cstheme="minorHAnsi"/>
                <w:color w:val="FFFFFF" w:themeColor="background1"/>
                <w:szCs w:val="24"/>
              </w:rPr>
            </w:pPr>
            <w:r w:rsidRPr="003F264A">
              <w:rPr>
                <w:rFonts w:cstheme="minorHAnsi"/>
                <w:color w:val="FFFFFF" w:themeColor="background1"/>
                <w:szCs w:val="24"/>
              </w:rPr>
              <w:t>$8,747,746</w:t>
            </w:r>
          </w:p>
        </w:tc>
      </w:tr>
    </w:tbl>
    <w:p w14:paraId="137C65B1" w14:textId="77777777" w:rsidR="000E41A2" w:rsidRPr="003C5639" w:rsidRDefault="000E41A2" w:rsidP="000F6998">
      <w:pPr>
        <w:spacing w:after="0"/>
        <w:jc w:val="both"/>
        <w:rPr>
          <w:rFonts w:cstheme="minorHAnsi"/>
          <w:sz w:val="20"/>
        </w:rPr>
      </w:pPr>
      <w:r w:rsidRPr="003C5639">
        <w:rPr>
          <w:rFonts w:cstheme="minorHAnsi"/>
          <w:b/>
          <w:sz w:val="20"/>
        </w:rPr>
        <w:t xml:space="preserve">* Costs </w:t>
      </w:r>
      <w:r w:rsidRPr="003C5639">
        <w:rPr>
          <w:rFonts w:cstheme="minorHAnsi"/>
          <w:sz w:val="20"/>
        </w:rPr>
        <w:t xml:space="preserve">are average annualised regulatory compliance costs calculated over the 10-years of regulation required by the </w:t>
      </w:r>
      <w:hyperlink r:id="rId22" w:history="1">
        <w:r w:rsidRPr="003C5639">
          <w:rPr>
            <w:rStyle w:val="Hyperlink"/>
            <w:rFonts w:cstheme="minorHAnsi"/>
            <w:sz w:val="20"/>
          </w:rPr>
          <w:t>Regulatory Burden Measurement Framework</w:t>
        </w:r>
      </w:hyperlink>
      <w:r w:rsidRPr="003C5639">
        <w:rPr>
          <w:rFonts w:cstheme="minorHAnsi"/>
          <w:sz w:val="20"/>
        </w:rPr>
        <w:t xml:space="preserve">. </w:t>
      </w:r>
    </w:p>
    <w:p w14:paraId="2655FF02" w14:textId="77777777" w:rsidR="00EE34CD" w:rsidRPr="006064C3" w:rsidRDefault="000E41A2" w:rsidP="000F6998">
      <w:pPr>
        <w:spacing w:line="257" w:lineRule="auto"/>
        <w:jc w:val="both"/>
        <w:rPr>
          <w:rFonts w:eastAsia="Calibri" w:cstheme="minorHAnsi"/>
        </w:rPr>
      </w:pPr>
      <w:r w:rsidRPr="003C5639">
        <w:rPr>
          <w:rFonts w:cstheme="minorHAnsi"/>
          <w:sz w:val="20"/>
        </w:rPr>
        <w:t>** The costs take into account the impact of regulation on new regulated employers who are required to report to WGEA for the first time and costs for existing employers who already report to WGEA.</w:t>
      </w:r>
      <w:r w:rsidR="00471682" w:rsidRPr="006064C3">
        <w:rPr>
          <w:rFonts w:cstheme="minorHAnsi"/>
          <w:sz w:val="28"/>
        </w:rPr>
        <w:tab/>
      </w:r>
    </w:p>
    <w:p w14:paraId="4C24C30C" w14:textId="77777777" w:rsidR="00EE34CD" w:rsidRPr="003F264A" w:rsidRDefault="0084680C" w:rsidP="000F6998">
      <w:pPr>
        <w:pStyle w:val="Heading2"/>
        <w:jc w:val="both"/>
        <w:rPr>
          <w:rFonts w:asciiTheme="minorHAnsi" w:hAnsiTheme="minorHAnsi" w:cstheme="minorHAnsi"/>
        </w:rPr>
      </w:pPr>
      <w:bookmarkStart w:id="86" w:name="_Toc118794745"/>
      <w:bookmarkStart w:id="87" w:name="_Toc125714721"/>
      <w:r w:rsidRPr="003F264A">
        <w:rPr>
          <w:rFonts w:asciiTheme="minorHAnsi" w:hAnsiTheme="minorHAnsi" w:cstheme="minorHAnsi"/>
        </w:rPr>
        <w:t>7.3 Overall</w:t>
      </w:r>
      <w:r w:rsidR="002E6BAC" w:rsidRPr="003F264A">
        <w:rPr>
          <w:rFonts w:asciiTheme="minorHAnsi" w:hAnsiTheme="minorHAnsi" w:cstheme="minorHAnsi"/>
        </w:rPr>
        <w:t xml:space="preserve"> net </w:t>
      </w:r>
      <w:r w:rsidR="008C1F46" w:rsidRPr="003F264A">
        <w:rPr>
          <w:rFonts w:asciiTheme="minorHAnsi" w:hAnsiTheme="minorHAnsi" w:cstheme="minorHAnsi"/>
        </w:rPr>
        <w:t>benefit/ cost</w:t>
      </w:r>
      <w:bookmarkEnd w:id="86"/>
      <w:bookmarkEnd w:id="87"/>
    </w:p>
    <w:p w14:paraId="395B7C9A" w14:textId="311656F7" w:rsidR="00AA1A8E" w:rsidRDefault="00F7720E" w:rsidP="000F6998">
      <w:pPr>
        <w:spacing w:before="240"/>
        <w:jc w:val="both"/>
        <w:rPr>
          <w:rFonts w:cstheme="minorHAnsi"/>
        </w:rPr>
      </w:pPr>
      <w:r>
        <w:rPr>
          <w:rFonts w:cstheme="minorHAnsi"/>
        </w:rPr>
        <w:t>Option 1</w:t>
      </w:r>
      <w:r w:rsidR="00CD3A4D">
        <w:rPr>
          <w:rFonts w:cstheme="minorHAnsi"/>
        </w:rPr>
        <w:t xml:space="preserve">, the status quo, has an average </w:t>
      </w:r>
      <w:r w:rsidR="00E55A1A">
        <w:rPr>
          <w:rFonts w:cstheme="minorHAnsi"/>
        </w:rPr>
        <w:t>annual regulatory</w:t>
      </w:r>
      <w:r>
        <w:rPr>
          <w:rFonts w:cstheme="minorHAnsi"/>
        </w:rPr>
        <w:t xml:space="preserve"> cost of $8.7 million.</w:t>
      </w:r>
    </w:p>
    <w:p w14:paraId="05C7E03D" w14:textId="19602621" w:rsidR="00761610" w:rsidRPr="003F264A" w:rsidRDefault="00AD6CDE" w:rsidP="000F6998">
      <w:pPr>
        <w:jc w:val="both"/>
        <w:rPr>
          <w:rFonts w:cstheme="minorHAnsi"/>
        </w:rPr>
      </w:pPr>
      <w:r>
        <w:rPr>
          <w:rFonts w:cstheme="minorHAnsi"/>
        </w:rPr>
        <w:t>Under Option 1</w:t>
      </w:r>
      <w:r w:rsidR="00FE5CF6">
        <w:rPr>
          <w:rFonts w:cstheme="minorHAnsi"/>
        </w:rPr>
        <w:t xml:space="preserve">, the </w:t>
      </w:r>
      <w:r w:rsidR="00CD3A4D">
        <w:rPr>
          <w:rFonts w:cstheme="minorHAnsi"/>
        </w:rPr>
        <w:t xml:space="preserve">gender pay gap </w:t>
      </w:r>
      <w:r w:rsidR="00FE5CF6">
        <w:rPr>
          <w:rFonts w:cstheme="minorHAnsi"/>
        </w:rPr>
        <w:t xml:space="preserve">can be expected to continue to </w:t>
      </w:r>
      <w:r w:rsidR="00337E05">
        <w:rPr>
          <w:rFonts w:cstheme="minorHAnsi"/>
        </w:rPr>
        <w:t xml:space="preserve">narrow </w:t>
      </w:r>
      <w:r w:rsidR="00FE5CF6">
        <w:rPr>
          <w:rFonts w:cstheme="minorHAnsi"/>
        </w:rPr>
        <w:t>(albeit slowly) and, on this basis,</w:t>
      </w:r>
      <w:r w:rsidR="00CE5668">
        <w:rPr>
          <w:rFonts w:cstheme="minorHAnsi"/>
        </w:rPr>
        <w:t xml:space="preserve"> provide a benefit that more than offsets the regulatory cost – that is, Option 1 provides a </w:t>
      </w:r>
      <w:r w:rsidR="00FE5CF6">
        <w:rPr>
          <w:rFonts w:cstheme="minorHAnsi"/>
        </w:rPr>
        <w:t xml:space="preserve">net benefit. </w:t>
      </w:r>
      <w:r w:rsidR="00F7720E">
        <w:rPr>
          <w:rFonts w:cstheme="minorHAnsi"/>
        </w:rPr>
        <w:t xml:space="preserve">However, </w:t>
      </w:r>
      <w:r w:rsidR="0060598F" w:rsidRPr="003F264A">
        <w:rPr>
          <w:rFonts w:cstheme="minorHAnsi"/>
        </w:rPr>
        <w:t xml:space="preserve">the current </w:t>
      </w:r>
      <w:r w:rsidR="00B0780D" w:rsidRPr="003F264A">
        <w:rPr>
          <w:rFonts w:cstheme="minorHAnsi"/>
        </w:rPr>
        <w:t xml:space="preserve">regulatory structure </w:t>
      </w:r>
      <w:r w:rsidR="00FE5CF6">
        <w:rPr>
          <w:rFonts w:cstheme="minorHAnsi"/>
        </w:rPr>
        <w:t>is</w:t>
      </w:r>
      <w:r w:rsidR="0060598F" w:rsidRPr="003F264A">
        <w:rPr>
          <w:rFonts w:cstheme="minorHAnsi"/>
        </w:rPr>
        <w:t xml:space="preserve"> preventing the </w:t>
      </w:r>
      <w:r w:rsidR="00CE5668">
        <w:rPr>
          <w:rFonts w:cstheme="minorHAnsi"/>
        </w:rPr>
        <w:t xml:space="preserve">gender pay </w:t>
      </w:r>
      <w:r w:rsidR="00FE5CF6">
        <w:rPr>
          <w:rFonts w:cstheme="minorHAnsi"/>
        </w:rPr>
        <w:t>gap from closing faster</w:t>
      </w:r>
      <w:r w:rsidR="00337E05">
        <w:rPr>
          <w:rFonts w:cstheme="minorHAnsi"/>
        </w:rPr>
        <w:t>,</w:t>
      </w:r>
      <w:r w:rsidR="00FE5CF6">
        <w:rPr>
          <w:rFonts w:cstheme="minorHAnsi"/>
        </w:rPr>
        <w:t xml:space="preserve"> and the </w:t>
      </w:r>
      <w:r w:rsidR="0060598F" w:rsidRPr="003F264A">
        <w:rPr>
          <w:rFonts w:cstheme="minorHAnsi"/>
        </w:rPr>
        <w:t>net benefit from being greater.</w:t>
      </w:r>
      <w:r w:rsidR="00633D69">
        <w:rPr>
          <w:rFonts w:cstheme="minorHAnsi"/>
        </w:rPr>
        <w:t xml:space="preserve"> </w:t>
      </w:r>
      <w:r w:rsidR="00F7720E">
        <w:rPr>
          <w:rFonts w:cstheme="minorHAnsi"/>
          <w:color w:val="000000"/>
        </w:rPr>
        <w:t>T</w:t>
      </w:r>
      <w:r w:rsidR="00761610" w:rsidRPr="003F264A">
        <w:rPr>
          <w:rFonts w:cstheme="minorHAnsi"/>
          <w:color w:val="000000"/>
        </w:rPr>
        <w:t xml:space="preserve">he primary drivers of the </w:t>
      </w:r>
      <w:r w:rsidR="00331401">
        <w:rPr>
          <w:rFonts w:cstheme="minorHAnsi"/>
          <w:color w:val="000000"/>
        </w:rPr>
        <w:t xml:space="preserve">gender </w:t>
      </w:r>
      <w:r w:rsidR="00761610" w:rsidRPr="003F264A">
        <w:rPr>
          <w:rFonts w:cstheme="minorHAnsi"/>
          <w:color w:val="000000"/>
        </w:rPr>
        <w:t>pay gap (gender discrimination; care, family responsibilities and workforce participation; and gender segregation by job type) combine to an equivalent of $898</w:t>
      </w:r>
      <w:r w:rsidR="00337E05">
        <w:rPr>
          <w:rFonts w:cstheme="minorHAnsi"/>
          <w:color w:val="000000"/>
        </w:rPr>
        <w:t> </w:t>
      </w:r>
      <w:r w:rsidR="00761610" w:rsidRPr="003F264A">
        <w:rPr>
          <w:rFonts w:cstheme="minorHAnsi"/>
          <w:color w:val="000000"/>
        </w:rPr>
        <w:t>million per week in earnings.</w:t>
      </w:r>
      <w:r w:rsidR="00761610" w:rsidRPr="003F264A">
        <w:rPr>
          <w:rStyle w:val="FootnoteReference"/>
          <w:rFonts w:cstheme="minorHAnsi"/>
          <w:color w:val="000000"/>
        </w:rPr>
        <w:footnoteReference w:id="139"/>
      </w:r>
      <w:r w:rsidR="00761610" w:rsidRPr="003F264A">
        <w:rPr>
          <w:rFonts w:cstheme="minorHAnsi"/>
          <w:color w:val="000000"/>
        </w:rPr>
        <w:t xml:space="preserve"> </w:t>
      </w:r>
      <w:r w:rsidR="00331401">
        <w:rPr>
          <w:rFonts w:cstheme="minorHAnsi"/>
          <w:color w:val="000000"/>
        </w:rPr>
        <w:t xml:space="preserve">Over a ten year period this is leading to a shortfall in earnings for </w:t>
      </w:r>
      <w:r w:rsidR="00FE5CF6">
        <w:rPr>
          <w:rFonts w:cstheme="minorHAnsi"/>
          <w:color w:val="000000"/>
        </w:rPr>
        <w:t xml:space="preserve">a </w:t>
      </w:r>
      <w:r w:rsidR="00331401">
        <w:rPr>
          <w:rFonts w:cstheme="minorHAnsi"/>
          <w:color w:val="000000"/>
        </w:rPr>
        <w:t>wom</w:t>
      </w:r>
      <w:r w:rsidR="00FE5CF6">
        <w:rPr>
          <w:rFonts w:cstheme="minorHAnsi"/>
          <w:color w:val="000000"/>
        </w:rPr>
        <w:t>a</w:t>
      </w:r>
      <w:r w:rsidR="00331401">
        <w:rPr>
          <w:rFonts w:cstheme="minorHAnsi"/>
          <w:color w:val="000000"/>
        </w:rPr>
        <w:t xml:space="preserve">n of </w:t>
      </w:r>
      <w:r w:rsidR="00303E63">
        <w:rPr>
          <w:rFonts w:cstheme="minorHAnsi"/>
          <w:color w:val="000000"/>
        </w:rPr>
        <w:t>$600,000 compared to</w:t>
      </w:r>
      <w:r w:rsidR="00FE5CF6">
        <w:rPr>
          <w:rFonts w:cstheme="minorHAnsi"/>
          <w:color w:val="000000"/>
        </w:rPr>
        <w:t xml:space="preserve"> a man</w:t>
      </w:r>
      <w:r w:rsidR="00761610" w:rsidRPr="003F264A">
        <w:rPr>
          <w:rFonts w:cstheme="minorHAnsi"/>
        </w:rPr>
        <w:t>.</w:t>
      </w:r>
      <w:r w:rsidR="00761610" w:rsidRPr="003F264A">
        <w:rPr>
          <w:rStyle w:val="FootnoteReference"/>
          <w:rFonts w:cstheme="minorHAnsi"/>
        </w:rPr>
        <w:footnoteReference w:id="140"/>
      </w:r>
    </w:p>
    <w:p w14:paraId="5FF231CA" w14:textId="67817D00" w:rsidR="00761610" w:rsidRPr="003F264A" w:rsidRDefault="00303E63" w:rsidP="000F6998">
      <w:pPr>
        <w:jc w:val="both"/>
        <w:rPr>
          <w:rFonts w:cstheme="minorHAnsi"/>
          <w:b/>
        </w:rPr>
      </w:pPr>
      <w:r>
        <w:rPr>
          <w:rFonts w:cstheme="minorHAnsi"/>
        </w:rPr>
        <w:t xml:space="preserve">The pace of </w:t>
      </w:r>
      <w:r w:rsidR="00FE5CF6">
        <w:rPr>
          <w:rFonts w:cstheme="minorHAnsi"/>
        </w:rPr>
        <w:t xml:space="preserve">change under </w:t>
      </w:r>
      <w:r>
        <w:rPr>
          <w:rFonts w:cstheme="minorHAnsi"/>
        </w:rPr>
        <w:t xml:space="preserve">the status quo will mean that the ongoing costs of the gender pay gap to individuals, business and the economy will take approximately 26 years to end. </w:t>
      </w:r>
      <w:r w:rsidR="00B16E61">
        <w:rPr>
          <w:rFonts w:cstheme="minorHAnsi"/>
        </w:rPr>
        <w:t xml:space="preserve">The weekly and annual costs from a prolonged gender pay gap would close over time but commence at a </w:t>
      </w:r>
      <w:r w:rsidR="00761610" w:rsidRPr="00AC61D6">
        <w:rPr>
          <w:rFonts w:cstheme="minorHAnsi"/>
        </w:rPr>
        <w:t>$26</w:t>
      </w:r>
      <w:r w:rsidR="00761610">
        <w:rPr>
          <w:rFonts w:cstheme="minorHAnsi"/>
        </w:rPr>
        <w:t>4</w:t>
      </w:r>
      <w:r w:rsidR="00761610" w:rsidRPr="00AC61D6">
        <w:rPr>
          <w:rFonts w:cstheme="minorHAnsi"/>
        </w:rPr>
        <w:t xml:space="preserve"> </w:t>
      </w:r>
      <w:r w:rsidR="00761610" w:rsidRPr="00015E51">
        <w:rPr>
          <w:rFonts w:cstheme="minorHAnsi"/>
        </w:rPr>
        <w:t>per w</w:t>
      </w:r>
      <w:r w:rsidR="00761610" w:rsidRPr="00AC61D6">
        <w:rPr>
          <w:rFonts w:cstheme="minorHAnsi"/>
        </w:rPr>
        <w:t>eek loss</w:t>
      </w:r>
      <w:r>
        <w:rPr>
          <w:rFonts w:cstheme="minorHAnsi"/>
        </w:rPr>
        <w:t xml:space="preserve"> in earnings</w:t>
      </w:r>
      <w:r w:rsidR="00B16E61">
        <w:rPr>
          <w:rFonts w:cstheme="minorHAnsi"/>
        </w:rPr>
        <w:t xml:space="preserve"> for women</w:t>
      </w:r>
      <w:r>
        <w:rPr>
          <w:rFonts w:cstheme="minorHAnsi"/>
        </w:rPr>
        <w:t xml:space="preserve"> compared to men,</w:t>
      </w:r>
      <w:r w:rsidR="00761610" w:rsidRPr="00AC61D6">
        <w:rPr>
          <w:rFonts w:cstheme="minorHAnsi"/>
        </w:rPr>
        <w:t xml:space="preserve"> </w:t>
      </w:r>
      <w:r w:rsidR="00761610" w:rsidRPr="00015E51">
        <w:rPr>
          <w:rFonts w:cstheme="minorHAnsi"/>
        </w:rPr>
        <w:t>a</w:t>
      </w:r>
      <w:r>
        <w:rPr>
          <w:rFonts w:cstheme="minorHAnsi"/>
        </w:rPr>
        <w:t xml:space="preserve"> </w:t>
      </w:r>
      <w:r w:rsidR="00761610" w:rsidRPr="00015E51">
        <w:rPr>
          <w:rFonts w:cstheme="minorHAnsi"/>
        </w:rPr>
        <w:t>$348 million per week in lost national earnings</w:t>
      </w:r>
      <w:r w:rsidR="00761610" w:rsidRPr="00E93B7E">
        <w:rPr>
          <w:rFonts w:cstheme="minorHAnsi"/>
        </w:rPr>
        <w:t xml:space="preserve"> due to gender discrimination and a $232 million per week in lost national earnings</w:t>
      </w:r>
      <w:r w:rsidR="00761610" w:rsidRPr="00C923F8">
        <w:rPr>
          <w:rFonts w:cstheme="minorHAnsi"/>
        </w:rPr>
        <w:t xml:space="preserve"> due to gender segregation in job type.</w:t>
      </w:r>
      <w:r w:rsidR="00761610" w:rsidRPr="00C923F8">
        <w:rPr>
          <w:rStyle w:val="FootnoteReference"/>
          <w:rFonts w:cstheme="minorHAnsi"/>
        </w:rPr>
        <w:footnoteReference w:id="141"/>
      </w:r>
      <w:r w:rsidR="00761610" w:rsidRPr="00C923F8" w:rsidDel="00321897">
        <w:rPr>
          <w:rFonts w:cstheme="minorHAnsi"/>
        </w:rPr>
        <w:t xml:space="preserve"> </w:t>
      </w:r>
    </w:p>
    <w:p w14:paraId="696D03F9" w14:textId="55967F9A" w:rsidR="004C7766" w:rsidRDefault="00F7720E" w:rsidP="000F6998">
      <w:pPr>
        <w:jc w:val="both"/>
        <w:rPr>
          <w:rFonts w:cstheme="minorHAnsi"/>
        </w:rPr>
      </w:pPr>
      <w:r>
        <w:rPr>
          <w:rFonts w:cstheme="minorHAnsi"/>
        </w:rPr>
        <w:t>These ongoing costs will have long term negative impacts on the Australian economy, government, businesses</w:t>
      </w:r>
      <w:r w:rsidR="00337E05">
        <w:rPr>
          <w:rFonts w:cstheme="minorHAnsi"/>
        </w:rPr>
        <w:t>,</w:t>
      </w:r>
      <w:r>
        <w:rPr>
          <w:rFonts w:cstheme="minorHAnsi"/>
        </w:rPr>
        <w:t xml:space="preserve"> individuals</w:t>
      </w:r>
      <w:r w:rsidR="00337E05">
        <w:rPr>
          <w:rFonts w:cstheme="minorHAnsi"/>
        </w:rPr>
        <w:t xml:space="preserve"> and society</w:t>
      </w:r>
      <w:r>
        <w:rPr>
          <w:rFonts w:cstheme="minorHAnsi"/>
        </w:rPr>
        <w:t>. Therefore, this option is not recommended.</w:t>
      </w:r>
    </w:p>
    <w:p w14:paraId="163E4F63" w14:textId="6C4500C5" w:rsidR="00D8390E" w:rsidRDefault="00D8390E" w:rsidP="000F6998">
      <w:pPr>
        <w:jc w:val="both"/>
        <w:rPr>
          <w:rFonts w:cstheme="minorHAnsi"/>
        </w:rPr>
      </w:pPr>
    </w:p>
    <w:p w14:paraId="2E3B8326" w14:textId="4B8629BD" w:rsidR="00C82C23" w:rsidRDefault="00C82C23" w:rsidP="000F6998">
      <w:pPr>
        <w:jc w:val="both"/>
        <w:rPr>
          <w:rFonts w:cstheme="minorHAnsi"/>
        </w:rPr>
      </w:pPr>
    </w:p>
    <w:p w14:paraId="74FC1637" w14:textId="1779583E" w:rsidR="00C82C23" w:rsidRDefault="00C82C23" w:rsidP="000F6998">
      <w:pPr>
        <w:jc w:val="both"/>
        <w:rPr>
          <w:rFonts w:cstheme="minorHAnsi"/>
        </w:rPr>
      </w:pPr>
    </w:p>
    <w:p w14:paraId="253AF6D3" w14:textId="617F0CAF" w:rsidR="00C82C23" w:rsidRDefault="00C82C23" w:rsidP="000F6998">
      <w:pPr>
        <w:jc w:val="both"/>
        <w:rPr>
          <w:rFonts w:cstheme="minorHAnsi"/>
        </w:rPr>
      </w:pPr>
    </w:p>
    <w:p w14:paraId="62167B1A" w14:textId="32384599" w:rsidR="00C82C23" w:rsidRDefault="00C82C23" w:rsidP="000F6998">
      <w:pPr>
        <w:jc w:val="both"/>
        <w:rPr>
          <w:rFonts w:cstheme="minorHAnsi"/>
        </w:rPr>
      </w:pPr>
    </w:p>
    <w:p w14:paraId="33D2D86C" w14:textId="15C1053A" w:rsidR="00C82C23" w:rsidRDefault="00C82C23" w:rsidP="000F6998">
      <w:pPr>
        <w:jc w:val="both"/>
        <w:rPr>
          <w:rFonts w:cstheme="minorHAnsi"/>
        </w:rPr>
      </w:pPr>
    </w:p>
    <w:p w14:paraId="28F2438F" w14:textId="33D804BA" w:rsidR="00C82C23" w:rsidRDefault="00C82C23" w:rsidP="000F6998">
      <w:pPr>
        <w:jc w:val="both"/>
        <w:rPr>
          <w:rFonts w:cstheme="minorHAnsi"/>
        </w:rPr>
      </w:pPr>
    </w:p>
    <w:p w14:paraId="013A2F10" w14:textId="17F1597C" w:rsidR="00C82C23" w:rsidRDefault="00C82C23" w:rsidP="000F6998">
      <w:pPr>
        <w:jc w:val="both"/>
        <w:rPr>
          <w:rFonts w:cstheme="minorHAnsi"/>
        </w:rPr>
      </w:pPr>
    </w:p>
    <w:p w14:paraId="2102B1D5" w14:textId="0CB8F5EF" w:rsidR="00C82C23" w:rsidRDefault="00C82C23" w:rsidP="000F6998">
      <w:pPr>
        <w:jc w:val="both"/>
        <w:rPr>
          <w:rFonts w:cstheme="minorHAnsi"/>
        </w:rPr>
      </w:pPr>
    </w:p>
    <w:p w14:paraId="2EBF9809" w14:textId="25C23FE7" w:rsidR="00C82C23" w:rsidRDefault="00C82C23" w:rsidP="000F6998">
      <w:pPr>
        <w:jc w:val="both"/>
        <w:rPr>
          <w:rFonts w:cstheme="minorHAnsi"/>
        </w:rPr>
      </w:pPr>
    </w:p>
    <w:p w14:paraId="281A4362" w14:textId="53351C67" w:rsidR="00C82C23" w:rsidRDefault="00C82C23" w:rsidP="000F6998">
      <w:pPr>
        <w:jc w:val="both"/>
        <w:rPr>
          <w:rFonts w:cstheme="minorHAnsi"/>
        </w:rPr>
      </w:pPr>
    </w:p>
    <w:p w14:paraId="378F71F6" w14:textId="0058A110" w:rsidR="00C82C23" w:rsidRDefault="00C82C23" w:rsidP="000F6998">
      <w:pPr>
        <w:jc w:val="both"/>
        <w:rPr>
          <w:rFonts w:cstheme="minorHAnsi"/>
        </w:rPr>
      </w:pPr>
    </w:p>
    <w:p w14:paraId="757768DE" w14:textId="555B670C" w:rsidR="00C82C23" w:rsidRDefault="00C82C23" w:rsidP="000F6998">
      <w:pPr>
        <w:jc w:val="both"/>
        <w:rPr>
          <w:rFonts w:cstheme="minorHAnsi"/>
        </w:rPr>
      </w:pPr>
    </w:p>
    <w:p w14:paraId="2E8D2727" w14:textId="10175DF0" w:rsidR="001B5B12" w:rsidRDefault="001B5B12" w:rsidP="000F6998">
      <w:pPr>
        <w:jc w:val="both"/>
        <w:rPr>
          <w:rFonts w:cstheme="minorHAnsi"/>
        </w:rPr>
      </w:pPr>
    </w:p>
    <w:p w14:paraId="6B7B81BF" w14:textId="3BB2E21A" w:rsidR="001B5B12" w:rsidRDefault="001B5B12" w:rsidP="000F6998">
      <w:pPr>
        <w:jc w:val="both"/>
        <w:rPr>
          <w:rFonts w:cstheme="minorHAnsi"/>
        </w:rPr>
      </w:pPr>
    </w:p>
    <w:p w14:paraId="5898E246" w14:textId="77777777" w:rsidR="001B5B12" w:rsidRPr="003F264A" w:rsidRDefault="001B5B12" w:rsidP="000F6998">
      <w:pPr>
        <w:jc w:val="both"/>
        <w:rPr>
          <w:rFonts w:cstheme="minorHAnsi"/>
        </w:rPr>
      </w:pPr>
    </w:p>
    <w:p w14:paraId="3616C848" w14:textId="30762D9C" w:rsidR="008E5A12" w:rsidRPr="00146267" w:rsidRDefault="00CB1DAC" w:rsidP="00146267">
      <w:pPr>
        <w:pStyle w:val="Heading1"/>
        <w:numPr>
          <w:ilvl w:val="0"/>
          <w:numId w:val="26"/>
        </w:numPr>
        <w:jc w:val="both"/>
        <w:rPr>
          <w:rStyle w:val="Heading1Char"/>
          <w:rFonts w:asciiTheme="minorHAnsi" w:hAnsiTheme="minorHAnsi" w:cstheme="minorHAnsi"/>
          <w:highlight w:val="lightGray"/>
        </w:rPr>
      </w:pPr>
      <w:bookmarkStart w:id="88" w:name="_Toc118794746"/>
      <w:bookmarkStart w:id="89" w:name="_Toc125714722"/>
      <w:r w:rsidRPr="003F264A">
        <w:rPr>
          <w:rStyle w:val="Heading1Char"/>
          <w:rFonts w:asciiTheme="minorHAnsi" w:hAnsiTheme="minorHAnsi" w:cstheme="minorHAnsi"/>
        </w:rPr>
        <w:t>Likely</w:t>
      </w:r>
      <w:r w:rsidR="00C877A3" w:rsidRPr="003F264A">
        <w:rPr>
          <w:rStyle w:val="Heading1Char"/>
          <w:rFonts w:asciiTheme="minorHAnsi" w:hAnsiTheme="minorHAnsi" w:cstheme="minorHAnsi"/>
        </w:rPr>
        <w:t xml:space="preserve"> n</w:t>
      </w:r>
      <w:r w:rsidR="00854261" w:rsidRPr="003F264A">
        <w:rPr>
          <w:rStyle w:val="Heading1Char"/>
          <w:rFonts w:asciiTheme="minorHAnsi" w:hAnsiTheme="minorHAnsi" w:cstheme="minorHAnsi"/>
        </w:rPr>
        <w:t>et benefit of Option 2</w:t>
      </w:r>
      <w:bookmarkEnd w:id="88"/>
      <w:bookmarkEnd w:id="89"/>
      <w:r w:rsidR="00854261" w:rsidRPr="003F264A">
        <w:rPr>
          <w:rStyle w:val="Heading1Char"/>
          <w:rFonts w:asciiTheme="minorHAnsi" w:hAnsiTheme="minorHAnsi" w:cstheme="minorHAnsi"/>
        </w:rPr>
        <w:t xml:space="preserve"> </w:t>
      </w:r>
    </w:p>
    <w:p w14:paraId="73FCA489" w14:textId="136A86B1" w:rsidR="008D7AA1" w:rsidRPr="003F264A" w:rsidRDefault="00B236A2" w:rsidP="000F6998">
      <w:pPr>
        <w:spacing w:before="240"/>
        <w:jc w:val="both"/>
        <w:rPr>
          <w:rFonts w:cstheme="minorHAnsi"/>
        </w:rPr>
      </w:pPr>
      <w:r w:rsidRPr="003F264A">
        <w:rPr>
          <w:rFonts w:cstheme="minorHAnsi"/>
        </w:rPr>
        <w:t xml:space="preserve">Option 2 consists of </w:t>
      </w:r>
      <w:r w:rsidR="008D3C39">
        <w:rPr>
          <w:rFonts w:cstheme="minorHAnsi"/>
        </w:rPr>
        <w:t>implementing</w:t>
      </w:r>
      <w:r w:rsidR="008D3C39" w:rsidRPr="003F264A">
        <w:rPr>
          <w:rFonts w:cstheme="minorHAnsi"/>
        </w:rPr>
        <w:t xml:space="preserve"> </w:t>
      </w:r>
      <w:r w:rsidR="008D7AA1" w:rsidRPr="003F264A">
        <w:rPr>
          <w:rFonts w:cstheme="minorHAnsi"/>
        </w:rPr>
        <w:t>Recommendation 4 of the Review. This recommendati</w:t>
      </w:r>
      <w:r w:rsidRPr="003F264A">
        <w:rPr>
          <w:rFonts w:cstheme="minorHAnsi"/>
        </w:rPr>
        <w:t>on was made in response to</w:t>
      </w:r>
      <w:r w:rsidR="008D7AA1" w:rsidRPr="003F264A">
        <w:rPr>
          <w:rFonts w:cstheme="minorHAnsi"/>
        </w:rPr>
        <w:t xml:space="preserve"> feedback by stakeholders about the regulatory burden of reporting requirements, specifically drawing attention to certain ‘pain points’. </w:t>
      </w:r>
    </w:p>
    <w:p w14:paraId="3E40FFCD" w14:textId="77777777" w:rsidR="007C4814" w:rsidRPr="003F264A" w:rsidRDefault="00086DDA" w:rsidP="000F6998">
      <w:pPr>
        <w:pStyle w:val="Heading2"/>
        <w:jc w:val="both"/>
        <w:rPr>
          <w:rFonts w:asciiTheme="minorHAnsi" w:hAnsiTheme="minorHAnsi" w:cstheme="minorHAnsi"/>
        </w:rPr>
      </w:pPr>
      <w:bookmarkStart w:id="90" w:name="_Toc118794747"/>
      <w:bookmarkStart w:id="91" w:name="_Toc125714723"/>
      <w:r w:rsidRPr="003F264A">
        <w:rPr>
          <w:rFonts w:asciiTheme="minorHAnsi" w:hAnsiTheme="minorHAnsi" w:cstheme="minorHAnsi"/>
        </w:rPr>
        <w:t>8.1 Overall Impacts</w:t>
      </w:r>
      <w:bookmarkEnd w:id="90"/>
      <w:bookmarkEnd w:id="91"/>
    </w:p>
    <w:p w14:paraId="5EA221D4" w14:textId="5F609D83" w:rsidR="005F2A1F" w:rsidRPr="003F264A" w:rsidRDefault="005F2A1F" w:rsidP="000F6998">
      <w:pPr>
        <w:jc w:val="both"/>
        <w:rPr>
          <w:rFonts w:cstheme="minorHAnsi"/>
        </w:rPr>
      </w:pPr>
      <w:r w:rsidRPr="003F264A">
        <w:rPr>
          <w:rFonts w:cstheme="minorHAnsi"/>
        </w:rPr>
        <w:t>Option 2 reduce</w:t>
      </w:r>
      <w:r w:rsidR="001818A3">
        <w:rPr>
          <w:rFonts w:cstheme="minorHAnsi"/>
        </w:rPr>
        <w:t>s</w:t>
      </w:r>
      <w:r w:rsidRPr="003F264A">
        <w:rPr>
          <w:rFonts w:cstheme="minorHAnsi"/>
        </w:rPr>
        <w:t xml:space="preserve"> the reporting burden on relevant employers through changes to the WGE Act and its related instruments without implementing any broader changes to the dataset or relevant employers’ duties. Option 2 allow</w:t>
      </w:r>
      <w:r w:rsidR="001818A3">
        <w:rPr>
          <w:rFonts w:cstheme="minorHAnsi"/>
        </w:rPr>
        <w:t>s</w:t>
      </w:r>
      <w:r w:rsidRPr="003F264A">
        <w:rPr>
          <w:rFonts w:cstheme="minorHAnsi"/>
        </w:rPr>
        <w:t xml:space="preserve"> for a more streamlined data collection process, thereby </w:t>
      </w:r>
      <w:r w:rsidR="00337E05">
        <w:rPr>
          <w:rFonts w:cstheme="minorHAnsi"/>
        </w:rPr>
        <w:t>reducing</w:t>
      </w:r>
      <w:r w:rsidR="00337E05" w:rsidRPr="003F264A">
        <w:rPr>
          <w:rFonts w:cstheme="minorHAnsi"/>
        </w:rPr>
        <w:t xml:space="preserve"> </w:t>
      </w:r>
      <w:r w:rsidRPr="003F264A">
        <w:rPr>
          <w:rFonts w:cstheme="minorHAnsi"/>
        </w:rPr>
        <w:t xml:space="preserve">the regulatory burden on employers and enhancing the data WGEA </w:t>
      </w:r>
      <w:r w:rsidR="00337E05">
        <w:rPr>
          <w:rFonts w:cstheme="minorHAnsi"/>
        </w:rPr>
        <w:t>collects</w:t>
      </w:r>
      <w:r w:rsidRPr="003F264A">
        <w:rPr>
          <w:rFonts w:cstheme="minorHAnsi"/>
        </w:rPr>
        <w:t>.</w:t>
      </w:r>
    </w:p>
    <w:p w14:paraId="0CF8B15D" w14:textId="77777777" w:rsidR="007C4814" w:rsidRPr="003F264A" w:rsidRDefault="00CB1DAC" w:rsidP="000F6998">
      <w:pPr>
        <w:pStyle w:val="Heading2"/>
        <w:jc w:val="both"/>
        <w:rPr>
          <w:rFonts w:asciiTheme="minorHAnsi" w:hAnsiTheme="minorHAnsi" w:cstheme="minorHAnsi"/>
        </w:rPr>
      </w:pPr>
      <w:bookmarkStart w:id="92" w:name="_Toc118794748"/>
      <w:bookmarkStart w:id="93" w:name="_Toc125714724"/>
      <w:r w:rsidRPr="003F264A">
        <w:rPr>
          <w:rFonts w:asciiTheme="minorHAnsi" w:eastAsia="Calibri Light" w:hAnsiTheme="minorHAnsi" w:cstheme="minorHAnsi"/>
          <w:color w:val="4472C4" w:themeColor="accent5"/>
        </w:rPr>
        <w:t>8.1.1 Individuals</w:t>
      </w:r>
      <w:bookmarkEnd w:id="92"/>
      <w:bookmarkEnd w:id="93"/>
      <w:r w:rsidRPr="003F264A">
        <w:rPr>
          <w:rFonts w:asciiTheme="minorHAnsi" w:eastAsia="Calibri Light" w:hAnsiTheme="minorHAnsi" w:cstheme="minorHAnsi"/>
          <w:color w:val="4472C4" w:themeColor="accent5"/>
        </w:rPr>
        <w:t xml:space="preserve"> </w:t>
      </w:r>
    </w:p>
    <w:p w14:paraId="3BB8ED1D" w14:textId="77777777" w:rsidR="007C4814" w:rsidRPr="003F264A" w:rsidRDefault="00FE4F45" w:rsidP="000F6998">
      <w:pPr>
        <w:spacing w:before="240"/>
        <w:jc w:val="both"/>
        <w:rPr>
          <w:rFonts w:cstheme="minorHAnsi"/>
          <w:b/>
        </w:rPr>
      </w:pPr>
      <w:r w:rsidRPr="003F264A">
        <w:rPr>
          <w:rFonts w:cstheme="minorHAnsi"/>
          <w:b/>
        </w:rPr>
        <w:t>Benefits</w:t>
      </w:r>
    </w:p>
    <w:p w14:paraId="406D5172" w14:textId="52A4727F" w:rsidR="007C4814" w:rsidRPr="003F264A" w:rsidRDefault="00B16E61" w:rsidP="000F6998">
      <w:pPr>
        <w:jc w:val="both"/>
        <w:rPr>
          <w:rFonts w:cstheme="minorHAnsi"/>
        </w:rPr>
      </w:pPr>
      <w:r>
        <w:rPr>
          <w:rFonts w:cstheme="minorHAnsi"/>
        </w:rPr>
        <w:t xml:space="preserve">Option 2 includes all the benefit set out under Option 1 in addition to the benefits obtained through the implementation of Recommendation 4 of the Review. </w:t>
      </w:r>
      <w:r w:rsidR="005E0E92" w:rsidRPr="003F264A">
        <w:rPr>
          <w:rFonts w:cstheme="minorHAnsi"/>
        </w:rPr>
        <w:t>Option 2 involves addressing the regulatory burden that businesses experience under the current system. This</w:t>
      </w:r>
      <w:r w:rsidR="0095314C" w:rsidRPr="003F264A">
        <w:rPr>
          <w:rFonts w:cstheme="minorHAnsi"/>
        </w:rPr>
        <w:t xml:space="preserve"> is</w:t>
      </w:r>
      <w:r w:rsidR="005E0E92" w:rsidRPr="003F264A">
        <w:rPr>
          <w:rFonts w:cstheme="minorHAnsi"/>
        </w:rPr>
        <w:t xml:space="preserve"> part two of the three </w:t>
      </w:r>
      <w:r w:rsidR="00B4759F" w:rsidRPr="003F264A">
        <w:rPr>
          <w:rFonts w:cstheme="minorHAnsi"/>
        </w:rPr>
        <w:t>problems s</w:t>
      </w:r>
      <w:r w:rsidR="007E3D1E" w:rsidRPr="003F264A">
        <w:rPr>
          <w:rFonts w:cstheme="minorHAnsi"/>
        </w:rPr>
        <w:t xml:space="preserve">et out in </w:t>
      </w:r>
      <w:r w:rsidR="00B4759F" w:rsidRPr="003F264A">
        <w:rPr>
          <w:rFonts w:cstheme="minorHAnsi"/>
        </w:rPr>
        <w:t>Chapter 3</w:t>
      </w:r>
      <w:r w:rsidR="005E0E92" w:rsidRPr="003F264A">
        <w:rPr>
          <w:rFonts w:cstheme="minorHAnsi"/>
        </w:rPr>
        <w:t xml:space="preserve">. </w:t>
      </w:r>
      <w:r w:rsidR="00FE5CF6">
        <w:rPr>
          <w:rFonts w:cstheme="minorHAnsi"/>
        </w:rPr>
        <w:t xml:space="preserve">However, in terms of the rate of progress in closing the gender pay gap, </w:t>
      </w:r>
      <w:r w:rsidR="007C4814" w:rsidRPr="003F264A">
        <w:rPr>
          <w:rFonts w:cstheme="minorHAnsi"/>
        </w:rPr>
        <w:t>Option 2 has limited direct benefits for indivi</w:t>
      </w:r>
      <w:r w:rsidR="005E0E92" w:rsidRPr="003F264A">
        <w:rPr>
          <w:rFonts w:cstheme="minorHAnsi"/>
        </w:rPr>
        <w:t xml:space="preserve">duals beyond the status quo. </w:t>
      </w:r>
      <w:r w:rsidR="007C4814" w:rsidRPr="003F264A">
        <w:rPr>
          <w:rFonts w:cstheme="minorHAnsi"/>
        </w:rPr>
        <w:t xml:space="preserve"> </w:t>
      </w:r>
      <w:r w:rsidR="00FE5CF6">
        <w:rPr>
          <w:rFonts w:cstheme="minorHAnsi"/>
        </w:rPr>
        <w:t>That said, t</w:t>
      </w:r>
      <w:r w:rsidR="009F5677">
        <w:rPr>
          <w:rFonts w:cstheme="minorHAnsi"/>
        </w:rPr>
        <w:t>here m</w:t>
      </w:r>
      <w:r w:rsidR="00FE5CF6">
        <w:rPr>
          <w:rFonts w:cstheme="minorHAnsi"/>
        </w:rPr>
        <w:t>ay be benefit</w:t>
      </w:r>
      <w:r w:rsidR="001636D8">
        <w:rPr>
          <w:rFonts w:cstheme="minorHAnsi"/>
        </w:rPr>
        <w:t>s</w:t>
      </w:r>
      <w:r w:rsidR="00FE5CF6">
        <w:rPr>
          <w:rFonts w:cstheme="minorHAnsi"/>
        </w:rPr>
        <w:t xml:space="preserve"> </w:t>
      </w:r>
      <w:r w:rsidR="001636D8">
        <w:rPr>
          <w:rFonts w:cstheme="minorHAnsi"/>
        </w:rPr>
        <w:t xml:space="preserve">realised </w:t>
      </w:r>
      <w:r w:rsidR="00791626">
        <w:rPr>
          <w:rFonts w:cstheme="minorHAnsi"/>
        </w:rPr>
        <w:t>from</w:t>
      </w:r>
      <w:r w:rsidR="009F5677">
        <w:rPr>
          <w:rFonts w:cstheme="minorHAnsi"/>
        </w:rPr>
        <w:t xml:space="preserve"> increased compliance and reporting accuracy from employers.</w:t>
      </w:r>
    </w:p>
    <w:p w14:paraId="3CDA4912" w14:textId="77777777" w:rsidR="00AF5CF8" w:rsidRPr="003F264A" w:rsidRDefault="005E0E92" w:rsidP="000F6998">
      <w:pPr>
        <w:jc w:val="both"/>
        <w:rPr>
          <w:rFonts w:cstheme="minorHAnsi"/>
        </w:rPr>
      </w:pPr>
      <w:r w:rsidRPr="003F264A">
        <w:rPr>
          <w:rFonts w:cstheme="minorHAnsi"/>
        </w:rPr>
        <w:t>Indirect benefits may</w:t>
      </w:r>
      <w:r w:rsidR="007C4814" w:rsidRPr="003F264A">
        <w:rPr>
          <w:rFonts w:cstheme="minorHAnsi"/>
        </w:rPr>
        <w:t xml:space="preserve"> include employees</w:t>
      </w:r>
      <w:r w:rsidR="00CB1DAC" w:rsidRPr="003F264A">
        <w:rPr>
          <w:rFonts w:cstheme="minorHAnsi"/>
        </w:rPr>
        <w:t xml:space="preserve"> benefit</w:t>
      </w:r>
      <w:r w:rsidR="007C4814" w:rsidRPr="003F264A">
        <w:rPr>
          <w:rFonts w:cstheme="minorHAnsi"/>
        </w:rPr>
        <w:t>ing</w:t>
      </w:r>
      <w:r w:rsidR="00CB1DAC" w:rsidRPr="003F264A">
        <w:rPr>
          <w:rFonts w:cstheme="minorHAnsi"/>
        </w:rPr>
        <w:t xml:space="preserve"> from</w:t>
      </w:r>
      <w:r w:rsidRPr="003F264A">
        <w:rPr>
          <w:rFonts w:cstheme="minorHAnsi"/>
        </w:rPr>
        <w:t xml:space="preserve"> companies receiving time back as a result of decreased reporting requirements. The extra time may result in some companies having extra resources to devote to company specific gender equality strategies and policies. However, this is not guaranteed and would depend on the company’s priorities.</w:t>
      </w:r>
    </w:p>
    <w:p w14:paraId="1D321C65" w14:textId="77777777" w:rsidR="007C4814" w:rsidRPr="003F264A" w:rsidRDefault="00AF5CF8" w:rsidP="000F6998">
      <w:pPr>
        <w:jc w:val="both"/>
        <w:rPr>
          <w:rFonts w:cstheme="minorHAnsi"/>
        </w:rPr>
      </w:pPr>
      <w:r w:rsidRPr="003F264A">
        <w:rPr>
          <w:rFonts w:cstheme="minorHAnsi"/>
        </w:rPr>
        <w:t xml:space="preserve">There are no additional social benefits to individuals under Option 2. </w:t>
      </w:r>
      <w:r w:rsidR="00FE4F45" w:rsidRPr="003F264A">
        <w:rPr>
          <w:rFonts w:cstheme="minorHAnsi"/>
        </w:rPr>
        <w:t xml:space="preserve"> </w:t>
      </w:r>
    </w:p>
    <w:p w14:paraId="267814E7" w14:textId="77777777" w:rsidR="007C4814" w:rsidRPr="003F264A" w:rsidRDefault="00FE4F45" w:rsidP="000F6998">
      <w:pPr>
        <w:jc w:val="both"/>
        <w:rPr>
          <w:rFonts w:cstheme="minorHAnsi"/>
          <w:b/>
        </w:rPr>
      </w:pPr>
      <w:r w:rsidRPr="003F264A">
        <w:rPr>
          <w:rFonts w:cstheme="minorHAnsi"/>
          <w:b/>
        </w:rPr>
        <w:t>Costs</w:t>
      </w:r>
    </w:p>
    <w:p w14:paraId="67C69CF6" w14:textId="77777777" w:rsidR="007C4814" w:rsidRPr="003F264A" w:rsidRDefault="00CC17B6" w:rsidP="000F6998">
      <w:pPr>
        <w:jc w:val="both"/>
        <w:rPr>
          <w:rFonts w:cstheme="minorHAnsi"/>
        </w:rPr>
      </w:pPr>
      <w:r w:rsidRPr="003F264A">
        <w:rPr>
          <w:rFonts w:cstheme="minorHAnsi"/>
        </w:rPr>
        <w:t>Option 2 is not likely to have any additional negative</w:t>
      </w:r>
      <w:r w:rsidR="00B61E0B" w:rsidRPr="003F264A">
        <w:rPr>
          <w:rFonts w:cstheme="minorHAnsi"/>
        </w:rPr>
        <w:t xml:space="preserve"> costs</w:t>
      </w:r>
      <w:r w:rsidRPr="003F264A">
        <w:rPr>
          <w:rFonts w:cstheme="minorHAnsi"/>
        </w:rPr>
        <w:t xml:space="preserve"> beyond the status quo. </w:t>
      </w:r>
    </w:p>
    <w:p w14:paraId="4980684D" w14:textId="77777777" w:rsidR="00410E7B" w:rsidRPr="003F264A" w:rsidRDefault="00CB1DAC" w:rsidP="000F6998">
      <w:pPr>
        <w:pStyle w:val="Heading2"/>
        <w:jc w:val="both"/>
        <w:rPr>
          <w:rFonts w:asciiTheme="minorHAnsi" w:eastAsia="Calibri Light" w:hAnsiTheme="minorHAnsi" w:cstheme="minorHAnsi"/>
          <w:color w:val="4472C4" w:themeColor="accent5"/>
        </w:rPr>
      </w:pPr>
      <w:bookmarkStart w:id="94" w:name="_Toc118794749"/>
      <w:bookmarkStart w:id="95" w:name="_Toc125714725"/>
      <w:r w:rsidRPr="003F264A">
        <w:rPr>
          <w:rFonts w:asciiTheme="minorHAnsi" w:eastAsia="Calibri Light" w:hAnsiTheme="minorHAnsi" w:cstheme="minorHAnsi"/>
          <w:color w:val="4472C4" w:themeColor="accent5"/>
        </w:rPr>
        <w:t xml:space="preserve">8.1.2 Medium </w:t>
      </w:r>
      <w:r w:rsidR="00410E7B" w:rsidRPr="003F264A">
        <w:rPr>
          <w:rFonts w:asciiTheme="minorHAnsi" w:eastAsia="Calibri Light" w:hAnsiTheme="minorHAnsi" w:cstheme="minorHAnsi"/>
          <w:color w:val="4472C4" w:themeColor="accent5"/>
        </w:rPr>
        <w:t xml:space="preserve">and Large </w:t>
      </w:r>
      <w:r w:rsidRPr="003F264A">
        <w:rPr>
          <w:rFonts w:asciiTheme="minorHAnsi" w:eastAsia="Calibri Light" w:hAnsiTheme="minorHAnsi" w:cstheme="minorHAnsi"/>
          <w:color w:val="4472C4" w:themeColor="accent5"/>
        </w:rPr>
        <w:t>Businesses (and Community Organisations)</w:t>
      </w:r>
      <w:bookmarkEnd w:id="94"/>
      <w:bookmarkEnd w:id="95"/>
    </w:p>
    <w:p w14:paraId="5E2E3121" w14:textId="77777777" w:rsidR="00CC17B6" w:rsidRPr="003F264A" w:rsidRDefault="00410E7B" w:rsidP="000F6998">
      <w:pPr>
        <w:spacing w:before="240"/>
        <w:jc w:val="both"/>
        <w:rPr>
          <w:rFonts w:cstheme="minorHAnsi"/>
          <w:b/>
        </w:rPr>
      </w:pPr>
      <w:r w:rsidRPr="003F264A">
        <w:rPr>
          <w:rFonts w:cstheme="minorHAnsi"/>
          <w:b/>
        </w:rPr>
        <w:t>Benefit</w:t>
      </w:r>
    </w:p>
    <w:p w14:paraId="2D1FB30E" w14:textId="76394FFA" w:rsidR="00CD0D37" w:rsidRPr="003F264A" w:rsidRDefault="008D7AA1" w:rsidP="000F6998">
      <w:pPr>
        <w:jc w:val="both"/>
        <w:rPr>
          <w:rFonts w:cstheme="minorHAnsi"/>
        </w:rPr>
      </w:pPr>
      <w:r w:rsidRPr="003F264A">
        <w:rPr>
          <w:rFonts w:cstheme="minorHAnsi"/>
        </w:rPr>
        <w:t>Med</w:t>
      </w:r>
      <w:r w:rsidR="00B236A2" w:rsidRPr="003F264A">
        <w:rPr>
          <w:rFonts w:cstheme="minorHAnsi"/>
        </w:rPr>
        <w:t xml:space="preserve">ium and large businesses </w:t>
      </w:r>
      <w:r w:rsidR="00CD0D37" w:rsidRPr="003F264A">
        <w:rPr>
          <w:rFonts w:cstheme="minorHAnsi"/>
        </w:rPr>
        <w:t>will benefit</w:t>
      </w:r>
      <w:r w:rsidR="00B236A2" w:rsidRPr="003F264A">
        <w:rPr>
          <w:rFonts w:cstheme="minorHAnsi"/>
        </w:rPr>
        <w:t xml:space="preserve"> from</w:t>
      </w:r>
      <w:r w:rsidRPr="003F264A">
        <w:rPr>
          <w:rFonts w:cstheme="minorHAnsi"/>
        </w:rPr>
        <w:t xml:space="preserve"> </w:t>
      </w:r>
      <w:r w:rsidR="00CD0D37" w:rsidRPr="003F264A">
        <w:rPr>
          <w:rFonts w:cstheme="minorHAnsi"/>
        </w:rPr>
        <w:t xml:space="preserve">a reduced reporting burden under Option 2. </w:t>
      </w:r>
      <w:r w:rsidR="003E2AC4" w:rsidRPr="003F264A">
        <w:rPr>
          <w:rFonts w:cstheme="minorHAnsi"/>
        </w:rPr>
        <w:t xml:space="preserve">A key theme </w:t>
      </w:r>
      <w:r w:rsidR="004D5404" w:rsidRPr="003F264A">
        <w:rPr>
          <w:rFonts w:cstheme="minorHAnsi"/>
        </w:rPr>
        <w:t>from the</w:t>
      </w:r>
      <w:r w:rsidR="003E2AC4" w:rsidRPr="003F264A">
        <w:rPr>
          <w:rFonts w:cstheme="minorHAnsi"/>
        </w:rPr>
        <w:t xml:space="preserve"> consultation conducted to inform the Review was the existence of certain reporting questions that were time</w:t>
      </w:r>
      <w:r w:rsidR="001636D8">
        <w:rPr>
          <w:rFonts w:cstheme="minorHAnsi"/>
        </w:rPr>
        <w:t>-</w:t>
      </w:r>
      <w:r w:rsidR="003E2AC4" w:rsidRPr="003F264A">
        <w:rPr>
          <w:rFonts w:cstheme="minorHAnsi"/>
        </w:rPr>
        <w:t xml:space="preserve">intensive and required manual programming from reporting contacts. </w:t>
      </w:r>
    </w:p>
    <w:p w14:paraId="3424E16D" w14:textId="77777777" w:rsidR="00B61E0B" w:rsidRPr="003F264A" w:rsidRDefault="008D7AA1" w:rsidP="000F6998">
      <w:pPr>
        <w:jc w:val="both"/>
        <w:rPr>
          <w:rFonts w:cstheme="minorHAnsi"/>
        </w:rPr>
      </w:pPr>
      <w:r w:rsidRPr="003F264A">
        <w:rPr>
          <w:rFonts w:cstheme="minorHAnsi"/>
        </w:rPr>
        <w:t>Option 2</w:t>
      </w:r>
      <w:r w:rsidR="00B61E0B" w:rsidRPr="003F264A">
        <w:rPr>
          <w:rFonts w:cstheme="minorHAnsi"/>
        </w:rPr>
        <w:t xml:space="preserve"> addresses three key ‘pain points’ identified in consultation for the Review. </w:t>
      </w:r>
      <w:r w:rsidR="00B236A2" w:rsidRPr="003F264A">
        <w:rPr>
          <w:rFonts w:cstheme="minorHAnsi"/>
        </w:rPr>
        <w:t>With less regulation,</w:t>
      </w:r>
      <w:r w:rsidR="004404A7" w:rsidRPr="003F264A">
        <w:rPr>
          <w:rFonts w:cstheme="minorHAnsi"/>
        </w:rPr>
        <w:t xml:space="preserve"> businesses </w:t>
      </w:r>
      <w:r w:rsidR="00B236A2" w:rsidRPr="003F264A">
        <w:rPr>
          <w:rFonts w:cstheme="minorHAnsi"/>
        </w:rPr>
        <w:t xml:space="preserve">will be able to dedicate time and resources </w:t>
      </w:r>
      <w:r w:rsidR="004404A7" w:rsidRPr="003F264A">
        <w:rPr>
          <w:rFonts w:cstheme="minorHAnsi"/>
          <w:color w:val="000000"/>
        </w:rPr>
        <w:t>to invest, create jobs and grow the economy.</w:t>
      </w:r>
    </w:p>
    <w:p w14:paraId="05E8D510" w14:textId="02F8A5B3" w:rsidR="00B61E0B" w:rsidRPr="003F264A" w:rsidRDefault="00B61E0B" w:rsidP="000F6998">
      <w:pPr>
        <w:jc w:val="both"/>
        <w:rPr>
          <w:rFonts w:cstheme="minorHAnsi"/>
        </w:rPr>
      </w:pPr>
      <w:r w:rsidRPr="003F264A">
        <w:rPr>
          <w:rFonts w:cstheme="minorHAnsi"/>
        </w:rPr>
        <w:t xml:space="preserve">Medium businesses are more likely to have employees who undertake a wider range of roles and responsibilities than those in large businesses. With extra time freed up, these employees </w:t>
      </w:r>
      <w:r w:rsidR="00B236A2" w:rsidRPr="003F264A">
        <w:rPr>
          <w:rFonts w:cstheme="minorHAnsi"/>
        </w:rPr>
        <w:t>may</w:t>
      </w:r>
      <w:r w:rsidRPr="003F264A">
        <w:rPr>
          <w:rFonts w:cstheme="minorHAnsi"/>
        </w:rPr>
        <w:t xml:space="preserve"> have more time to spend on other core businesses functions. </w:t>
      </w:r>
    </w:p>
    <w:p w14:paraId="50427EB5" w14:textId="0A0C2036" w:rsidR="00B61E0B" w:rsidRPr="003F264A" w:rsidRDefault="00B61E0B" w:rsidP="000F6998">
      <w:pPr>
        <w:jc w:val="both"/>
        <w:rPr>
          <w:rFonts w:cstheme="minorHAnsi"/>
        </w:rPr>
      </w:pPr>
      <w:r w:rsidRPr="003F264A">
        <w:rPr>
          <w:rFonts w:cstheme="minorHAnsi"/>
        </w:rPr>
        <w:t>Large businesses are more likely to have specific HR roles that are more focused on WGEA reporting and other HR functions. Option 2 may allow these employees the time to think more deeply about company</w:t>
      </w:r>
      <w:r w:rsidR="001636D8">
        <w:rPr>
          <w:rFonts w:cstheme="minorHAnsi"/>
        </w:rPr>
        <w:t>-</w:t>
      </w:r>
      <w:r w:rsidR="00B236A2" w:rsidRPr="003F264A">
        <w:rPr>
          <w:rFonts w:cstheme="minorHAnsi"/>
        </w:rPr>
        <w:t xml:space="preserve">specific gender equality issues and </w:t>
      </w:r>
      <w:r w:rsidR="001636D8">
        <w:rPr>
          <w:rFonts w:cstheme="minorHAnsi"/>
        </w:rPr>
        <w:t xml:space="preserve">workplace policy </w:t>
      </w:r>
      <w:r w:rsidR="00B236A2" w:rsidRPr="003F264A">
        <w:rPr>
          <w:rFonts w:cstheme="minorHAnsi"/>
        </w:rPr>
        <w:t>solutions.</w:t>
      </w:r>
      <w:r w:rsidRPr="003F264A">
        <w:rPr>
          <w:rFonts w:cstheme="minorHAnsi"/>
        </w:rPr>
        <w:t xml:space="preserve"> </w:t>
      </w:r>
    </w:p>
    <w:p w14:paraId="2203D2ED" w14:textId="77777777" w:rsidR="00B61E0B" w:rsidRPr="003F264A" w:rsidRDefault="00B61E0B" w:rsidP="000F6998">
      <w:pPr>
        <w:jc w:val="both"/>
        <w:rPr>
          <w:rFonts w:cstheme="minorHAnsi"/>
        </w:rPr>
      </w:pPr>
      <w:r w:rsidRPr="003F264A">
        <w:rPr>
          <w:rFonts w:cstheme="minorHAnsi"/>
        </w:rPr>
        <w:t>The exact regulatory saving under Option 2, when compared with Option 1, is set out below in the Regulatory Costs section</w:t>
      </w:r>
      <w:r w:rsidR="006A6B75" w:rsidRPr="003F264A">
        <w:rPr>
          <w:rFonts w:cstheme="minorHAnsi"/>
        </w:rPr>
        <w:t xml:space="preserve"> below</w:t>
      </w:r>
      <w:r w:rsidRPr="003F264A">
        <w:rPr>
          <w:rFonts w:cstheme="minorHAnsi"/>
        </w:rPr>
        <w:t xml:space="preserve">. </w:t>
      </w:r>
    </w:p>
    <w:p w14:paraId="07BF9A87" w14:textId="77777777" w:rsidR="00CC17B6" w:rsidRPr="003F264A" w:rsidRDefault="00BD6CEB" w:rsidP="000F6998">
      <w:pPr>
        <w:jc w:val="both"/>
        <w:rPr>
          <w:rFonts w:cstheme="minorHAnsi"/>
          <w:b/>
        </w:rPr>
      </w:pPr>
      <w:r w:rsidRPr="003F264A">
        <w:rPr>
          <w:rFonts w:cstheme="minorHAnsi"/>
          <w:b/>
        </w:rPr>
        <w:t>Costs</w:t>
      </w:r>
    </w:p>
    <w:p w14:paraId="5C97EB02" w14:textId="77777777" w:rsidR="00153B13" w:rsidRPr="003F264A" w:rsidRDefault="00EC7143" w:rsidP="000F6998">
      <w:pPr>
        <w:jc w:val="both"/>
        <w:rPr>
          <w:rFonts w:cstheme="minorHAnsi"/>
        </w:rPr>
      </w:pPr>
      <w:r w:rsidRPr="003F264A">
        <w:rPr>
          <w:rFonts w:cstheme="minorHAnsi"/>
        </w:rPr>
        <w:t xml:space="preserve">There are no additional costs beyond the status quo under Option 2. </w:t>
      </w:r>
    </w:p>
    <w:p w14:paraId="4B1F8DE2" w14:textId="77777777" w:rsidR="00DD6F94" w:rsidRPr="003F264A" w:rsidRDefault="00CB1DAC" w:rsidP="000F6998">
      <w:pPr>
        <w:pStyle w:val="Heading2"/>
        <w:jc w:val="both"/>
        <w:rPr>
          <w:rFonts w:asciiTheme="minorHAnsi" w:hAnsiTheme="minorHAnsi" w:cstheme="minorHAnsi"/>
        </w:rPr>
      </w:pPr>
      <w:bookmarkStart w:id="96" w:name="_Toc118794750"/>
      <w:bookmarkStart w:id="97" w:name="_Toc125714726"/>
      <w:r w:rsidRPr="003F264A">
        <w:rPr>
          <w:rFonts w:asciiTheme="minorHAnsi" w:hAnsiTheme="minorHAnsi" w:cstheme="minorHAnsi"/>
        </w:rPr>
        <w:t>8.1.</w:t>
      </w:r>
      <w:r w:rsidR="00885038" w:rsidRPr="003F264A">
        <w:rPr>
          <w:rFonts w:asciiTheme="minorHAnsi" w:hAnsiTheme="minorHAnsi" w:cstheme="minorHAnsi"/>
        </w:rPr>
        <w:t>3</w:t>
      </w:r>
      <w:r w:rsidRPr="003F264A">
        <w:rPr>
          <w:rFonts w:asciiTheme="minorHAnsi" w:hAnsiTheme="minorHAnsi" w:cstheme="minorHAnsi"/>
        </w:rPr>
        <w:t xml:space="preserve"> Government</w:t>
      </w:r>
      <w:bookmarkEnd w:id="96"/>
      <w:bookmarkEnd w:id="97"/>
      <w:r w:rsidRPr="003F264A">
        <w:rPr>
          <w:rFonts w:asciiTheme="minorHAnsi" w:hAnsiTheme="minorHAnsi" w:cstheme="minorHAnsi"/>
        </w:rPr>
        <w:t xml:space="preserve"> </w:t>
      </w:r>
    </w:p>
    <w:p w14:paraId="1492EEFF" w14:textId="77777777" w:rsidR="004404A7" w:rsidRPr="003F264A" w:rsidRDefault="004404A7" w:rsidP="000F6998">
      <w:pPr>
        <w:spacing w:before="240"/>
        <w:jc w:val="both"/>
        <w:rPr>
          <w:rFonts w:cstheme="minorHAnsi"/>
          <w:b/>
        </w:rPr>
      </w:pPr>
      <w:r w:rsidRPr="003F264A">
        <w:rPr>
          <w:rFonts w:cstheme="minorHAnsi"/>
          <w:b/>
        </w:rPr>
        <w:t>Benefits</w:t>
      </w:r>
    </w:p>
    <w:p w14:paraId="63E76295" w14:textId="77777777" w:rsidR="00826682" w:rsidRPr="003F264A" w:rsidRDefault="00826682" w:rsidP="000F6998">
      <w:pPr>
        <w:jc w:val="both"/>
        <w:rPr>
          <w:rFonts w:cstheme="minorHAnsi"/>
        </w:rPr>
      </w:pPr>
      <w:r w:rsidRPr="003F264A">
        <w:rPr>
          <w:rFonts w:cstheme="minorHAnsi"/>
        </w:rPr>
        <w:t xml:space="preserve">Option 2 </w:t>
      </w:r>
      <w:r w:rsidR="00DD6F94" w:rsidRPr="003F264A">
        <w:rPr>
          <w:rFonts w:cstheme="minorHAnsi"/>
        </w:rPr>
        <w:t xml:space="preserve">is focused on reducing the reporting burden for businesses resulting in second round benefits for Government. </w:t>
      </w:r>
      <w:r w:rsidRPr="003F264A">
        <w:rPr>
          <w:rFonts w:cstheme="minorHAnsi"/>
        </w:rPr>
        <w:t xml:space="preserve"> </w:t>
      </w:r>
    </w:p>
    <w:p w14:paraId="3EBDE5F1" w14:textId="153E5D05" w:rsidR="00053A89" w:rsidRPr="003F264A" w:rsidRDefault="00053A89" w:rsidP="000F6998">
      <w:pPr>
        <w:jc w:val="both"/>
        <w:rPr>
          <w:rFonts w:cstheme="minorHAnsi"/>
        </w:rPr>
      </w:pPr>
      <w:r w:rsidRPr="003F264A">
        <w:rPr>
          <w:rFonts w:cstheme="minorHAnsi"/>
        </w:rPr>
        <w:t>With less reporting burden, businesses may have more time to focus on other functions</w:t>
      </w:r>
      <w:r w:rsidR="001636D8">
        <w:rPr>
          <w:rFonts w:cstheme="minorHAnsi"/>
        </w:rPr>
        <w:t>.</w:t>
      </w:r>
      <w:r w:rsidRPr="003F264A">
        <w:rPr>
          <w:rFonts w:cstheme="minorHAnsi"/>
        </w:rPr>
        <w:t xml:space="preserve"> </w:t>
      </w:r>
      <w:r w:rsidR="00553206">
        <w:rPr>
          <w:rFonts w:cstheme="minorHAnsi"/>
        </w:rPr>
        <w:t>This could</w:t>
      </w:r>
      <w:r w:rsidRPr="003F264A">
        <w:rPr>
          <w:rFonts w:cstheme="minorHAnsi"/>
        </w:rPr>
        <w:t xml:space="preserve"> </w:t>
      </w:r>
      <w:r w:rsidR="00B82B12" w:rsidRPr="003F264A">
        <w:rPr>
          <w:rFonts w:cstheme="minorHAnsi"/>
        </w:rPr>
        <w:t>result</w:t>
      </w:r>
      <w:r w:rsidRPr="003F264A">
        <w:rPr>
          <w:rFonts w:cstheme="minorHAnsi"/>
        </w:rPr>
        <w:t xml:space="preserve"> in increased</w:t>
      </w:r>
      <w:r w:rsidR="009A0091" w:rsidRPr="003F264A">
        <w:rPr>
          <w:rFonts w:cstheme="minorHAnsi"/>
        </w:rPr>
        <w:t xml:space="preserve"> productivity</w:t>
      </w:r>
      <w:r w:rsidR="00B82B12" w:rsidRPr="003F264A">
        <w:rPr>
          <w:rFonts w:cstheme="minorHAnsi"/>
        </w:rPr>
        <w:t xml:space="preserve"> or profits</w:t>
      </w:r>
      <w:r w:rsidR="009A0091" w:rsidRPr="003F264A">
        <w:rPr>
          <w:rFonts w:cstheme="minorHAnsi"/>
        </w:rPr>
        <w:t xml:space="preserve">. Ensuring a healthy economy is a key Government priority. When businesses are succeeding, that is good for the economy and good for Government. </w:t>
      </w:r>
      <w:r w:rsidR="008B72B3">
        <w:rPr>
          <w:rFonts w:cstheme="minorHAnsi"/>
        </w:rPr>
        <w:t>A reduced reporting burden could also make room for larger governmental reforms to progress gender equality.</w:t>
      </w:r>
    </w:p>
    <w:p w14:paraId="162B130A" w14:textId="4E6A4A00" w:rsidR="00801619" w:rsidRPr="003F264A" w:rsidRDefault="005A547A" w:rsidP="000F6998">
      <w:pPr>
        <w:jc w:val="both"/>
        <w:rPr>
          <w:rFonts w:cstheme="minorHAnsi"/>
        </w:rPr>
      </w:pPr>
      <w:r>
        <w:rPr>
          <w:rFonts w:cstheme="minorHAnsi"/>
        </w:rPr>
        <w:t xml:space="preserve">An increased burden on employers </w:t>
      </w:r>
      <w:r w:rsidR="00801619" w:rsidRPr="003F264A">
        <w:rPr>
          <w:rFonts w:cstheme="minorHAnsi"/>
        </w:rPr>
        <w:t>can</w:t>
      </w:r>
      <w:r w:rsidR="003F0776" w:rsidRPr="003F264A">
        <w:rPr>
          <w:rFonts w:cstheme="minorHAnsi"/>
        </w:rPr>
        <w:t xml:space="preserve"> result in increased error </w:t>
      </w:r>
      <w:r>
        <w:rPr>
          <w:rFonts w:cstheme="minorHAnsi"/>
        </w:rPr>
        <w:t>in</w:t>
      </w:r>
      <w:r w:rsidR="003F0776" w:rsidRPr="003F264A">
        <w:rPr>
          <w:rFonts w:cstheme="minorHAnsi"/>
        </w:rPr>
        <w:t xml:space="preserve"> reporting</w:t>
      </w:r>
      <w:r>
        <w:rPr>
          <w:rFonts w:cstheme="minorHAnsi"/>
        </w:rPr>
        <w:t xml:space="preserve"> because</w:t>
      </w:r>
      <w:r w:rsidR="003F0776" w:rsidRPr="003F264A">
        <w:rPr>
          <w:rFonts w:cstheme="minorHAnsi"/>
        </w:rPr>
        <w:t xml:space="preserve"> </w:t>
      </w:r>
      <w:r w:rsidR="005538D4" w:rsidRPr="003F264A">
        <w:rPr>
          <w:rFonts w:cstheme="minorHAnsi"/>
        </w:rPr>
        <w:t>manual data inputs</w:t>
      </w:r>
      <w:r w:rsidR="003F0776" w:rsidRPr="003F264A">
        <w:rPr>
          <w:rFonts w:cstheme="minorHAnsi"/>
        </w:rPr>
        <w:t xml:space="preserve"> </w:t>
      </w:r>
      <w:r w:rsidR="00801619" w:rsidRPr="003F264A">
        <w:rPr>
          <w:rFonts w:cstheme="minorHAnsi"/>
        </w:rPr>
        <w:t>are more likely to result in human error. By simplifying data collection for businesses, WGEA</w:t>
      </w:r>
      <w:r w:rsidR="00553206">
        <w:rPr>
          <w:rFonts w:cstheme="minorHAnsi"/>
        </w:rPr>
        <w:t xml:space="preserve"> </w:t>
      </w:r>
      <w:r w:rsidR="001636D8">
        <w:rPr>
          <w:rFonts w:cstheme="minorHAnsi"/>
        </w:rPr>
        <w:t>will</w:t>
      </w:r>
      <w:r w:rsidR="00801619" w:rsidRPr="003F264A">
        <w:rPr>
          <w:rFonts w:cstheme="minorHAnsi"/>
        </w:rPr>
        <w:t xml:space="preserve"> receive more accurate data. Accurate data </w:t>
      </w:r>
      <w:r w:rsidR="005538D4" w:rsidRPr="003F264A">
        <w:rPr>
          <w:rFonts w:cstheme="minorHAnsi"/>
        </w:rPr>
        <w:t xml:space="preserve">will strengthen the integrity of data and by extension the policy it informs. </w:t>
      </w:r>
    </w:p>
    <w:p w14:paraId="0D861ADC" w14:textId="77777777" w:rsidR="004404A7" w:rsidRPr="003F264A" w:rsidRDefault="004404A7" w:rsidP="000F6998">
      <w:pPr>
        <w:jc w:val="both"/>
        <w:rPr>
          <w:rFonts w:cstheme="minorHAnsi"/>
          <w:b/>
        </w:rPr>
      </w:pPr>
      <w:r w:rsidRPr="003F264A">
        <w:rPr>
          <w:rFonts w:cstheme="minorHAnsi"/>
          <w:b/>
        </w:rPr>
        <w:t>Costs</w:t>
      </w:r>
    </w:p>
    <w:p w14:paraId="6CC1348C" w14:textId="77777777" w:rsidR="00CB1DAC" w:rsidRPr="003F264A" w:rsidRDefault="00CC7AB4" w:rsidP="000F6998">
      <w:pPr>
        <w:jc w:val="both"/>
        <w:rPr>
          <w:rFonts w:cstheme="minorHAnsi"/>
        </w:rPr>
      </w:pPr>
      <w:r w:rsidRPr="003F264A">
        <w:rPr>
          <w:rFonts w:cstheme="minorHAnsi"/>
        </w:rPr>
        <w:t xml:space="preserve">There are no additional costs beyond the status quo </w:t>
      </w:r>
      <w:r w:rsidR="00CF24C0" w:rsidRPr="003F264A">
        <w:rPr>
          <w:rFonts w:cstheme="minorHAnsi"/>
        </w:rPr>
        <w:t xml:space="preserve">as set out </w:t>
      </w:r>
      <w:r w:rsidRPr="003F264A">
        <w:rPr>
          <w:rFonts w:cstheme="minorHAnsi"/>
        </w:rPr>
        <w:t xml:space="preserve">under Option 2. </w:t>
      </w:r>
    </w:p>
    <w:p w14:paraId="4B09DBC4" w14:textId="77777777" w:rsidR="00F541F5" w:rsidRPr="003F264A" w:rsidRDefault="00220FD3" w:rsidP="000F6998">
      <w:pPr>
        <w:pStyle w:val="Heading2"/>
        <w:jc w:val="both"/>
        <w:rPr>
          <w:rFonts w:asciiTheme="minorHAnsi" w:hAnsiTheme="minorHAnsi" w:cstheme="minorHAnsi"/>
        </w:rPr>
      </w:pPr>
      <w:bookmarkStart w:id="98" w:name="_Toc118794751"/>
      <w:bookmarkStart w:id="99" w:name="_Toc125714727"/>
      <w:r w:rsidRPr="003F264A">
        <w:rPr>
          <w:rFonts w:asciiTheme="minorHAnsi" w:hAnsiTheme="minorHAnsi" w:cstheme="minorHAnsi"/>
        </w:rPr>
        <w:t>8.</w:t>
      </w:r>
      <w:r w:rsidR="00885038" w:rsidRPr="003F264A">
        <w:rPr>
          <w:rFonts w:asciiTheme="minorHAnsi" w:hAnsiTheme="minorHAnsi" w:cstheme="minorHAnsi"/>
        </w:rPr>
        <w:t>4</w:t>
      </w:r>
      <w:r w:rsidRPr="003F264A">
        <w:rPr>
          <w:rFonts w:asciiTheme="minorHAnsi" w:hAnsiTheme="minorHAnsi" w:cstheme="minorHAnsi"/>
        </w:rPr>
        <w:t xml:space="preserve"> </w:t>
      </w:r>
      <w:r w:rsidR="008E5A12" w:rsidRPr="003F264A">
        <w:rPr>
          <w:rFonts w:asciiTheme="minorHAnsi" w:hAnsiTheme="minorHAnsi" w:cstheme="minorHAnsi"/>
        </w:rPr>
        <w:t>Estimated regulatory costs</w:t>
      </w:r>
      <w:bookmarkEnd w:id="98"/>
      <w:bookmarkEnd w:id="99"/>
    </w:p>
    <w:p w14:paraId="5440C040" w14:textId="77777777" w:rsidR="00F541F5" w:rsidRPr="003F264A" w:rsidRDefault="00F541F5" w:rsidP="000F6998">
      <w:pPr>
        <w:spacing w:before="240"/>
        <w:jc w:val="both"/>
        <w:rPr>
          <w:rFonts w:cstheme="minorHAnsi"/>
        </w:rPr>
      </w:pPr>
      <w:r w:rsidRPr="003F264A">
        <w:rPr>
          <w:rFonts w:cstheme="minorHAnsi"/>
        </w:rPr>
        <w:t xml:space="preserve">The regulatory cost for Option 2 is the estimated regulatory costs reduction experienced by impacted employers – compared to business as usual – due to a more streamlined data collection process by WGEA. </w:t>
      </w:r>
    </w:p>
    <w:p w14:paraId="531C2D1E" w14:textId="353A5398" w:rsidR="005E367E" w:rsidRPr="003F264A" w:rsidRDefault="005E367E" w:rsidP="000F6998">
      <w:pPr>
        <w:spacing w:line="257" w:lineRule="auto"/>
        <w:jc w:val="both"/>
        <w:rPr>
          <w:rFonts w:eastAsia="Calibri" w:cstheme="minorHAnsi"/>
        </w:rPr>
      </w:pPr>
      <w:r w:rsidRPr="003F264A">
        <w:rPr>
          <w:rFonts w:eastAsia="Calibri" w:cstheme="minorHAnsi"/>
        </w:rPr>
        <w:t xml:space="preserve">The regulatory cost is calculated based on time and labour costs to undertake </w:t>
      </w:r>
      <w:r w:rsidR="001636D8">
        <w:rPr>
          <w:rFonts w:eastAsia="Calibri" w:cstheme="minorHAnsi"/>
        </w:rPr>
        <w:t xml:space="preserve">the </w:t>
      </w:r>
      <w:r w:rsidRPr="003F264A">
        <w:rPr>
          <w:rFonts w:eastAsia="Calibri" w:cstheme="minorHAnsi"/>
        </w:rPr>
        <w:t xml:space="preserve">required reporting activities. This </w:t>
      </w:r>
      <w:r w:rsidR="004D5404" w:rsidRPr="003F264A">
        <w:rPr>
          <w:rFonts w:eastAsia="Calibri" w:cstheme="minorHAnsi"/>
        </w:rPr>
        <w:t>estimate</w:t>
      </w:r>
      <w:r w:rsidRPr="003F264A">
        <w:rPr>
          <w:rFonts w:eastAsia="Calibri" w:cstheme="minorHAnsi"/>
        </w:rPr>
        <w:t xml:space="preserve"> has been developed in accordance with the Australian Government’s Regulatory Burden Measurement Framework, and relies on a range of assumptions described</w:t>
      </w:r>
      <w:r w:rsidR="00C33433" w:rsidRPr="003F264A">
        <w:rPr>
          <w:rFonts w:eastAsia="Calibri" w:cstheme="minorHAnsi"/>
        </w:rPr>
        <w:t xml:space="preserve"> in further detail in Appendix </w:t>
      </w:r>
      <w:r w:rsidR="0089667D">
        <w:rPr>
          <w:rFonts w:eastAsia="Calibri" w:cstheme="minorHAnsi"/>
        </w:rPr>
        <w:t>E</w:t>
      </w:r>
      <w:r w:rsidRPr="003F264A">
        <w:rPr>
          <w:rFonts w:eastAsia="Calibri" w:cstheme="minorHAnsi"/>
        </w:rPr>
        <w:t xml:space="preserve">. </w:t>
      </w:r>
    </w:p>
    <w:p w14:paraId="7AFBB7E1" w14:textId="67EF3239" w:rsidR="00050A95" w:rsidRDefault="005E367E" w:rsidP="000F6998">
      <w:pPr>
        <w:spacing w:line="257" w:lineRule="auto"/>
        <w:jc w:val="both"/>
        <w:rPr>
          <w:rFonts w:eastAsia="Calibri" w:cstheme="minorHAnsi"/>
        </w:rPr>
      </w:pPr>
      <w:r w:rsidRPr="003F264A">
        <w:rPr>
          <w:rFonts w:eastAsia="Calibri" w:cstheme="minorHAnsi"/>
        </w:rPr>
        <w:t>The reductions in the regulatory costs are mainly driven by removing the need for employers to manually calculate the annualised full-time equivalent earnings for each employee who has not worked full-time for the full reporting year.</w:t>
      </w:r>
    </w:p>
    <w:p w14:paraId="5E66A3F9" w14:textId="3E625093" w:rsidR="00FF17A1" w:rsidRPr="00FF17A1" w:rsidRDefault="00FF17A1" w:rsidP="000F6998">
      <w:pPr>
        <w:spacing w:line="257" w:lineRule="auto"/>
        <w:jc w:val="both"/>
        <w:rPr>
          <w:rFonts w:eastAsia="Calibri" w:cstheme="minorHAnsi"/>
          <w:b/>
        </w:rPr>
      </w:pPr>
      <w:r w:rsidRPr="00FF17A1">
        <w:rPr>
          <w:rFonts w:eastAsia="Calibri" w:cstheme="minorHAnsi"/>
          <w:b/>
        </w:rPr>
        <w:t>Option 2: Reducing regulatory burden (i.e. implementing Rec. 4 of the WGEA Review)</w:t>
      </w:r>
    </w:p>
    <w:tbl>
      <w:tblPr>
        <w:tblStyle w:val="GridTable5Dark-Accent5"/>
        <w:tblW w:w="0" w:type="auto"/>
        <w:tblLook w:val="04A0" w:firstRow="1" w:lastRow="0" w:firstColumn="1" w:lastColumn="0" w:noHBand="0" w:noVBand="1"/>
      </w:tblPr>
      <w:tblGrid>
        <w:gridCol w:w="2960"/>
        <w:gridCol w:w="2620"/>
        <w:gridCol w:w="3100"/>
      </w:tblGrid>
      <w:tr w:rsidR="00FF17A1" w:rsidRPr="00FF17A1" w14:paraId="3C539FDE" w14:textId="77777777" w:rsidTr="00FF17A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488CED55" w14:textId="77777777" w:rsidR="00FF17A1" w:rsidRPr="00FF17A1" w:rsidRDefault="00FF17A1" w:rsidP="000F6998">
            <w:pPr>
              <w:spacing w:line="257" w:lineRule="auto"/>
              <w:jc w:val="both"/>
              <w:rPr>
                <w:rFonts w:eastAsia="Calibri" w:cstheme="minorHAnsi"/>
              </w:rPr>
            </w:pPr>
          </w:p>
        </w:tc>
        <w:tc>
          <w:tcPr>
            <w:tcW w:w="2620" w:type="dxa"/>
            <w:noWrap/>
            <w:hideMark/>
          </w:tcPr>
          <w:p w14:paraId="6179A514" w14:textId="77777777" w:rsidR="00FF17A1" w:rsidRPr="00FF17A1" w:rsidRDefault="00FF17A1" w:rsidP="000F6998">
            <w:pPr>
              <w:spacing w:line="257"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rPr>
            </w:pPr>
            <w:r w:rsidRPr="00FF17A1">
              <w:rPr>
                <w:rFonts w:eastAsia="Calibri" w:cstheme="minorHAnsi"/>
              </w:rPr>
              <w:t>Initial Year (Year 1)</w:t>
            </w:r>
          </w:p>
        </w:tc>
        <w:tc>
          <w:tcPr>
            <w:tcW w:w="3100" w:type="dxa"/>
            <w:noWrap/>
            <w:hideMark/>
          </w:tcPr>
          <w:p w14:paraId="12BEC9E2" w14:textId="77777777" w:rsidR="00FF17A1" w:rsidRPr="00FF17A1" w:rsidRDefault="00FF17A1" w:rsidP="000F6998">
            <w:pPr>
              <w:spacing w:line="257"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rPr>
            </w:pPr>
            <w:r w:rsidRPr="00FF17A1">
              <w:rPr>
                <w:rFonts w:eastAsia="Calibri" w:cstheme="minorHAnsi"/>
              </w:rPr>
              <w:t>Subsequent years (Year 2 to 10)</w:t>
            </w:r>
          </w:p>
        </w:tc>
      </w:tr>
      <w:tr w:rsidR="00FF17A1" w:rsidRPr="00FF17A1" w14:paraId="3492FB27" w14:textId="77777777" w:rsidTr="00FF17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6F28ED66" w14:textId="77777777" w:rsidR="00FF17A1" w:rsidRPr="00FF17A1" w:rsidRDefault="00FF17A1" w:rsidP="000F6998">
            <w:pPr>
              <w:spacing w:line="257" w:lineRule="auto"/>
              <w:jc w:val="both"/>
              <w:rPr>
                <w:rFonts w:eastAsia="Calibri" w:cstheme="minorHAnsi"/>
              </w:rPr>
            </w:pPr>
            <w:r w:rsidRPr="00FF17A1">
              <w:rPr>
                <w:rFonts w:eastAsia="Calibri" w:cstheme="minorHAnsi"/>
              </w:rPr>
              <w:t>New Medium employers</w:t>
            </w:r>
          </w:p>
        </w:tc>
        <w:tc>
          <w:tcPr>
            <w:tcW w:w="2620" w:type="dxa"/>
            <w:noWrap/>
            <w:hideMark/>
          </w:tcPr>
          <w:p w14:paraId="10285586" w14:textId="77777777" w:rsidR="00FF17A1" w:rsidRPr="00FF17A1" w:rsidRDefault="00FF17A1" w:rsidP="000F6998">
            <w:pPr>
              <w:spacing w:line="257"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FF17A1">
              <w:rPr>
                <w:rFonts w:eastAsia="Calibri" w:cstheme="minorHAnsi"/>
              </w:rPr>
              <w:t>-3.5 hours per annum</w:t>
            </w:r>
          </w:p>
        </w:tc>
        <w:tc>
          <w:tcPr>
            <w:tcW w:w="3100" w:type="dxa"/>
            <w:noWrap/>
            <w:hideMark/>
          </w:tcPr>
          <w:p w14:paraId="7665A5B5" w14:textId="77777777" w:rsidR="00FF17A1" w:rsidRPr="00FF17A1" w:rsidRDefault="00FF17A1" w:rsidP="000F6998">
            <w:pPr>
              <w:spacing w:line="257"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FF17A1">
              <w:rPr>
                <w:rFonts w:eastAsia="Calibri" w:cstheme="minorHAnsi"/>
              </w:rPr>
              <w:t>n.a.</w:t>
            </w:r>
          </w:p>
        </w:tc>
      </w:tr>
      <w:tr w:rsidR="00FF17A1" w:rsidRPr="00FF17A1" w14:paraId="4082E957" w14:textId="77777777" w:rsidTr="00FF17A1">
        <w:trPr>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05B9DE50" w14:textId="77777777" w:rsidR="00FF17A1" w:rsidRPr="00FF17A1" w:rsidRDefault="00FF17A1" w:rsidP="000F6998">
            <w:pPr>
              <w:spacing w:line="257" w:lineRule="auto"/>
              <w:jc w:val="both"/>
              <w:rPr>
                <w:rFonts w:eastAsia="Calibri" w:cstheme="minorHAnsi"/>
              </w:rPr>
            </w:pPr>
            <w:r w:rsidRPr="00FF17A1">
              <w:rPr>
                <w:rFonts w:eastAsia="Calibri" w:cstheme="minorHAnsi"/>
              </w:rPr>
              <w:t>Existing medium employers</w:t>
            </w:r>
          </w:p>
        </w:tc>
        <w:tc>
          <w:tcPr>
            <w:tcW w:w="2620" w:type="dxa"/>
            <w:noWrap/>
            <w:hideMark/>
          </w:tcPr>
          <w:p w14:paraId="4692600E" w14:textId="77777777" w:rsidR="00FF17A1" w:rsidRPr="00FF17A1" w:rsidRDefault="00FF17A1" w:rsidP="000F6998">
            <w:pPr>
              <w:spacing w:line="257"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FF17A1">
              <w:rPr>
                <w:rFonts w:eastAsia="Calibri" w:cstheme="minorHAnsi"/>
              </w:rPr>
              <w:t>-3.5 hours per annum</w:t>
            </w:r>
          </w:p>
        </w:tc>
        <w:tc>
          <w:tcPr>
            <w:tcW w:w="3100" w:type="dxa"/>
            <w:noWrap/>
            <w:hideMark/>
          </w:tcPr>
          <w:p w14:paraId="787BCD61" w14:textId="77777777" w:rsidR="00FF17A1" w:rsidRPr="00FF17A1" w:rsidRDefault="00FF17A1" w:rsidP="000F6998">
            <w:pPr>
              <w:spacing w:line="257"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FF17A1">
              <w:rPr>
                <w:rFonts w:eastAsia="Calibri" w:cstheme="minorHAnsi"/>
              </w:rPr>
              <w:t>-3.5 hours per annum</w:t>
            </w:r>
          </w:p>
        </w:tc>
      </w:tr>
      <w:tr w:rsidR="00FF17A1" w:rsidRPr="00FF17A1" w14:paraId="7370AF27" w14:textId="77777777" w:rsidTr="00FF17A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793E860B" w14:textId="77777777" w:rsidR="00FF17A1" w:rsidRPr="00FF17A1" w:rsidRDefault="00FF17A1" w:rsidP="000F6998">
            <w:pPr>
              <w:spacing w:line="257" w:lineRule="auto"/>
              <w:jc w:val="both"/>
              <w:rPr>
                <w:rFonts w:eastAsia="Calibri" w:cstheme="minorHAnsi"/>
              </w:rPr>
            </w:pPr>
            <w:r w:rsidRPr="00FF17A1">
              <w:rPr>
                <w:rFonts w:eastAsia="Calibri" w:cstheme="minorHAnsi"/>
              </w:rPr>
              <w:t>Existing large employers</w:t>
            </w:r>
          </w:p>
        </w:tc>
        <w:tc>
          <w:tcPr>
            <w:tcW w:w="2620" w:type="dxa"/>
            <w:noWrap/>
            <w:hideMark/>
          </w:tcPr>
          <w:p w14:paraId="6EA95339" w14:textId="77777777" w:rsidR="00FF17A1" w:rsidRPr="00FF17A1" w:rsidRDefault="00FF17A1" w:rsidP="000F6998">
            <w:pPr>
              <w:spacing w:line="257"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FF17A1">
              <w:rPr>
                <w:rFonts w:eastAsia="Calibri" w:cstheme="minorHAnsi"/>
              </w:rPr>
              <w:t>-6 hours per annum</w:t>
            </w:r>
          </w:p>
        </w:tc>
        <w:tc>
          <w:tcPr>
            <w:tcW w:w="3100" w:type="dxa"/>
            <w:noWrap/>
            <w:hideMark/>
          </w:tcPr>
          <w:p w14:paraId="70EA9C07" w14:textId="77777777" w:rsidR="00FF17A1" w:rsidRPr="00FF17A1" w:rsidRDefault="00FF17A1" w:rsidP="000F6998">
            <w:pPr>
              <w:spacing w:line="257"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FF17A1">
              <w:rPr>
                <w:rFonts w:eastAsia="Calibri" w:cstheme="minorHAnsi"/>
              </w:rPr>
              <w:t>-6 hours per annum</w:t>
            </w:r>
          </w:p>
        </w:tc>
      </w:tr>
    </w:tbl>
    <w:p w14:paraId="52A63FF9" w14:textId="4EEB10B5" w:rsidR="00FF17A1" w:rsidRDefault="00FF17A1" w:rsidP="000F6998">
      <w:pPr>
        <w:spacing w:line="257" w:lineRule="auto"/>
        <w:jc w:val="both"/>
        <w:rPr>
          <w:rFonts w:eastAsia="Calibri" w:cstheme="minorHAnsi"/>
        </w:rPr>
      </w:pPr>
      <w:r w:rsidRPr="00FF17A1">
        <w:rPr>
          <w:rFonts w:eastAsia="Calibri" w:cstheme="minorHAnsi"/>
        </w:rPr>
        <w:t>Note: Under Option 2, similar reduction in regulatory hours will continue to apply for all years (i.e. from Year 1 to Year 10)</w:t>
      </w:r>
    </w:p>
    <w:p w14:paraId="573C8E4D" w14:textId="51BCCA35" w:rsidR="00E03D20" w:rsidRPr="003F264A" w:rsidRDefault="00E03D20" w:rsidP="000F6998">
      <w:pPr>
        <w:spacing w:line="257" w:lineRule="auto"/>
        <w:jc w:val="both"/>
        <w:rPr>
          <w:rFonts w:eastAsia="Calibri" w:cstheme="minorHAnsi"/>
        </w:rPr>
      </w:pPr>
      <w:r w:rsidRPr="003F264A">
        <w:rPr>
          <w:rFonts w:eastAsia="Calibri" w:cstheme="minorHAnsi"/>
        </w:rPr>
        <w:t xml:space="preserve">The regulatory compliance cost of </w:t>
      </w:r>
      <w:r>
        <w:rPr>
          <w:rFonts w:eastAsia="Calibri" w:cstheme="minorHAnsi"/>
        </w:rPr>
        <w:t>Option 2</w:t>
      </w:r>
      <w:r w:rsidRPr="003F264A">
        <w:rPr>
          <w:rFonts w:eastAsia="Calibri" w:cstheme="minorHAnsi"/>
        </w:rPr>
        <w:t xml:space="preserve"> is estimated to be a </w:t>
      </w:r>
      <w:r w:rsidRPr="003F264A">
        <w:rPr>
          <w:rFonts w:eastAsia="Calibri" w:cstheme="minorHAnsi"/>
          <w:u w:val="single"/>
        </w:rPr>
        <w:t>cost reduction</w:t>
      </w:r>
      <w:r>
        <w:rPr>
          <w:rFonts w:eastAsia="Calibri" w:cstheme="minorHAnsi"/>
          <w:u w:val="single"/>
        </w:rPr>
        <w:t xml:space="preserve"> from the status quo</w:t>
      </w:r>
      <w:r w:rsidRPr="003F264A">
        <w:rPr>
          <w:rFonts w:eastAsia="Calibri" w:cstheme="minorHAnsi"/>
          <w:u w:val="single"/>
        </w:rPr>
        <w:t xml:space="preserve"> </w:t>
      </w:r>
      <w:r w:rsidRPr="003F264A">
        <w:rPr>
          <w:rFonts w:eastAsia="Calibri" w:cstheme="minorHAnsi"/>
        </w:rPr>
        <w:t>of approximately -$2.1 million</w:t>
      </w:r>
      <w:r>
        <w:rPr>
          <w:rFonts w:eastAsia="Calibri" w:cstheme="minorHAnsi"/>
        </w:rPr>
        <w:t xml:space="preserve"> </w:t>
      </w:r>
      <w:r w:rsidR="00CE5668">
        <w:rPr>
          <w:rFonts w:eastAsia="Calibri" w:cstheme="minorHAnsi"/>
        </w:rPr>
        <w:t xml:space="preserve">in average annual terms </w:t>
      </w:r>
      <w:r>
        <w:rPr>
          <w:rFonts w:eastAsia="Calibri" w:cstheme="minorHAnsi"/>
        </w:rPr>
        <w:t>over a 10 year period.</w:t>
      </w:r>
      <w:r w:rsidR="00CE5668">
        <w:rPr>
          <w:rFonts w:eastAsia="Calibri" w:cstheme="minorHAnsi"/>
        </w:rPr>
        <w:t xml:space="preserve"> The </w:t>
      </w:r>
      <w:r w:rsidR="00CE5668" w:rsidRPr="001070B3">
        <w:rPr>
          <w:rFonts w:eastAsia="Calibri" w:cstheme="minorHAnsi"/>
          <w:u w:val="single"/>
        </w:rPr>
        <w:t>level</w:t>
      </w:r>
      <w:r w:rsidR="00CE5668">
        <w:rPr>
          <w:rFonts w:eastAsia="Calibri" w:cstheme="minorHAnsi"/>
        </w:rPr>
        <w:t xml:space="preserve"> of regulatory burden associated with Option 2 is $6.6 million in average annual terms (that is, $2.1 million lower than the status quo).</w:t>
      </w:r>
    </w:p>
    <w:p w14:paraId="492C0CEB" w14:textId="77777777" w:rsidR="00F541F5" w:rsidRPr="003C5639" w:rsidRDefault="005819F9" w:rsidP="000F6998">
      <w:pPr>
        <w:spacing w:line="257" w:lineRule="auto"/>
        <w:jc w:val="both"/>
        <w:rPr>
          <w:rFonts w:eastAsia="Calibri" w:cstheme="minorHAnsi"/>
          <w:b/>
        </w:rPr>
      </w:pPr>
      <w:r w:rsidRPr="003C5639">
        <w:rPr>
          <w:rFonts w:eastAsia="Calibri" w:cstheme="minorHAnsi"/>
          <w:b/>
        </w:rPr>
        <w:t>Table 2</w:t>
      </w:r>
      <w:r w:rsidR="00E03D20">
        <w:rPr>
          <w:rFonts w:eastAsia="Calibri" w:cstheme="minorHAnsi"/>
          <w:b/>
        </w:rPr>
        <w:t xml:space="preserve">: </w:t>
      </w:r>
      <w:r w:rsidR="00E03D20" w:rsidRPr="00E03D20">
        <w:rPr>
          <w:rFonts w:eastAsia="Calibri" w:cstheme="minorHAnsi"/>
          <w:b/>
        </w:rPr>
        <w:t>Option 2 Average annual compliance costs (from business as usual)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912"/>
        <w:gridCol w:w="2075"/>
        <w:gridCol w:w="1601"/>
        <w:gridCol w:w="1601"/>
      </w:tblGrid>
      <w:tr w:rsidR="000E41A2" w:rsidRPr="0047278B" w14:paraId="2ED2D4F2" w14:textId="77777777" w:rsidTr="005F2A1F">
        <w:tc>
          <w:tcPr>
            <w:tcW w:w="1827" w:type="dxa"/>
            <w:shd w:val="clear" w:color="auto" w:fill="DEEAF6" w:themeFill="accent1" w:themeFillTint="33"/>
            <w:vAlign w:val="center"/>
          </w:tcPr>
          <w:p w14:paraId="39F87142" w14:textId="77777777" w:rsidR="000E41A2" w:rsidRPr="003F264A" w:rsidRDefault="000E41A2" w:rsidP="000F6998">
            <w:pPr>
              <w:spacing w:after="120"/>
              <w:jc w:val="both"/>
              <w:rPr>
                <w:rFonts w:cstheme="minorHAnsi"/>
                <w:b/>
                <w:szCs w:val="24"/>
              </w:rPr>
            </w:pPr>
            <w:r w:rsidRPr="003F264A">
              <w:rPr>
                <w:rFonts w:cstheme="minorHAnsi"/>
                <w:b/>
                <w:szCs w:val="24"/>
              </w:rPr>
              <w:t>Costs*</w:t>
            </w:r>
          </w:p>
        </w:tc>
        <w:tc>
          <w:tcPr>
            <w:tcW w:w="1912" w:type="dxa"/>
            <w:shd w:val="clear" w:color="auto" w:fill="DEEAF6" w:themeFill="accent1" w:themeFillTint="33"/>
            <w:vAlign w:val="center"/>
          </w:tcPr>
          <w:p w14:paraId="0B1DBB4F" w14:textId="77777777" w:rsidR="000E41A2" w:rsidRPr="003F264A" w:rsidRDefault="000E41A2" w:rsidP="000F6998">
            <w:pPr>
              <w:spacing w:after="120"/>
              <w:jc w:val="both"/>
              <w:rPr>
                <w:rFonts w:cstheme="minorHAnsi"/>
                <w:b/>
                <w:szCs w:val="24"/>
              </w:rPr>
            </w:pPr>
            <w:r w:rsidRPr="003F264A">
              <w:rPr>
                <w:rFonts w:cstheme="minorHAnsi"/>
                <w:b/>
                <w:szCs w:val="24"/>
              </w:rPr>
              <w:t>Business</w:t>
            </w:r>
          </w:p>
        </w:tc>
        <w:tc>
          <w:tcPr>
            <w:tcW w:w="2075" w:type="dxa"/>
            <w:shd w:val="clear" w:color="auto" w:fill="DEEAF6" w:themeFill="accent1" w:themeFillTint="33"/>
            <w:vAlign w:val="center"/>
          </w:tcPr>
          <w:p w14:paraId="0EA7805F" w14:textId="77777777" w:rsidR="000E41A2" w:rsidRPr="003F264A" w:rsidRDefault="000E41A2" w:rsidP="000F6998">
            <w:pPr>
              <w:spacing w:after="120"/>
              <w:jc w:val="both"/>
              <w:rPr>
                <w:rFonts w:cstheme="minorHAnsi"/>
                <w:b/>
                <w:szCs w:val="24"/>
              </w:rPr>
            </w:pPr>
            <w:r w:rsidRPr="003F264A">
              <w:rPr>
                <w:rFonts w:cstheme="minorHAnsi"/>
                <w:b/>
                <w:szCs w:val="24"/>
              </w:rPr>
              <w:t>Community Organisations</w:t>
            </w:r>
          </w:p>
        </w:tc>
        <w:tc>
          <w:tcPr>
            <w:tcW w:w="1601" w:type="dxa"/>
            <w:shd w:val="clear" w:color="auto" w:fill="DEEAF6" w:themeFill="accent1" w:themeFillTint="33"/>
            <w:vAlign w:val="center"/>
          </w:tcPr>
          <w:p w14:paraId="4AF4789B" w14:textId="77777777" w:rsidR="000E41A2" w:rsidRPr="003F264A" w:rsidRDefault="000E41A2" w:rsidP="000F6998">
            <w:pPr>
              <w:spacing w:after="120"/>
              <w:jc w:val="both"/>
              <w:rPr>
                <w:rFonts w:cstheme="minorHAnsi"/>
                <w:b/>
                <w:szCs w:val="24"/>
              </w:rPr>
            </w:pPr>
            <w:r w:rsidRPr="003F264A">
              <w:rPr>
                <w:rFonts w:cstheme="minorHAnsi"/>
                <w:b/>
                <w:szCs w:val="24"/>
              </w:rPr>
              <w:t>Individuals</w:t>
            </w:r>
          </w:p>
        </w:tc>
        <w:tc>
          <w:tcPr>
            <w:tcW w:w="1601" w:type="dxa"/>
            <w:shd w:val="clear" w:color="auto" w:fill="DEEAF6" w:themeFill="accent1" w:themeFillTint="33"/>
            <w:vAlign w:val="center"/>
          </w:tcPr>
          <w:p w14:paraId="1FC39FB6" w14:textId="77777777" w:rsidR="000E41A2" w:rsidRPr="003F264A" w:rsidRDefault="000E41A2" w:rsidP="000F6998">
            <w:pPr>
              <w:spacing w:after="120"/>
              <w:jc w:val="both"/>
              <w:rPr>
                <w:rFonts w:cstheme="minorHAnsi"/>
                <w:b/>
                <w:szCs w:val="24"/>
              </w:rPr>
            </w:pPr>
            <w:r w:rsidRPr="003F264A">
              <w:rPr>
                <w:rFonts w:cstheme="minorHAnsi"/>
                <w:b/>
                <w:szCs w:val="24"/>
              </w:rPr>
              <w:t>Total Cost</w:t>
            </w:r>
          </w:p>
        </w:tc>
      </w:tr>
      <w:tr w:rsidR="000E41A2" w:rsidRPr="0047278B" w14:paraId="53F2E549" w14:textId="77777777" w:rsidTr="005F2A1F">
        <w:tc>
          <w:tcPr>
            <w:tcW w:w="1827" w:type="dxa"/>
            <w:shd w:val="clear" w:color="auto" w:fill="0070C0"/>
            <w:vAlign w:val="center"/>
          </w:tcPr>
          <w:p w14:paraId="69401ADC" w14:textId="77777777" w:rsidR="000E41A2" w:rsidRPr="003F264A" w:rsidRDefault="000E41A2" w:rsidP="000F6998">
            <w:pPr>
              <w:spacing w:after="120"/>
              <w:jc w:val="both"/>
              <w:rPr>
                <w:rFonts w:cstheme="minorHAnsi"/>
                <w:color w:val="FFFFFF" w:themeColor="background1"/>
                <w:szCs w:val="24"/>
              </w:rPr>
            </w:pPr>
            <w:r w:rsidRPr="003F264A">
              <w:rPr>
                <w:rFonts w:cstheme="minorHAnsi"/>
                <w:color w:val="FFFFFF" w:themeColor="background1"/>
                <w:szCs w:val="24"/>
              </w:rPr>
              <w:t>Regulated entities</w:t>
            </w:r>
          </w:p>
        </w:tc>
        <w:tc>
          <w:tcPr>
            <w:tcW w:w="1912" w:type="dxa"/>
            <w:shd w:val="clear" w:color="auto" w:fill="0070C0"/>
            <w:vAlign w:val="center"/>
          </w:tcPr>
          <w:p w14:paraId="5B5346AF" w14:textId="77777777" w:rsidR="000E41A2" w:rsidRPr="003F264A" w:rsidRDefault="000E41A2" w:rsidP="000F6998">
            <w:pPr>
              <w:spacing w:after="120"/>
              <w:jc w:val="both"/>
              <w:rPr>
                <w:rFonts w:cstheme="minorHAnsi"/>
                <w:color w:val="FFFFFF" w:themeColor="background1"/>
                <w:szCs w:val="24"/>
              </w:rPr>
            </w:pPr>
            <w:r w:rsidRPr="003F264A">
              <w:rPr>
                <w:rFonts w:cstheme="minorHAnsi"/>
                <w:color w:val="FFFFFF" w:themeColor="background1"/>
                <w:szCs w:val="24"/>
              </w:rPr>
              <w:t>-$1,566,209</w:t>
            </w:r>
          </w:p>
        </w:tc>
        <w:tc>
          <w:tcPr>
            <w:tcW w:w="2075" w:type="dxa"/>
            <w:shd w:val="clear" w:color="auto" w:fill="0070C0"/>
            <w:vAlign w:val="center"/>
          </w:tcPr>
          <w:p w14:paraId="24CB7C78" w14:textId="77777777" w:rsidR="000E41A2" w:rsidRPr="003F264A" w:rsidRDefault="000E41A2" w:rsidP="000F6998">
            <w:pPr>
              <w:spacing w:after="120"/>
              <w:jc w:val="both"/>
              <w:rPr>
                <w:rFonts w:cstheme="minorHAnsi"/>
                <w:color w:val="FFFFFF" w:themeColor="background1"/>
                <w:szCs w:val="24"/>
              </w:rPr>
            </w:pPr>
            <w:r w:rsidRPr="003F264A">
              <w:rPr>
                <w:rFonts w:cstheme="minorHAnsi"/>
                <w:color w:val="FFFFFF" w:themeColor="background1"/>
                <w:szCs w:val="24"/>
              </w:rPr>
              <w:t>-$524,986</w:t>
            </w:r>
          </w:p>
        </w:tc>
        <w:tc>
          <w:tcPr>
            <w:tcW w:w="1601" w:type="dxa"/>
            <w:shd w:val="clear" w:color="auto" w:fill="A5A5A5" w:themeFill="accent3"/>
            <w:vAlign w:val="center"/>
          </w:tcPr>
          <w:p w14:paraId="2D72D9B7" w14:textId="77777777" w:rsidR="000E41A2" w:rsidRPr="003F264A" w:rsidRDefault="000E41A2" w:rsidP="000F6998">
            <w:pPr>
              <w:spacing w:after="120"/>
              <w:jc w:val="both"/>
              <w:rPr>
                <w:rFonts w:cstheme="minorHAnsi"/>
                <w:szCs w:val="24"/>
              </w:rPr>
            </w:pPr>
          </w:p>
        </w:tc>
        <w:tc>
          <w:tcPr>
            <w:tcW w:w="1601" w:type="dxa"/>
            <w:shd w:val="clear" w:color="auto" w:fill="0070C0"/>
            <w:vAlign w:val="center"/>
          </w:tcPr>
          <w:p w14:paraId="2A171E51" w14:textId="77777777" w:rsidR="000E41A2" w:rsidRPr="003F264A" w:rsidRDefault="000E41A2" w:rsidP="000F6998">
            <w:pPr>
              <w:spacing w:after="120"/>
              <w:jc w:val="both"/>
              <w:rPr>
                <w:rFonts w:cstheme="minorHAnsi"/>
                <w:szCs w:val="24"/>
              </w:rPr>
            </w:pPr>
            <w:r w:rsidRPr="003F264A">
              <w:rPr>
                <w:rFonts w:cstheme="minorHAnsi"/>
                <w:color w:val="FFFFFF" w:themeColor="background1"/>
                <w:szCs w:val="24"/>
              </w:rPr>
              <w:t>-$2,091,195</w:t>
            </w:r>
          </w:p>
        </w:tc>
      </w:tr>
      <w:tr w:rsidR="000E41A2" w:rsidRPr="0047278B" w14:paraId="74B6BE0E" w14:textId="77777777" w:rsidTr="005F2A1F">
        <w:tc>
          <w:tcPr>
            <w:tcW w:w="1827" w:type="dxa"/>
            <w:shd w:val="clear" w:color="auto" w:fill="525252" w:themeFill="accent3" w:themeFillShade="80"/>
            <w:vAlign w:val="center"/>
          </w:tcPr>
          <w:p w14:paraId="285315E3" w14:textId="77777777" w:rsidR="000E41A2" w:rsidRPr="003F264A" w:rsidRDefault="000E41A2" w:rsidP="000F6998">
            <w:pPr>
              <w:spacing w:before="120" w:after="120"/>
              <w:jc w:val="both"/>
              <w:rPr>
                <w:rFonts w:cstheme="minorHAnsi"/>
                <w:color w:val="FFFFFF" w:themeColor="background1"/>
                <w:szCs w:val="24"/>
              </w:rPr>
            </w:pPr>
            <w:r w:rsidRPr="003F264A">
              <w:rPr>
                <w:rFonts w:cstheme="minorHAnsi"/>
                <w:color w:val="FFFFFF" w:themeColor="background1"/>
                <w:szCs w:val="24"/>
              </w:rPr>
              <w:t>Total by sector</w:t>
            </w:r>
          </w:p>
        </w:tc>
        <w:tc>
          <w:tcPr>
            <w:tcW w:w="1912" w:type="dxa"/>
            <w:shd w:val="clear" w:color="auto" w:fill="525252" w:themeFill="accent3" w:themeFillShade="80"/>
            <w:vAlign w:val="center"/>
          </w:tcPr>
          <w:p w14:paraId="167B5C51" w14:textId="77777777" w:rsidR="000E41A2" w:rsidRPr="003F264A" w:rsidRDefault="000E41A2" w:rsidP="000F6998">
            <w:pPr>
              <w:spacing w:before="120" w:after="120"/>
              <w:jc w:val="both"/>
              <w:rPr>
                <w:rFonts w:cstheme="minorHAnsi"/>
                <w:color w:val="FFFFFF" w:themeColor="background1"/>
                <w:szCs w:val="24"/>
              </w:rPr>
            </w:pPr>
            <w:r w:rsidRPr="003F264A">
              <w:rPr>
                <w:rFonts w:cstheme="minorHAnsi"/>
                <w:color w:val="FFFFFF" w:themeColor="background1"/>
                <w:szCs w:val="24"/>
              </w:rPr>
              <w:t>-$1,566,209</w:t>
            </w:r>
          </w:p>
        </w:tc>
        <w:tc>
          <w:tcPr>
            <w:tcW w:w="2075" w:type="dxa"/>
            <w:shd w:val="clear" w:color="auto" w:fill="525252" w:themeFill="accent3" w:themeFillShade="80"/>
            <w:vAlign w:val="center"/>
          </w:tcPr>
          <w:p w14:paraId="15914168" w14:textId="77777777" w:rsidR="000E41A2" w:rsidRPr="003F264A" w:rsidRDefault="000E41A2" w:rsidP="000F6998">
            <w:pPr>
              <w:spacing w:before="120" w:after="120"/>
              <w:jc w:val="both"/>
              <w:rPr>
                <w:rFonts w:cstheme="minorHAnsi"/>
                <w:color w:val="FFFFFF" w:themeColor="background1"/>
                <w:szCs w:val="24"/>
              </w:rPr>
            </w:pPr>
            <w:r w:rsidRPr="003F264A">
              <w:rPr>
                <w:rFonts w:cstheme="minorHAnsi"/>
                <w:color w:val="FFFFFF" w:themeColor="background1"/>
                <w:szCs w:val="24"/>
              </w:rPr>
              <w:t>-$524,986</w:t>
            </w:r>
          </w:p>
        </w:tc>
        <w:tc>
          <w:tcPr>
            <w:tcW w:w="1601" w:type="dxa"/>
            <w:shd w:val="clear" w:color="auto" w:fill="525252" w:themeFill="accent3" w:themeFillShade="80"/>
            <w:vAlign w:val="center"/>
          </w:tcPr>
          <w:p w14:paraId="0086EC2E" w14:textId="77777777" w:rsidR="000E41A2" w:rsidRPr="003F264A" w:rsidRDefault="000E41A2" w:rsidP="000F6998">
            <w:pPr>
              <w:spacing w:before="120" w:after="120"/>
              <w:jc w:val="both"/>
              <w:rPr>
                <w:rFonts w:cstheme="minorHAnsi"/>
                <w:color w:val="FFFFFF" w:themeColor="background1"/>
                <w:szCs w:val="24"/>
              </w:rPr>
            </w:pPr>
            <w:r w:rsidRPr="003F264A">
              <w:rPr>
                <w:rFonts w:cstheme="minorHAnsi"/>
                <w:color w:val="FFFFFF" w:themeColor="background1"/>
                <w:szCs w:val="24"/>
              </w:rPr>
              <w:t>N/A</w:t>
            </w:r>
          </w:p>
        </w:tc>
        <w:tc>
          <w:tcPr>
            <w:tcW w:w="1601" w:type="dxa"/>
            <w:shd w:val="clear" w:color="auto" w:fill="525252" w:themeFill="accent3" w:themeFillShade="80"/>
            <w:vAlign w:val="center"/>
          </w:tcPr>
          <w:p w14:paraId="531F596E" w14:textId="77777777" w:rsidR="000E41A2" w:rsidRPr="003F264A" w:rsidRDefault="000E41A2" w:rsidP="000F6998">
            <w:pPr>
              <w:spacing w:before="120" w:after="120"/>
              <w:jc w:val="both"/>
              <w:rPr>
                <w:rFonts w:cstheme="minorHAnsi"/>
                <w:color w:val="FFFFFF" w:themeColor="background1"/>
                <w:szCs w:val="24"/>
              </w:rPr>
            </w:pPr>
            <w:r w:rsidRPr="003F264A">
              <w:rPr>
                <w:rFonts w:cstheme="minorHAnsi"/>
                <w:color w:val="FFFFFF" w:themeColor="background1"/>
                <w:szCs w:val="24"/>
              </w:rPr>
              <w:t>-$2,091,195</w:t>
            </w:r>
          </w:p>
        </w:tc>
      </w:tr>
    </w:tbl>
    <w:p w14:paraId="21A61660" w14:textId="77777777" w:rsidR="000E41A2" w:rsidRPr="006064C3" w:rsidRDefault="000E41A2" w:rsidP="000F6998">
      <w:pPr>
        <w:jc w:val="both"/>
        <w:rPr>
          <w:rFonts w:cstheme="minorHAnsi"/>
          <w:sz w:val="20"/>
        </w:rPr>
      </w:pPr>
      <w:r w:rsidRPr="006064C3">
        <w:rPr>
          <w:rFonts w:cstheme="minorHAnsi"/>
          <w:b/>
          <w:sz w:val="20"/>
        </w:rPr>
        <w:t xml:space="preserve">* Costs </w:t>
      </w:r>
      <w:r w:rsidRPr="006064C3">
        <w:rPr>
          <w:rFonts w:cstheme="minorHAnsi"/>
          <w:sz w:val="20"/>
        </w:rPr>
        <w:t xml:space="preserve">are average annualised regulatory compliance </w:t>
      </w:r>
      <w:r w:rsidRPr="006064C3">
        <w:rPr>
          <w:rFonts w:cstheme="minorHAnsi"/>
          <w:b/>
          <w:sz w:val="20"/>
        </w:rPr>
        <w:t>cost reduction from the baseline</w:t>
      </w:r>
      <w:r w:rsidRPr="006064C3">
        <w:rPr>
          <w:rFonts w:cstheme="minorHAnsi"/>
          <w:sz w:val="20"/>
        </w:rPr>
        <w:t xml:space="preserve"> (or business-as-usual scenario presented in Option 1) calculated over the 10-years of regulation required by the </w:t>
      </w:r>
      <w:hyperlink r:id="rId23" w:history="1">
        <w:r w:rsidRPr="006064C3">
          <w:rPr>
            <w:rStyle w:val="Hyperlink"/>
            <w:rFonts w:cstheme="minorHAnsi"/>
            <w:sz w:val="20"/>
          </w:rPr>
          <w:t>Regulatory Burden Measurement Framework</w:t>
        </w:r>
      </w:hyperlink>
      <w:r w:rsidRPr="006064C3">
        <w:rPr>
          <w:rFonts w:cstheme="minorHAnsi"/>
          <w:sz w:val="20"/>
        </w:rPr>
        <w:t>. The regulatory impact for the initial year of implementation is estimated to be similar to subsequent years.</w:t>
      </w:r>
    </w:p>
    <w:p w14:paraId="7BB51AF1" w14:textId="77777777" w:rsidR="008C1F46" w:rsidRPr="006064C3" w:rsidRDefault="000E41A2" w:rsidP="000F6998">
      <w:pPr>
        <w:jc w:val="both"/>
        <w:rPr>
          <w:rFonts w:cstheme="minorHAnsi"/>
          <w:sz w:val="28"/>
        </w:rPr>
      </w:pPr>
      <w:r w:rsidRPr="006064C3">
        <w:rPr>
          <w:rFonts w:cstheme="minorHAnsi"/>
          <w:sz w:val="20"/>
        </w:rPr>
        <w:t xml:space="preserve">** The costs take into account the impact of regulation on new regulated employers who are required to report to WGEA for the first time and costs for existing employers who already report to WGEA. </w:t>
      </w:r>
    </w:p>
    <w:p w14:paraId="6DD786FC" w14:textId="77777777" w:rsidR="006A6B75" w:rsidRPr="003F264A" w:rsidRDefault="008E5A12" w:rsidP="000F6998">
      <w:pPr>
        <w:pStyle w:val="Heading2"/>
        <w:jc w:val="both"/>
        <w:rPr>
          <w:rFonts w:asciiTheme="minorHAnsi" w:hAnsiTheme="minorHAnsi" w:cstheme="minorHAnsi"/>
        </w:rPr>
      </w:pPr>
      <w:bookmarkStart w:id="100" w:name="_Toc118794752"/>
      <w:bookmarkStart w:id="101" w:name="_Toc125714728"/>
      <w:r w:rsidRPr="003F264A">
        <w:rPr>
          <w:rFonts w:asciiTheme="minorHAnsi" w:hAnsiTheme="minorHAnsi" w:cstheme="minorHAnsi"/>
        </w:rPr>
        <w:t>8.</w:t>
      </w:r>
      <w:r w:rsidR="00885038" w:rsidRPr="003F264A">
        <w:rPr>
          <w:rFonts w:asciiTheme="minorHAnsi" w:hAnsiTheme="minorHAnsi" w:cstheme="minorHAnsi"/>
        </w:rPr>
        <w:t>5</w:t>
      </w:r>
      <w:r w:rsidRPr="003F264A">
        <w:rPr>
          <w:rFonts w:asciiTheme="minorHAnsi" w:hAnsiTheme="minorHAnsi" w:cstheme="minorHAnsi"/>
        </w:rPr>
        <w:t xml:space="preserve"> Overall net </w:t>
      </w:r>
      <w:r w:rsidR="00BE07CC" w:rsidRPr="003F264A">
        <w:rPr>
          <w:rFonts w:asciiTheme="minorHAnsi" w:hAnsiTheme="minorHAnsi" w:cstheme="minorHAnsi"/>
        </w:rPr>
        <w:t>benefit</w:t>
      </w:r>
      <w:bookmarkEnd w:id="100"/>
      <w:bookmarkEnd w:id="101"/>
    </w:p>
    <w:p w14:paraId="00626012" w14:textId="77777777" w:rsidR="006A6B75" w:rsidRPr="003F264A" w:rsidRDefault="00BE07CC" w:rsidP="000F6998">
      <w:pPr>
        <w:spacing w:before="240"/>
        <w:jc w:val="both"/>
        <w:rPr>
          <w:rFonts w:cstheme="minorHAnsi"/>
        </w:rPr>
      </w:pPr>
      <w:r w:rsidRPr="003F264A">
        <w:rPr>
          <w:rFonts w:cstheme="minorHAnsi"/>
        </w:rPr>
        <w:t>The overall net benefit under Option 2 is greater than under Option 1</w:t>
      </w:r>
      <w:r w:rsidR="00331401">
        <w:rPr>
          <w:rFonts w:cstheme="minorHAnsi"/>
        </w:rPr>
        <w:t xml:space="preserve"> due to a reduction in the regulatory costs of $2.1 million.</w:t>
      </w:r>
    </w:p>
    <w:p w14:paraId="590C4304" w14:textId="4854FC89" w:rsidR="00331401" w:rsidRDefault="0094661D" w:rsidP="000F6998">
      <w:pPr>
        <w:jc w:val="both"/>
        <w:rPr>
          <w:rFonts w:cstheme="minorHAnsi"/>
        </w:rPr>
      </w:pPr>
      <w:r w:rsidRPr="003F264A">
        <w:rPr>
          <w:rFonts w:cstheme="minorHAnsi"/>
        </w:rPr>
        <w:t>Option 2</w:t>
      </w:r>
      <w:r w:rsidR="00331401">
        <w:rPr>
          <w:rFonts w:cstheme="minorHAnsi"/>
        </w:rPr>
        <w:t>, however,</w:t>
      </w:r>
      <w:r w:rsidRPr="003F264A">
        <w:rPr>
          <w:rFonts w:cstheme="minorHAnsi"/>
        </w:rPr>
        <w:t xml:space="preserve"> has limited direct benefits for ind</w:t>
      </w:r>
      <w:r w:rsidR="00331401">
        <w:rPr>
          <w:rFonts w:cstheme="minorHAnsi"/>
        </w:rPr>
        <w:t>ividuals beyond the status quo.</w:t>
      </w:r>
      <w:r w:rsidRPr="003F264A">
        <w:rPr>
          <w:rFonts w:cstheme="minorHAnsi"/>
        </w:rPr>
        <w:t xml:space="preserve"> </w:t>
      </w:r>
      <w:r w:rsidR="006F7D9A">
        <w:rPr>
          <w:rFonts w:cstheme="minorHAnsi"/>
        </w:rPr>
        <w:t>However, it is expected that</w:t>
      </w:r>
      <w:r w:rsidR="00331401">
        <w:rPr>
          <w:rFonts w:cstheme="minorHAnsi"/>
        </w:rPr>
        <w:t xml:space="preserve"> t</w:t>
      </w:r>
      <w:r>
        <w:rPr>
          <w:rFonts w:cstheme="minorHAnsi"/>
        </w:rPr>
        <w:t xml:space="preserve">here </w:t>
      </w:r>
      <w:r w:rsidR="006F7D9A">
        <w:rPr>
          <w:rFonts w:cstheme="minorHAnsi"/>
        </w:rPr>
        <w:t xml:space="preserve">will </w:t>
      </w:r>
      <w:r>
        <w:rPr>
          <w:rFonts w:cstheme="minorHAnsi"/>
        </w:rPr>
        <w:t>be increased compliance and reporting accuracy from employers.</w:t>
      </w:r>
      <w:r w:rsidR="00331401">
        <w:rPr>
          <w:rFonts w:cstheme="minorHAnsi"/>
        </w:rPr>
        <w:t xml:space="preserve"> M</w:t>
      </w:r>
      <w:r w:rsidRPr="003F264A">
        <w:rPr>
          <w:rFonts w:cstheme="minorHAnsi"/>
        </w:rPr>
        <w:t>edium and large businesses will benefit from a reduced reporting burden under Option 2</w:t>
      </w:r>
      <w:r w:rsidR="006F7D9A">
        <w:rPr>
          <w:rFonts w:cstheme="minorHAnsi"/>
        </w:rPr>
        <w:t>,</w:t>
      </w:r>
      <w:r w:rsidR="00331401">
        <w:rPr>
          <w:rFonts w:cstheme="minorHAnsi"/>
        </w:rPr>
        <w:t xml:space="preserve"> </w:t>
      </w:r>
      <w:r w:rsidR="006F7D9A">
        <w:rPr>
          <w:rFonts w:cstheme="minorHAnsi"/>
        </w:rPr>
        <w:t xml:space="preserve">however </w:t>
      </w:r>
      <w:r w:rsidR="00331401">
        <w:rPr>
          <w:rFonts w:cstheme="minorHAnsi"/>
        </w:rPr>
        <w:t>the scale of the reduced burden is unlikely to result in a</w:t>
      </w:r>
      <w:r w:rsidR="006F7D9A">
        <w:rPr>
          <w:rFonts w:cstheme="minorHAnsi"/>
        </w:rPr>
        <w:t>n</w:t>
      </w:r>
      <w:r w:rsidR="00331401">
        <w:rPr>
          <w:rFonts w:cstheme="minorHAnsi"/>
        </w:rPr>
        <w:t xml:space="preserve"> uptick in productivity and profits.</w:t>
      </w:r>
    </w:p>
    <w:p w14:paraId="4673DE4D" w14:textId="722C5330" w:rsidR="00B44C75" w:rsidRPr="003F264A" w:rsidRDefault="00331401" w:rsidP="000F6998">
      <w:pPr>
        <w:jc w:val="both"/>
        <w:rPr>
          <w:rFonts w:cstheme="minorHAnsi"/>
        </w:rPr>
      </w:pPr>
      <w:r>
        <w:rPr>
          <w:rFonts w:cstheme="minorHAnsi"/>
        </w:rPr>
        <w:t>The</w:t>
      </w:r>
      <w:r w:rsidR="005A547A">
        <w:rPr>
          <w:rFonts w:cstheme="minorHAnsi"/>
        </w:rPr>
        <w:t>re would be the</w:t>
      </w:r>
      <w:r>
        <w:rPr>
          <w:rFonts w:cstheme="minorHAnsi"/>
        </w:rPr>
        <w:t xml:space="preserve"> same long terms costs to individuals, business and government under this option; a</w:t>
      </w:r>
      <w:r w:rsidR="008F6F0E">
        <w:rPr>
          <w:rFonts w:cstheme="minorHAnsi"/>
        </w:rPr>
        <w:t xml:space="preserve">pproximately $580 million per week in lost national earnings and </w:t>
      </w:r>
      <w:r w:rsidR="008F6F0E" w:rsidRPr="008F6F0E">
        <w:rPr>
          <w:rFonts w:cstheme="minorHAnsi"/>
        </w:rPr>
        <w:t>$26</w:t>
      </w:r>
      <w:r w:rsidR="005819F9">
        <w:rPr>
          <w:rFonts w:cstheme="minorHAnsi"/>
        </w:rPr>
        <w:t xml:space="preserve">4 </w:t>
      </w:r>
      <w:r w:rsidR="008F6F0E" w:rsidRPr="008F6F0E">
        <w:rPr>
          <w:rFonts w:cstheme="minorHAnsi"/>
        </w:rPr>
        <w:t>per week loss for women</w:t>
      </w:r>
      <w:r w:rsidR="00242EC8">
        <w:rPr>
          <w:rFonts w:cstheme="minorHAnsi"/>
        </w:rPr>
        <w:t>.</w:t>
      </w:r>
      <w:r w:rsidR="008F6F0E" w:rsidRPr="003F264A">
        <w:rPr>
          <w:rStyle w:val="FootnoteReference"/>
          <w:rFonts w:cstheme="minorHAnsi"/>
          <w:color w:val="000000" w:themeColor="text1"/>
        </w:rPr>
        <w:footnoteReference w:id="142"/>
      </w:r>
      <w:r w:rsidR="00242EC8">
        <w:rPr>
          <w:rFonts w:cstheme="minorHAnsi"/>
        </w:rPr>
        <w:t xml:space="preserve"> </w:t>
      </w:r>
      <w:r w:rsidR="008B72B3">
        <w:rPr>
          <w:rFonts w:cstheme="minorHAnsi"/>
        </w:rPr>
        <w:t xml:space="preserve">These </w:t>
      </w:r>
      <w:r w:rsidR="00C82C23">
        <w:rPr>
          <w:rFonts w:cstheme="minorHAnsi"/>
        </w:rPr>
        <w:t xml:space="preserve">costs </w:t>
      </w:r>
      <w:r w:rsidR="008B72B3">
        <w:rPr>
          <w:rFonts w:cstheme="minorHAnsi"/>
        </w:rPr>
        <w:t xml:space="preserve">would </w:t>
      </w:r>
      <w:r w:rsidR="00C82C23">
        <w:rPr>
          <w:rFonts w:cstheme="minorHAnsi"/>
        </w:rPr>
        <w:t>decline</w:t>
      </w:r>
      <w:r w:rsidR="008B72B3">
        <w:rPr>
          <w:rFonts w:cstheme="minorHAnsi"/>
        </w:rPr>
        <w:t xml:space="preserve"> slowly over the anticipated 26 year period it would take to close the gender pay gap. </w:t>
      </w:r>
      <w:r w:rsidR="00242EC8">
        <w:rPr>
          <w:rFonts w:cstheme="minorHAnsi"/>
        </w:rPr>
        <w:t>Thus, while</w:t>
      </w:r>
      <w:r w:rsidR="009A0091" w:rsidRPr="003F264A">
        <w:rPr>
          <w:rFonts w:cstheme="minorHAnsi"/>
        </w:rPr>
        <w:t xml:space="preserve"> the overall </w:t>
      </w:r>
      <w:r>
        <w:rPr>
          <w:rFonts w:cstheme="minorHAnsi"/>
        </w:rPr>
        <w:t xml:space="preserve">initial net </w:t>
      </w:r>
      <w:r w:rsidR="009A0091" w:rsidRPr="003F264A">
        <w:rPr>
          <w:rFonts w:cstheme="minorHAnsi"/>
        </w:rPr>
        <w:t xml:space="preserve">benefit is increased under Option 2, the cost of unrealised </w:t>
      </w:r>
      <w:r w:rsidR="005B0260" w:rsidRPr="003F264A">
        <w:rPr>
          <w:rFonts w:cstheme="minorHAnsi"/>
        </w:rPr>
        <w:t xml:space="preserve">workplace </w:t>
      </w:r>
      <w:r w:rsidR="009A0091" w:rsidRPr="003F264A">
        <w:rPr>
          <w:rFonts w:cstheme="minorHAnsi"/>
        </w:rPr>
        <w:t>gender equa</w:t>
      </w:r>
      <w:r w:rsidR="00801619" w:rsidRPr="003F264A">
        <w:rPr>
          <w:rFonts w:cstheme="minorHAnsi"/>
        </w:rPr>
        <w:t xml:space="preserve">lity </w:t>
      </w:r>
      <w:r w:rsidR="00EF2F30" w:rsidRPr="003F264A">
        <w:rPr>
          <w:rFonts w:cstheme="minorHAnsi"/>
        </w:rPr>
        <w:t>will</w:t>
      </w:r>
      <w:r w:rsidR="00E11876" w:rsidRPr="003F264A">
        <w:rPr>
          <w:rFonts w:cstheme="minorHAnsi"/>
        </w:rPr>
        <w:t xml:space="preserve"> </w:t>
      </w:r>
      <w:r w:rsidR="00801619" w:rsidRPr="003F264A">
        <w:rPr>
          <w:rFonts w:cstheme="minorHAnsi"/>
        </w:rPr>
        <w:t xml:space="preserve">continue to be </w:t>
      </w:r>
      <w:r w:rsidR="008F6F0E">
        <w:rPr>
          <w:rFonts w:cstheme="minorHAnsi"/>
        </w:rPr>
        <w:t xml:space="preserve">a </w:t>
      </w:r>
      <w:r w:rsidR="00801619" w:rsidRPr="003F264A">
        <w:rPr>
          <w:rFonts w:cstheme="minorHAnsi"/>
        </w:rPr>
        <w:t xml:space="preserve">significant </w:t>
      </w:r>
      <w:r w:rsidR="008F6F0E">
        <w:rPr>
          <w:rFonts w:cstheme="minorHAnsi"/>
        </w:rPr>
        <w:t xml:space="preserve">cost </w:t>
      </w:r>
      <w:r w:rsidR="00801619" w:rsidRPr="003F264A">
        <w:rPr>
          <w:rFonts w:cstheme="minorHAnsi"/>
        </w:rPr>
        <w:t xml:space="preserve">for individuals, businesses and </w:t>
      </w:r>
      <w:r w:rsidR="004D5404" w:rsidRPr="003F264A">
        <w:rPr>
          <w:rFonts w:cstheme="minorHAnsi"/>
        </w:rPr>
        <w:t>g</w:t>
      </w:r>
      <w:r w:rsidR="00801619" w:rsidRPr="003F264A">
        <w:rPr>
          <w:rFonts w:cstheme="minorHAnsi"/>
        </w:rPr>
        <w:t>overnment</w:t>
      </w:r>
      <w:r>
        <w:rPr>
          <w:rFonts w:cstheme="minorHAnsi"/>
        </w:rPr>
        <w:t xml:space="preserve"> in the long term</w:t>
      </w:r>
      <w:r w:rsidR="00801619" w:rsidRPr="003F264A">
        <w:rPr>
          <w:rFonts w:cstheme="minorHAnsi"/>
        </w:rPr>
        <w:t xml:space="preserve">. </w:t>
      </w:r>
    </w:p>
    <w:p w14:paraId="6623FCC6" w14:textId="77777777" w:rsidR="0072017A" w:rsidRPr="003F264A" w:rsidRDefault="0072017A" w:rsidP="000F6998">
      <w:pPr>
        <w:pStyle w:val="Heading1"/>
        <w:jc w:val="both"/>
        <w:rPr>
          <w:rStyle w:val="Heading1Char"/>
          <w:rFonts w:asciiTheme="minorHAnsi" w:hAnsiTheme="minorHAnsi" w:cstheme="minorHAnsi"/>
        </w:rPr>
      </w:pPr>
    </w:p>
    <w:p w14:paraId="0DA518BE" w14:textId="77777777" w:rsidR="0072017A" w:rsidRPr="003F264A" w:rsidRDefault="0072017A" w:rsidP="000F6998">
      <w:pPr>
        <w:jc w:val="both"/>
        <w:rPr>
          <w:rStyle w:val="Heading1Char"/>
          <w:rFonts w:asciiTheme="minorHAnsi" w:hAnsiTheme="minorHAnsi" w:cstheme="minorHAnsi"/>
        </w:rPr>
      </w:pPr>
      <w:r w:rsidRPr="003F264A">
        <w:rPr>
          <w:rStyle w:val="Heading1Char"/>
          <w:rFonts w:asciiTheme="minorHAnsi" w:hAnsiTheme="minorHAnsi" w:cstheme="minorHAnsi"/>
        </w:rPr>
        <w:br w:type="page"/>
      </w:r>
    </w:p>
    <w:p w14:paraId="11B2D837" w14:textId="77777777" w:rsidR="000E0C33" w:rsidRPr="00015E51" w:rsidRDefault="0072017A" w:rsidP="000F6998">
      <w:pPr>
        <w:pStyle w:val="Heading1"/>
        <w:numPr>
          <w:ilvl w:val="0"/>
          <w:numId w:val="26"/>
        </w:numPr>
        <w:jc w:val="both"/>
      </w:pPr>
      <w:bookmarkStart w:id="102" w:name="_Toc118794753"/>
      <w:bookmarkStart w:id="103" w:name="_Toc125714729"/>
      <w:r w:rsidRPr="003F264A">
        <w:rPr>
          <w:rStyle w:val="Heading1Char"/>
          <w:rFonts w:asciiTheme="minorHAnsi" w:hAnsiTheme="minorHAnsi" w:cstheme="minorHAnsi"/>
        </w:rPr>
        <w:t>Likely</w:t>
      </w:r>
      <w:r w:rsidRPr="003F264A">
        <w:rPr>
          <w:rFonts w:asciiTheme="minorHAnsi" w:hAnsiTheme="minorHAnsi" w:cstheme="minorHAnsi"/>
        </w:rPr>
        <w:t xml:space="preserve"> net benefit of </w:t>
      </w:r>
      <w:r w:rsidR="00CC6FE9" w:rsidRPr="003F264A">
        <w:rPr>
          <w:rFonts w:asciiTheme="minorHAnsi" w:hAnsiTheme="minorHAnsi" w:cstheme="minorHAnsi"/>
        </w:rPr>
        <w:t>Option 3</w:t>
      </w:r>
      <w:bookmarkEnd w:id="102"/>
      <w:bookmarkEnd w:id="103"/>
    </w:p>
    <w:p w14:paraId="24609F4F" w14:textId="2B7C9BA1" w:rsidR="000D3CA5" w:rsidRPr="003F264A" w:rsidRDefault="00FD7EEA" w:rsidP="000F6998">
      <w:pPr>
        <w:spacing w:before="240"/>
        <w:jc w:val="both"/>
        <w:rPr>
          <w:rFonts w:cstheme="minorHAnsi"/>
        </w:rPr>
      </w:pPr>
      <w:r w:rsidRPr="003F264A">
        <w:rPr>
          <w:rFonts w:cstheme="minorHAnsi"/>
        </w:rPr>
        <w:t xml:space="preserve">Option 3 consists of </w:t>
      </w:r>
      <w:r w:rsidR="008D3C39">
        <w:rPr>
          <w:rFonts w:cstheme="minorHAnsi"/>
        </w:rPr>
        <w:t>implementing</w:t>
      </w:r>
      <w:r w:rsidR="008D3C39" w:rsidRPr="003F264A">
        <w:rPr>
          <w:rFonts w:cstheme="minorHAnsi"/>
        </w:rPr>
        <w:t xml:space="preserve"> </w:t>
      </w:r>
      <w:r w:rsidR="00774F0C" w:rsidRPr="003F264A">
        <w:rPr>
          <w:rFonts w:cstheme="minorHAnsi"/>
        </w:rPr>
        <w:t>Recommendation</w:t>
      </w:r>
      <w:r w:rsidR="00407C92" w:rsidRPr="003F264A">
        <w:rPr>
          <w:rFonts w:cstheme="minorHAnsi"/>
        </w:rPr>
        <w:t>s</w:t>
      </w:r>
      <w:r w:rsidR="00CC6FE9" w:rsidRPr="003F264A">
        <w:rPr>
          <w:rFonts w:cstheme="minorHAnsi"/>
        </w:rPr>
        <w:t xml:space="preserve"> 2,</w:t>
      </w:r>
      <w:r w:rsidR="008A6CB0" w:rsidRPr="003F264A">
        <w:rPr>
          <w:rFonts w:cstheme="minorHAnsi"/>
        </w:rPr>
        <w:t xml:space="preserve"> </w:t>
      </w:r>
      <w:r w:rsidR="00CC6FE9" w:rsidRPr="003F264A">
        <w:rPr>
          <w:rFonts w:cstheme="minorHAnsi"/>
        </w:rPr>
        <w:t>3,</w:t>
      </w:r>
      <w:r w:rsidR="008A6CB0" w:rsidRPr="003F264A">
        <w:rPr>
          <w:rFonts w:cstheme="minorHAnsi"/>
        </w:rPr>
        <w:t xml:space="preserve"> </w:t>
      </w:r>
      <w:r w:rsidR="00CC6FE9" w:rsidRPr="003F264A">
        <w:rPr>
          <w:rFonts w:cstheme="minorHAnsi"/>
        </w:rPr>
        <w:t xml:space="preserve">4 and 7 </w:t>
      </w:r>
      <w:r w:rsidR="004D5404" w:rsidRPr="003F264A">
        <w:rPr>
          <w:rFonts w:cstheme="minorHAnsi"/>
        </w:rPr>
        <w:t>of</w:t>
      </w:r>
      <w:r w:rsidR="005A3D1F" w:rsidRPr="003F264A">
        <w:rPr>
          <w:rFonts w:cstheme="minorHAnsi"/>
        </w:rPr>
        <w:t xml:space="preserve"> </w:t>
      </w:r>
      <w:r w:rsidR="00CC6FE9" w:rsidRPr="003F264A">
        <w:rPr>
          <w:rFonts w:cstheme="minorHAnsi"/>
        </w:rPr>
        <w:t xml:space="preserve">the Review. </w:t>
      </w:r>
      <w:r w:rsidR="00D50ADF" w:rsidRPr="003F264A">
        <w:rPr>
          <w:rFonts w:cstheme="minorHAnsi"/>
        </w:rPr>
        <w:t xml:space="preserve">Recommendations 2 and 3, in particular, are headline recommendations of the Review. </w:t>
      </w:r>
    </w:p>
    <w:p w14:paraId="29CC50D9" w14:textId="2E4F3E5B" w:rsidR="000D3CA5" w:rsidRPr="003F264A" w:rsidRDefault="00E63344" w:rsidP="000F6998">
      <w:pPr>
        <w:jc w:val="both"/>
        <w:rPr>
          <w:rFonts w:cstheme="minorHAnsi"/>
        </w:rPr>
      </w:pPr>
      <w:r w:rsidRPr="003F264A">
        <w:rPr>
          <w:rFonts w:cstheme="minorHAnsi"/>
        </w:rPr>
        <w:t xml:space="preserve">Recommendation 2 is for WGEA to </w:t>
      </w:r>
      <w:r w:rsidR="000D3CA5" w:rsidRPr="003F264A">
        <w:rPr>
          <w:rFonts w:cstheme="minorHAnsi"/>
        </w:rPr>
        <w:t>publish organisation</w:t>
      </w:r>
      <w:r w:rsidR="00D50ADF" w:rsidRPr="003F264A">
        <w:rPr>
          <w:rFonts w:cstheme="minorHAnsi"/>
        </w:rPr>
        <w:t>al</w:t>
      </w:r>
      <w:r w:rsidR="000D3CA5" w:rsidRPr="003F264A">
        <w:rPr>
          <w:rFonts w:cstheme="minorHAnsi"/>
        </w:rPr>
        <w:t xml:space="preserve"> pay gaps publicly which will increase transparency</w:t>
      </w:r>
      <w:r w:rsidR="00874233">
        <w:rPr>
          <w:rFonts w:cstheme="minorHAnsi"/>
        </w:rPr>
        <w:t xml:space="preserve">, and reduce information </w:t>
      </w:r>
      <w:r w:rsidR="00416E48">
        <w:rPr>
          <w:rFonts w:cstheme="minorHAnsi"/>
        </w:rPr>
        <w:t>asymmetries</w:t>
      </w:r>
      <w:r w:rsidR="00874233">
        <w:rPr>
          <w:rFonts w:cstheme="minorHAnsi"/>
        </w:rPr>
        <w:t>,</w:t>
      </w:r>
      <w:r w:rsidR="000D3CA5" w:rsidRPr="003F264A">
        <w:rPr>
          <w:rFonts w:cstheme="minorHAnsi"/>
        </w:rPr>
        <w:t xml:space="preserve"> for all stakeholders. Recommendation 3 </w:t>
      </w:r>
      <w:r w:rsidRPr="003F264A">
        <w:rPr>
          <w:rFonts w:cstheme="minorHAnsi"/>
        </w:rPr>
        <w:t>includes a</w:t>
      </w:r>
      <w:r w:rsidR="000D3CA5" w:rsidRPr="003F264A">
        <w:rPr>
          <w:rFonts w:cstheme="minorHAnsi"/>
        </w:rPr>
        <w:t xml:space="preserve"> require</w:t>
      </w:r>
      <w:r w:rsidRPr="003F264A">
        <w:rPr>
          <w:rFonts w:cstheme="minorHAnsi"/>
        </w:rPr>
        <w:t>ment for</w:t>
      </w:r>
      <w:r w:rsidR="000D3CA5" w:rsidRPr="003F264A">
        <w:rPr>
          <w:rFonts w:cstheme="minorHAnsi"/>
        </w:rPr>
        <w:t xml:space="preserve"> employers with 500 or more </w:t>
      </w:r>
      <w:r w:rsidR="00801CB6">
        <w:rPr>
          <w:rFonts w:cstheme="minorHAnsi"/>
        </w:rPr>
        <w:t xml:space="preserve">employees </w:t>
      </w:r>
      <w:r w:rsidR="000D3CA5" w:rsidRPr="003F264A">
        <w:rPr>
          <w:rFonts w:cstheme="minorHAnsi"/>
        </w:rPr>
        <w:t xml:space="preserve">to bridge the ‘action gap’ by requiring </w:t>
      </w:r>
      <w:r w:rsidR="00801CB6">
        <w:rPr>
          <w:rFonts w:cstheme="minorHAnsi"/>
        </w:rPr>
        <w:t xml:space="preserve">employers </w:t>
      </w:r>
      <w:r w:rsidR="00670D93">
        <w:rPr>
          <w:rFonts w:cstheme="minorHAnsi"/>
        </w:rPr>
        <w:t xml:space="preserve">to set, </w:t>
      </w:r>
      <w:r w:rsidR="000D3CA5" w:rsidRPr="003F264A">
        <w:rPr>
          <w:rFonts w:cstheme="minorHAnsi"/>
        </w:rPr>
        <w:t>measure</w:t>
      </w:r>
      <w:r w:rsidR="00670D93">
        <w:rPr>
          <w:rFonts w:cstheme="minorHAnsi"/>
        </w:rPr>
        <w:t xml:space="preserve"> and achieve</w:t>
      </w:r>
      <w:r w:rsidR="000D3CA5" w:rsidRPr="003F264A">
        <w:rPr>
          <w:rFonts w:cstheme="minorHAnsi"/>
        </w:rPr>
        <w:t xml:space="preserve"> targets against</w:t>
      </w:r>
      <w:r w:rsidRPr="003F264A">
        <w:rPr>
          <w:rFonts w:cstheme="minorHAnsi"/>
        </w:rPr>
        <w:t xml:space="preserve"> three of the</w:t>
      </w:r>
      <w:r w:rsidR="000D3CA5" w:rsidRPr="003F264A">
        <w:rPr>
          <w:rFonts w:cstheme="minorHAnsi"/>
        </w:rPr>
        <w:t xml:space="preserve"> six </w:t>
      </w:r>
      <w:r w:rsidRPr="003F264A">
        <w:rPr>
          <w:rFonts w:cstheme="minorHAnsi"/>
        </w:rPr>
        <w:t>GEIs</w:t>
      </w:r>
      <w:r w:rsidR="00801CB6">
        <w:rPr>
          <w:rFonts w:cstheme="minorHAnsi"/>
        </w:rPr>
        <w:t>,</w:t>
      </w:r>
      <w:r w:rsidRPr="003F264A">
        <w:rPr>
          <w:rFonts w:cstheme="minorHAnsi"/>
        </w:rPr>
        <w:t xml:space="preserve"> and to develop policies and </w:t>
      </w:r>
      <w:r w:rsidR="005F789A" w:rsidRPr="003F264A">
        <w:rPr>
          <w:rFonts w:cstheme="minorHAnsi"/>
        </w:rPr>
        <w:t>strategies against all six GEIs</w:t>
      </w:r>
      <w:r w:rsidR="000D3CA5" w:rsidRPr="003F264A">
        <w:rPr>
          <w:rFonts w:cstheme="minorHAnsi"/>
        </w:rPr>
        <w:t xml:space="preserve">. </w:t>
      </w:r>
    </w:p>
    <w:p w14:paraId="0D44A2DA" w14:textId="6DA558CA" w:rsidR="00690CD5" w:rsidRPr="003F264A" w:rsidRDefault="00CC6FE9" w:rsidP="000F6998">
      <w:pPr>
        <w:jc w:val="both"/>
        <w:rPr>
          <w:rFonts w:cstheme="minorHAnsi"/>
        </w:rPr>
      </w:pPr>
      <w:r w:rsidRPr="003F264A">
        <w:rPr>
          <w:rFonts w:cstheme="minorHAnsi"/>
        </w:rPr>
        <w:t>These recommendations were made with the express aim of accelerating the rate of change to address gender inequality in Austra</w:t>
      </w:r>
      <w:r w:rsidR="000D3CA5" w:rsidRPr="003F264A">
        <w:rPr>
          <w:rFonts w:cstheme="minorHAnsi"/>
        </w:rPr>
        <w:t>lia</w:t>
      </w:r>
      <w:r w:rsidR="00874233">
        <w:rPr>
          <w:rFonts w:cstheme="minorHAnsi"/>
        </w:rPr>
        <w:t>,</w:t>
      </w:r>
      <w:r w:rsidR="000D3CA5" w:rsidRPr="003F264A">
        <w:rPr>
          <w:rFonts w:cstheme="minorHAnsi"/>
        </w:rPr>
        <w:t xml:space="preserve"> and to create increased benefit</w:t>
      </w:r>
      <w:r w:rsidR="000F33E3" w:rsidRPr="003F264A">
        <w:rPr>
          <w:rFonts w:cstheme="minorHAnsi"/>
        </w:rPr>
        <w:t xml:space="preserve"> for stakeholders</w:t>
      </w:r>
      <w:r w:rsidR="000D3CA5" w:rsidRPr="003F264A">
        <w:rPr>
          <w:rFonts w:cstheme="minorHAnsi"/>
        </w:rPr>
        <w:t xml:space="preserve"> </w:t>
      </w:r>
      <w:r w:rsidR="004D5404" w:rsidRPr="003F264A">
        <w:rPr>
          <w:rFonts w:cstheme="minorHAnsi"/>
        </w:rPr>
        <w:t>relative to</w:t>
      </w:r>
      <w:r w:rsidR="000D3CA5" w:rsidRPr="003F264A">
        <w:rPr>
          <w:rFonts w:cstheme="minorHAnsi"/>
        </w:rPr>
        <w:t xml:space="preserve"> </w:t>
      </w:r>
      <w:r w:rsidR="000D3CA5" w:rsidRPr="00501ED1">
        <w:rPr>
          <w:rFonts w:cstheme="minorHAnsi"/>
        </w:rPr>
        <w:t xml:space="preserve">the status quo. </w:t>
      </w:r>
    </w:p>
    <w:p w14:paraId="1D283F6B" w14:textId="77777777" w:rsidR="00220FD3" w:rsidRPr="003F264A" w:rsidRDefault="00220FD3" w:rsidP="000F6998">
      <w:pPr>
        <w:pStyle w:val="Heading2"/>
        <w:jc w:val="both"/>
        <w:rPr>
          <w:rFonts w:asciiTheme="minorHAnsi" w:hAnsiTheme="minorHAnsi" w:cstheme="minorHAnsi"/>
        </w:rPr>
      </w:pPr>
      <w:bookmarkStart w:id="104" w:name="_Toc118794754"/>
      <w:bookmarkStart w:id="105" w:name="_Toc125714730"/>
      <w:r w:rsidRPr="003F264A">
        <w:rPr>
          <w:rFonts w:asciiTheme="minorHAnsi" w:hAnsiTheme="minorHAnsi" w:cstheme="minorHAnsi"/>
        </w:rPr>
        <w:t>9.1 Overall Impacts</w:t>
      </w:r>
      <w:bookmarkEnd w:id="104"/>
      <w:bookmarkEnd w:id="105"/>
    </w:p>
    <w:p w14:paraId="2C15A485" w14:textId="712C1513" w:rsidR="005E367E" w:rsidRPr="00677424" w:rsidRDefault="005E367E" w:rsidP="00677424">
      <w:bookmarkStart w:id="106" w:name="_Toc118794755"/>
      <w:r w:rsidRPr="003F264A">
        <w:rPr>
          <w:rFonts w:cstheme="minorHAnsi"/>
        </w:rPr>
        <w:t xml:space="preserve">Option 3 </w:t>
      </w:r>
      <w:r w:rsidR="00C82C23">
        <w:rPr>
          <w:rFonts w:cstheme="minorHAnsi"/>
        </w:rPr>
        <w:t>has a lower regulatory cost tha</w:t>
      </w:r>
      <w:r w:rsidR="00DE2B67">
        <w:rPr>
          <w:rFonts w:cstheme="minorHAnsi"/>
        </w:rPr>
        <w:t>n</w:t>
      </w:r>
      <w:r w:rsidR="00C82C23">
        <w:rPr>
          <w:rFonts w:cstheme="minorHAnsi"/>
        </w:rPr>
        <w:t xml:space="preserve"> the status quo (Option 1) but provides the most significant positive impact on gender equality. </w:t>
      </w:r>
      <w:r w:rsidR="004D6F30" w:rsidRPr="003F264A">
        <w:rPr>
          <w:rFonts w:cstheme="minorHAnsi"/>
        </w:rPr>
        <w:t xml:space="preserve"> </w:t>
      </w:r>
      <w:r w:rsidR="00C82C23">
        <w:t xml:space="preserve">Under Option 3, </w:t>
      </w:r>
      <w:r w:rsidR="00C82C23" w:rsidRPr="00EA55BB">
        <w:t>the estimated regulatory cost reductions from implementing Recommendation 4 of the Review (discus</w:t>
      </w:r>
      <w:r w:rsidR="00C82C23">
        <w:t>sed in Option 2 above)</w:t>
      </w:r>
      <w:r w:rsidR="00C82C23" w:rsidRPr="008348F7">
        <w:rPr>
          <w:b/>
        </w:rPr>
        <w:t xml:space="preserve"> </w:t>
      </w:r>
      <w:r w:rsidR="00C82C23" w:rsidRPr="008348F7">
        <w:rPr>
          <w:b/>
          <w:u w:val="single"/>
        </w:rPr>
        <w:t>more than offset</w:t>
      </w:r>
      <w:r w:rsidR="00C82C23">
        <w:t xml:space="preserve"> the estimated increases in regulatory cost to implement Recommendations 2, 3, 7.1 and 7.3C of the WGEA review</w:t>
      </w:r>
      <w:r w:rsidR="00C82C23">
        <w:rPr>
          <w:b/>
          <w:u w:val="single"/>
        </w:rPr>
        <w:t>.</w:t>
      </w:r>
      <w:bookmarkEnd w:id="106"/>
    </w:p>
    <w:p w14:paraId="5079D77E" w14:textId="092D07CE" w:rsidR="00677424" w:rsidRDefault="00C82C23" w:rsidP="00677424">
      <w:pPr>
        <w:rPr>
          <w:rFonts w:cstheme="minorHAnsi"/>
        </w:rPr>
      </w:pPr>
      <w:r w:rsidRPr="00677424">
        <w:rPr>
          <w:rFonts w:cstheme="minorHAnsi"/>
        </w:rPr>
        <w:t>The largest driver of the estimated regulatory cost increase under Option 3 is the implementation of Recommendation 7 (i.e. 7.1 and 7.3</w:t>
      </w:r>
      <w:r w:rsidR="00677424">
        <w:rPr>
          <w:rFonts w:cstheme="minorHAnsi"/>
        </w:rPr>
        <w:t>c</w:t>
      </w:r>
      <w:r w:rsidRPr="00677424">
        <w:rPr>
          <w:rFonts w:cstheme="minorHAnsi"/>
        </w:rPr>
        <w:t>)</w:t>
      </w:r>
      <w:r w:rsidR="00677424">
        <w:rPr>
          <w:rFonts w:cstheme="minorHAnsi"/>
        </w:rPr>
        <w:t xml:space="preserve"> </w:t>
      </w:r>
      <w:r w:rsidRPr="00677424">
        <w:rPr>
          <w:rFonts w:cstheme="minorHAnsi"/>
        </w:rPr>
        <w:t xml:space="preserve">of the WGEA Review. </w:t>
      </w:r>
      <w:bookmarkStart w:id="107" w:name="_Toc118794756"/>
      <w:bookmarkStart w:id="108" w:name="_Toc125714731"/>
    </w:p>
    <w:p w14:paraId="42D4E935" w14:textId="75A4DB31" w:rsidR="00E9620B" w:rsidRPr="003F264A" w:rsidRDefault="00854261" w:rsidP="000F6998">
      <w:pPr>
        <w:pStyle w:val="Heading2"/>
        <w:jc w:val="both"/>
        <w:rPr>
          <w:rFonts w:asciiTheme="minorHAnsi" w:hAnsiTheme="minorHAnsi" w:cstheme="minorHAnsi"/>
        </w:rPr>
      </w:pPr>
      <w:r w:rsidRPr="003F264A">
        <w:rPr>
          <w:rFonts w:asciiTheme="minorHAnsi" w:eastAsia="Calibri Light" w:hAnsiTheme="minorHAnsi" w:cstheme="minorHAnsi"/>
          <w:color w:val="4472C4" w:themeColor="accent5"/>
        </w:rPr>
        <w:t>9</w:t>
      </w:r>
      <w:r w:rsidR="00220FD3" w:rsidRPr="003F264A">
        <w:rPr>
          <w:rFonts w:asciiTheme="minorHAnsi" w:eastAsia="Calibri Light" w:hAnsiTheme="minorHAnsi" w:cstheme="minorHAnsi"/>
          <w:color w:val="4472C4" w:themeColor="accent5"/>
        </w:rPr>
        <w:t>.1.1 Individuals</w:t>
      </w:r>
      <w:bookmarkEnd w:id="107"/>
      <w:bookmarkEnd w:id="108"/>
      <w:r w:rsidR="00220FD3" w:rsidRPr="003F264A">
        <w:rPr>
          <w:rFonts w:asciiTheme="minorHAnsi" w:eastAsia="Calibri Light" w:hAnsiTheme="minorHAnsi" w:cstheme="minorHAnsi"/>
          <w:color w:val="4472C4" w:themeColor="accent5"/>
        </w:rPr>
        <w:t xml:space="preserve"> </w:t>
      </w:r>
    </w:p>
    <w:p w14:paraId="7D037E53" w14:textId="77777777" w:rsidR="00D342C3" w:rsidRPr="003F264A" w:rsidRDefault="00D342C3" w:rsidP="000F6998">
      <w:pPr>
        <w:spacing w:before="240"/>
        <w:jc w:val="both"/>
        <w:rPr>
          <w:rFonts w:cstheme="minorHAnsi"/>
          <w:b/>
        </w:rPr>
      </w:pPr>
      <w:r w:rsidRPr="003F264A">
        <w:rPr>
          <w:rFonts w:cstheme="minorHAnsi"/>
          <w:b/>
        </w:rPr>
        <w:t>Benefits</w:t>
      </w:r>
    </w:p>
    <w:p w14:paraId="0A1241D3" w14:textId="3821EC0A" w:rsidR="00C04AFC" w:rsidRPr="003F264A" w:rsidRDefault="00C641D6" w:rsidP="000F6998">
      <w:pPr>
        <w:jc w:val="both"/>
        <w:rPr>
          <w:rFonts w:cstheme="minorHAnsi"/>
        </w:rPr>
      </w:pPr>
      <w:r w:rsidRPr="003F264A">
        <w:rPr>
          <w:rFonts w:cstheme="minorHAnsi"/>
        </w:rPr>
        <w:t xml:space="preserve">Option 3 </w:t>
      </w:r>
      <w:r w:rsidR="00E03CC4">
        <w:rPr>
          <w:rFonts w:cstheme="minorHAnsi"/>
        </w:rPr>
        <w:t xml:space="preserve">will deliver all the benefits included under Option 1, but faster. Option 3 also </w:t>
      </w:r>
      <w:r w:rsidR="008D3C39">
        <w:rPr>
          <w:rFonts w:cstheme="minorHAnsi"/>
        </w:rPr>
        <w:t>has</w:t>
      </w:r>
      <w:r w:rsidRPr="003F264A">
        <w:rPr>
          <w:rFonts w:cstheme="minorHAnsi"/>
        </w:rPr>
        <w:t xml:space="preserve"> many first and second round benefits for individuals.</w:t>
      </w:r>
      <w:r w:rsidR="00541993" w:rsidRPr="003F264A">
        <w:rPr>
          <w:rFonts w:cstheme="minorHAnsi"/>
        </w:rPr>
        <w:t xml:space="preserve"> Recommendations 2,</w:t>
      </w:r>
      <w:r w:rsidR="008A6CB0" w:rsidRPr="003F264A">
        <w:rPr>
          <w:rFonts w:cstheme="minorHAnsi"/>
        </w:rPr>
        <w:t xml:space="preserve"> </w:t>
      </w:r>
      <w:r w:rsidR="00541993" w:rsidRPr="003F264A">
        <w:rPr>
          <w:rFonts w:cstheme="minorHAnsi"/>
        </w:rPr>
        <w:t>3 and 7 ultimate</w:t>
      </w:r>
      <w:r w:rsidR="00F53C91" w:rsidRPr="003F264A">
        <w:rPr>
          <w:rFonts w:cstheme="minorHAnsi"/>
        </w:rPr>
        <w:t>ly</w:t>
      </w:r>
      <w:r w:rsidR="00541993" w:rsidRPr="003F264A">
        <w:rPr>
          <w:rFonts w:cstheme="minorHAnsi"/>
        </w:rPr>
        <w:t xml:space="preserve"> aim to help women reach their potential in the workplace</w:t>
      </w:r>
      <w:r w:rsidR="002C6AD8">
        <w:rPr>
          <w:rFonts w:cstheme="minorHAnsi"/>
        </w:rPr>
        <w:t xml:space="preserve"> at a faster rate</w:t>
      </w:r>
      <w:r w:rsidR="00541993" w:rsidRPr="003F264A">
        <w:rPr>
          <w:rFonts w:cstheme="minorHAnsi"/>
        </w:rPr>
        <w:t xml:space="preserve">. </w:t>
      </w:r>
      <w:r w:rsidR="00C04AFC" w:rsidRPr="003F264A">
        <w:rPr>
          <w:rFonts w:cstheme="minorHAnsi"/>
        </w:rPr>
        <w:t xml:space="preserve"> </w:t>
      </w:r>
    </w:p>
    <w:p w14:paraId="7973DEF1" w14:textId="024A1409" w:rsidR="006655CC" w:rsidRPr="003F264A" w:rsidRDefault="004F7E9C" w:rsidP="000F6998">
      <w:pPr>
        <w:jc w:val="both"/>
        <w:rPr>
          <w:rFonts w:cstheme="minorHAnsi"/>
        </w:rPr>
      </w:pPr>
      <w:r w:rsidRPr="003F264A">
        <w:rPr>
          <w:rFonts w:cstheme="minorHAnsi"/>
        </w:rPr>
        <w:t xml:space="preserve">Recommendation 2 will </w:t>
      </w:r>
      <w:r w:rsidR="00A92DAB" w:rsidRPr="003F264A">
        <w:rPr>
          <w:rFonts w:cstheme="minorHAnsi"/>
        </w:rPr>
        <w:t>allow</w:t>
      </w:r>
      <w:r w:rsidRPr="003F264A">
        <w:rPr>
          <w:rFonts w:cstheme="minorHAnsi"/>
        </w:rPr>
        <w:t xml:space="preserve"> individuals </w:t>
      </w:r>
      <w:r w:rsidR="00A92DAB" w:rsidRPr="003F264A">
        <w:rPr>
          <w:rFonts w:cstheme="minorHAnsi"/>
        </w:rPr>
        <w:t>to access</w:t>
      </w:r>
      <w:r w:rsidR="00F53C91" w:rsidRPr="003F264A">
        <w:rPr>
          <w:rFonts w:cstheme="minorHAnsi"/>
        </w:rPr>
        <w:t xml:space="preserve"> the</w:t>
      </w:r>
      <w:r w:rsidRPr="003F264A">
        <w:rPr>
          <w:rFonts w:cstheme="minorHAnsi"/>
        </w:rPr>
        <w:t xml:space="preserve"> organisational gender pay gaps of </w:t>
      </w:r>
      <w:r w:rsidR="00874233">
        <w:rPr>
          <w:rFonts w:cstheme="minorHAnsi"/>
        </w:rPr>
        <w:t xml:space="preserve">individual </w:t>
      </w:r>
      <w:r w:rsidRPr="003F264A">
        <w:rPr>
          <w:rFonts w:cstheme="minorHAnsi"/>
        </w:rPr>
        <w:t xml:space="preserve">companies. </w:t>
      </w:r>
      <w:r w:rsidR="0090082F" w:rsidRPr="003F264A">
        <w:rPr>
          <w:rFonts w:cstheme="minorHAnsi"/>
        </w:rPr>
        <w:t>This will allow i</w:t>
      </w:r>
      <w:r w:rsidR="00A92DAB" w:rsidRPr="003F264A">
        <w:rPr>
          <w:rFonts w:cstheme="minorHAnsi"/>
        </w:rPr>
        <w:t>ndividuals of all genders</w:t>
      </w:r>
      <w:r w:rsidR="0090082F" w:rsidRPr="003F264A">
        <w:rPr>
          <w:rFonts w:cstheme="minorHAnsi"/>
        </w:rPr>
        <w:t xml:space="preserve"> to compare </w:t>
      </w:r>
      <w:r w:rsidR="00A92DAB" w:rsidRPr="003F264A">
        <w:rPr>
          <w:rFonts w:cstheme="minorHAnsi"/>
        </w:rPr>
        <w:t xml:space="preserve">the </w:t>
      </w:r>
      <w:r w:rsidR="0090082F" w:rsidRPr="003F264A">
        <w:rPr>
          <w:rFonts w:cstheme="minorHAnsi"/>
        </w:rPr>
        <w:t>gender pay gaps</w:t>
      </w:r>
      <w:r w:rsidR="00A92DAB" w:rsidRPr="003F264A">
        <w:rPr>
          <w:rFonts w:cstheme="minorHAnsi"/>
        </w:rPr>
        <w:t xml:space="preserve"> of employers</w:t>
      </w:r>
      <w:r w:rsidR="0090082F" w:rsidRPr="003F264A">
        <w:rPr>
          <w:rFonts w:cstheme="minorHAnsi"/>
        </w:rPr>
        <w:t xml:space="preserve"> and use this information to </w:t>
      </w:r>
      <w:r w:rsidR="00874233">
        <w:rPr>
          <w:rFonts w:cstheme="minorHAnsi"/>
        </w:rPr>
        <w:t>make more informed choices about their employment</w:t>
      </w:r>
      <w:r w:rsidR="0090082F" w:rsidRPr="003F264A">
        <w:rPr>
          <w:rFonts w:cstheme="minorHAnsi"/>
        </w:rPr>
        <w:t xml:space="preserve">. </w:t>
      </w:r>
      <w:r w:rsidR="00A92DAB" w:rsidRPr="003F264A">
        <w:rPr>
          <w:rFonts w:cstheme="minorHAnsi"/>
        </w:rPr>
        <w:t>An increase</w:t>
      </w:r>
      <w:r w:rsidR="00577D1B" w:rsidRPr="003F264A">
        <w:rPr>
          <w:rFonts w:cstheme="minorHAnsi"/>
        </w:rPr>
        <w:t xml:space="preserve"> in transparency will allow </w:t>
      </w:r>
      <w:r w:rsidR="004F6762" w:rsidRPr="003F264A">
        <w:rPr>
          <w:rFonts w:cstheme="minorHAnsi"/>
        </w:rPr>
        <w:t xml:space="preserve">individuals to </w:t>
      </w:r>
      <w:r w:rsidR="00874233">
        <w:rPr>
          <w:rFonts w:cstheme="minorHAnsi"/>
        </w:rPr>
        <w:t>use</w:t>
      </w:r>
      <w:r w:rsidR="00874233" w:rsidRPr="003F264A">
        <w:rPr>
          <w:rFonts w:cstheme="minorHAnsi"/>
        </w:rPr>
        <w:t xml:space="preserve"> </w:t>
      </w:r>
      <w:r w:rsidR="004F6762" w:rsidRPr="003F264A">
        <w:rPr>
          <w:rFonts w:cstheme="minorHAnsi"/>
        </w:rPr>
        <w:t xml:space="preserve">this information when making </w:t>
      </w:r>
      <w:r w:rsidR="00577D1B" w:rsidRPr="003F264A">
        <w:rPr>
          <w:rFonts w:cstheme="minorHAnsi"/>
        </w:rPr>
        <w:t>decisions about their careers, including negotiating remuneration and employee benefits.</w:t>
      </w:r>
      <w:r w:rsidR="00836424">
        <w:rPr>
          <w:rStyle w:val="FootnoteReference"/>
          <w:rFonts w:cstheme="minorHAnsi"/>
        </w:rPr>
        <w:footnoteReference w:id="143"/>
      </w:r>
      <w:r w:rsidR="00577D1B" w:rsidRPr="003F264A">
        <w:rPr>
          <w:rFonts w:cstheme="minorHAnsi"/>
        </w:rPr>
        <w:t xml:space="preserve"> </w:t>
      </w:r>
      <w:r w:rsidR="006655CC">
        <w:rPr>
          <w:rFonts w:cstheme="minorHAnsi"/>
        </w:rPr>
        <w:t>Transparency will also likely reduce the gender pay gap at a faster rate reducing the individual loss to women of $263.90 per week over less time</w:t>
      </w:r>
      <w:r w:rsidR="006655CC" w:rsidRPr="003F264A">
        <w:rPr>
          <w:rFonts w:cstheme="minorHAnsi"/>
        </w:rPr>
        <w:t>.</w:t>
      </w:r>
      <w:r w:rsidR="006655CC" w:rsidRPr="003F264A">
        <w:rPr>
          <w:rStyle w:val="FootnoteReference"/>
          <w:rFonts w:cstheme="minorHAnsi"/>
        </w:rPr>
        <w:footnoteReference w:id="144"/>
      </w:r>
      <w:r w:rsidR="006655CC" w:rsidRPr="003F264A">
        <w:rPr>
          <w:rFonts w:cstheme="minorHAnsi"/>
          <w:color w:val="000000"/>
          <w:bdr w:val="none" w:sz="0" w:space="0" w:color="auto" w:frame="1"/>
        </w:rPr>
        <w:t> </w:t>
      </w:r>
      <w:r w:rsidR="006655CC">
        <w:rPr>
          <w:rFonts w:cstheme="minorHAnsi"/>
        </w:rPr>
        <w:t xml:space="preserve"> </w:t>
      </w:r>
      <w:r w:rsidR="00874233">
        <w:rPr>
          <w:rFonts w:cstheme="minorHAnsi"/>
        </w:rPr>
        <w:t>Further, reducing information asymmetries in relation to organisation pay can increase competition for talent between firms, and may result in increasing real wages.</w:t>
      </w:r>
    </w:p>
    <w:p w14:paraId="6D3CB298" w14:textId="77777777" w:rsidR="00583086" w:rsidRPr="003F264A" w:rsidRDefault="0090082F" w:rsidP="000F6998">
      <w:pPr>
        <w:jc w:val="both"/>
        <w:rPr>
          <w:rFonts w:cstheme="minorHAnsi"/>
        </w:rPr>
      </w:pPr>
      <w:r w:rsidRPr="003F264A">
        <w:rPr>
          <w:rFonts w:cstheme="minorHAnsi"/>
        </w:rPr>
        <w:t xml:space="preserve">Recommendation 3 will benefit the employees of large companies. </w:t>
      </w:r>
      <w:r w:rsidR="00583086" w:rsidRPr="003F264A">
        <w:rPr>
          <w:rFonts w:cstheme="minorHAnsi"/>
        </w:rPr>
        <w:t xml:space="preserve">Women, in particular, will benefit from these policies as </w:t>
      </w:r>
      <w:r w:rsidR="006655CC">
        <w:rPr>
          <w:rFonts w:cstheme="minorHAnsi"/>
        </w:rPr>
        <w:t>companies may</w:t>
      </w:r>
      <w:r w:rsidR="00583086" w:rsidRPr="003F264A">
        <w:rPr>
          <w:rFonts w:cstheme="minorHAnsi"/>
        </w:rPr>
        <w:t xml:space="preserve"> remove barriers that women experience in the workplace. </w:t>
      </w:r>
    </w:p>
    <w:p w14:paraId="4C9C528D" w14:textId="6D138B68" w:rsidR="0090082F" w:rsidRPr="003F264A" w:rsidRDefault="00583086" w:rsidP="000F6998">
      <w:pPr>
        <w:jc w:val="both"/>
        <w:rPr>
          <w:rFonts w:cstheme="minorHAnsi"/>
        </w:rPr>
      </w:pPr>
      <w:r w:rsidRPr="003F264A">
        <w:rPr>
          <w:rFonts w:cstheme="minorHAnsi"/>
        </w:rPr>
        <w:t xml:space="preserve">Second round impacts of Recommendation 3 will be </w:t>
      </w:r>
      <w:r w:rsidR="00874233">
        <w:rPr>
          <w:rFonts w:cstheme="minorHAnsi"/>
        </w:rPr>
        <w:t>realised</w:t>
      </w:r>
      <w:r w:rsidR="00874233" w:rsidRPr="003F264A">
        <w:rPr>
          <w:rFonts w:cstheme="minorHAnsi"/>
        </w:rPr>
        <w:t xml:space="preserve"> </w:t>
      </w:r>
      <w:r w:rsidRPr="003F264A">
        <w:rPr>
          <w:rFonts w:cstheme="minorHAnsi"/>
        </w:rPr>
        <w:t>for all businesses not just large businesses. By changing requirements for large companies, best practice behaviour will change to meet the requirements of Recommendation 3. Consultation revealed that medium and small businesses take inspiration and influence from what large companies are doing</w:t>
      </w:r>
      <w:r w:rsidR="00874233">
        <w:rPr>
          <w:rFonts w:cstheme="minorHAnsi"/>
        </w:rPr>
        <w:t>,</w:t>
      </w:r>
      <w:r w:rsidRPr="003F264A">
        <w:rPr>
          <w:rFonts w:cstheme="minorHAnsi"/>
        </w:rPr>
        <w:t xml:space="preserve"> and seek to mirror best practice examples. With the largest companies in Australia complying with Recommendation 3, a longer term benefit is likely to be widespread change on the standard practice for all businesses and community organisations</w:t>
      </w:r>
      <w:r w:rsidR="0066572A" w:rsidRPr="003F264A">
        <w:rPr>
          <w:rFonts w:cstheme="minorHAnsi"/>
        </w:rPr>
        <w:t xml:space="preserve">. </w:t>
      </w:r>
      <w:r w:rsidRPr="003F264A">
        <w:rPr>
          <w:rFonts w:cstheme="minorHAnsi"/>
        </w:rPr>
        <w:t xml:space="preserve"> Recommendation 3 may also benefit women by reducing barriers to success in the workplace. This may lead to increased numbers of women</w:t>
      </w:r>
      <w:r w:rsidR="00F242BB" w:rsidRPr="003F264A">
        <w:rPr>
          <w:rFonts w:cstheme="minorHAnsi"/>
        </w:rPr>
        <w:t xml:space="preserve"> </w:t>
      </w:r>
      <w:r w:rsidR="004D5404" w:rsidRPr="003F264A">
        <w:rPr>
          <w:rFonts w:cstheme="minorHAnsi"/>
        </w:rPr>
        <w:t xml:space="preserve">in </w:t>
      </w:r>
      <w:r w:rsidR="00874233">
        <w:rPr>
          <w:rFonts w:cstheme="minorHAnsi"/>
        </w:rPr>
        <w:t xml:space="preserve">management and </w:t>
      </w:r>
      <w:r w:rsidR="00F242BB" w:rsidRPr="003F264A">
        <w:rPr>
          <w:rFonts w:cstheme="minorHAnsi"/>
        </w:rPr>
        <w:t>leadership pos</w:t>
      </w:r>
      <w:r w:rsidR="00723282" w:rsidRPr="003F264A">
        <w:rPr>
          <w:rFonts w:cstheme="minorHAnsi"/>
        </w:rPr>
        <w:t>itions</w:t>
      </w:r>
      <w:r w:rsidR="00874233">
        <w:rPr>
          <w:rFonts w:cstheme="minorHAnsi"/>
        </w:rPr>
        <w:t>,</w:t>
      </w:r>
      <w:r w:rsidR="00723282" w:rsidRPr="003F264A">
        <w:rPr>
          <w:rFonts w:cstheme="minorHAnsi"/>
        </w:rPr>
        <w:t xml:space="preserve"> and improve</w:t>
      </w:r>
      <w:r w:rsidR="00042BE5" w:rsidRPr="003F264A">
        <w:rPr>
          <w:rFonts w:cstheme="minorHAnsi"/>
        </w:rPr>
        <w:t xml:space="preserve"> the </w:t>
      </w:r>
      <w:r w:rsidR="00723282" w:rsidRPr="003F264A">
        <w:rPr>
          <w:rFonts w:cstheme="minorHAnsi"/>
        </w:rPr>
        <w:t>recruitment</w:t>
      </w:r>
      <w:r w:rsidR="00042BE5" w:rsidRPr="003F264A">
        <w:rPr>
          <w:rFonts w:cstheme="minorHAnsi"/>
        </w:rPr>
        <w:t xml:space="preserve"> and retention of women</w:t>
      </w:r>
      <w:r w:rsidR="00012794" w:rsidRPr="003F264A">
        <w:rPr>
          <w:rFonts w:cstheme="minorHAnsi"/>
        </w:rPr>
        <w:t xml:space="preserve"> in</w:t>
      </w:r>
      <w:r w:rsidR="00723282" w:rsidRPr="003F264A">
        <w:rPr>
          <w:rFonts w:cstheme="minorHAnsi"/>
        </w:rPr>
        <w:t xml:space="preserve"> certain companies</w:t>
      </w:r>
      <w:r w:rsidR="00042BE5" w:rsidRPr="003F264A">
        <w:rPr>
          <w:rFonts w:cstheme="minorHAnsi"/>
        </w:rPr>
        <w:t xml:space="preserve">. </w:t>
      </w:r>
    </w:p>
    <w:p w14:paraId="2417C344" w14:textId="77777777" w:rsidR="00122146" w:rsidRPr="003F264A" w:rsidRDefault="00122146" w:rsidP="000F6998">
      <w:pPr>
        <w:jc w:val="both"/>
        <w:rPr>
          <w:rFonts w:cstheme="minorHAnsi"/>
        </w:rPr>
      </w:pPr>
      <w:r w:rsidRPr="003F264A">
        <w:rPr>
          <w:rFonts w:cstheme="minorHAnsi"/>
        </w:rPr>
        <w:t>The benefits of Recommendation 4 were set out in Chapter 8 above.</w:t>
      </w:r>
    </w:p>
    <w:p w14:paraId="3EAACB97" w14:textId="23483B27" w:rsidR="00A346AE" w:rsidRPr="003F264A" w:rsidRDefault="00012794" w:rsidP="000F6998">
      <w:pPr>
        <w:jc w:val="both"/>
        <w:rPr>
          <w:rFonts w:cstheme="minorHAnsi"/>
        </w:rPr>
      </w:pPr>
      <w:r w:rsidRPr="003F264A">
        <w:rPr>
          <w:rFonts w:cstheme="minorHAnsi"/>
        </w:rPr>
        <w:t xml:space="preserve">Recommendation 7 will ensure </w:t>
      </w:r>
      <w:r w:rsidR="004D5404" w:rsidRPr="003F264A">
        <w:rPr>
          <w:rFonts w:cstheme="minorHAnsi"/>
        </w:rPr>
        <w:t xml:space="preserve">additional, useful </w:t>
      </w:r>
      <w:r w:rsidRPr="003F264A">
        <w:rPr>
          <w:rFonts w:cstheme="minorHAnsi"/>
        </w:rPr>
        <w:t xml:space="preserve">data </w:t>
      </w:r>
      <w:r w:rsidR="00874233">
        <w:rPr>
          <w:rFonts w:cstheme="minorHAnsi"/>
        </w:rPr>
        <w:t xml:space="preserve">is provided </w:t>
      </w:r>
      <w:r w:rsidRPr="003F264A">
        <w:rPr>
          <w:rFonts w:cstheme="minorHAnsi"/>
        </w:rPr>
        <w:t>to WGEA</w:t>
      </w:r>
      <w:r w:rsidR="004D5404" w:rsidRPr="003F264A">
        <w:rPr>
          <w:rFonts w:cstheme="minorHAnsi"/>
        </w:rPr>
        <w:t>,</w:t>
      </w:r>
      <w:r w:rsidRPr="003F264A">
        <w:rPr>
          <w:rFonts w:cstheme="minorHAnsi"/>
        </w:rPr>
        <w:t xml:space="preserve"> allow</w:t>
      </w:r>
      <w:r w:rsidR="004D5404" w:rsidRPr="003F264A">
        <w:rPr>
          <w:rFonts w:cstheme="minorHAnsi"/>
        </w:rPr>
        <w:t>ing</w:t>
      </w:r>
      <w:r w:rsidRPr="003F264A">
        <w:rPr>
          <w:rFonts w:cstheme="minorHAnsi"/>
        </w:rPr>
        <w:t xml:space="preserve"> more sophisticated analysis of the gender pay gap. </w:t>
      </w:r>
      <w:r w:rsidR="006655CC">
        <w:rPr>
          <w:rFonts w:cstheme="minorHAnsi"/>
        </w:rPr>
        <w:t xml:space="preserve">The impacts of the gender pay gap will be </w:t>
      </w:r>
      <w:r w:rsidR="00874233">
        <w:rPr>
          <w:rFonts w:cstheme="minorHAnsi"/>
        </w:rPr>
        <w:t xml:space="preserve">analysed </w:t>
      </w:r>
      <w:r w:rsidR="006655CC">
        <w:rPr>
          <w:rFonts w:cstheme="minorHAnsi"/>
        </w:rPr>
        <w:t xml:space="preserve">further across life span, primary workplace location, superannuation payments and top management salaries. </w:t>
      </w:r>
      <w:r w:rsidRPr="003F264A">
        <w:rPr>
          <w:rFonts w:cstheme="minorHAnsi"/>
        </w:rPr>
        <w:t xml:space="preserve">This will have second round benefits for individuals, by allowing further insights to be gained on the gender pay gap and how it affects different </w:t>
      </w:r>
      <w:r w:rsidR="004D5404" w:rsidRPr="003F264A">
        <w:rPr>
          <w:rFonts w:cstheme="minorHAnsi"/>
        </w:rPr>
        <w:t>cohorts</w:t>
      </w:r>
      <w:r w:rsidRPr="003F264A">
        <w:rPr>
          <w:rFonts w:cstheme="minorHAnsi"/>
        </w:rPr>
        <w:t xml:space="preserve">. In particular age and location data will help women to access more specific data relevant to their circumstances. </w:t>
      </w:r>
    </w:p>
    <w:p w14:paraId="7B44B133" w14:textId="77777777" w:rsidR="00E36959" w:rsidRPr="003F264A" w:rsidRDefault="00012794" w:rsidP="00E36959">
      <w:pPr>
        <w:jc w:val="both"/>
        <w:rPr>
          <w:rFonts w:cstheme="minorHAnsi"/>
        </w:rPr>
      </w:pPr>
      <w:r w:rsidRPr="003F264A">
        <w:rPr>
          <w:rFonts w:cstheme="minorHAnsi"/>
        </w:rPr>
        <w:t>A report by the University of Queensland states that there is a clear link between women’s mental health/wellbeing and economic insecurity. Increasing women’</w:t>
      </w:r>
      <w:r w:rsidR="00073830" w:rsidRPr="003F264A">
        <w:rPr>
          <w:rFonts w:cstheme="minorHAnsi"/>
        </w:rPr>
        <w:t>s wages has the potential to</w:t>
      </w:r>
      <w:r w:rsidRPr="003F264A">
        <w:rPr>
          <w:rFonts w:cstheme="minorHAnsi"/>
        </w:rPr>
        <w:t xml:space="preserve"> reduce “fatigue, stress, anxiety and depression”.</w:t>
      </w:r>
      <w:r w:rsidRPr="003F264A">
        <w:rPr>
          <w:rStyle w:val="FootnoteReference"/>
          <w:rFonts w:cstheme="minorHAnsi"/>
        </w:rPr>
        <w:footnoteReference w:id="145"/>
      </w:r>
      <w:r w:rsidRPr="003F264A">
        <w:rPr>
          <w:rFonts w:cstheme="minorHAnsi"/>
        </w:rPr>
        <w:t xml:space="preserve"> </w:t>
      </w:r>
      <w:r w:rsidR="00E36959" w:rsidRPr="003C5639">
        <w:rPr>
          <w:rFonts w:cstheme="minorHAnsi"/>
        </w:rPr>
        <w:t>Women reaching their potential in the workplace will positively impact the entire population and drive economic growth. Removing disincentives for women to enter the paid workforce is estimated to increase the size of the Australian economy by about $25 billion per year.</w:t>
      </w:r>
      <w:r w:rsidR="00E36959" w:rsidRPr="004E1416">
        <w:rPr>
          <w:rStyle w:val="FootnoteReference"/>
          <w:rFonts w:cstheme="minorHAnsi"/>
        </w:rPr>
        <w:footnoteReference w:id="146"/>
      </w:r>
      <w:r w:rsidR="00E36959" w:rsidRPr="004E1416">
        <w:rPr>
          <w:rFonts w:cstheme="minorHAnsi"/>
        </w:rPr>
        <w:t xml:space="preserve"> Research shows that closing the gap between men’s and women's employment rates will boost the level of Australia's GDP in the range of </w:t>
      </w:r>
      <w:r w:rsidR="00E36959">
        <w:rPr>
          <w:rFonts w:cstheme="minorHAnsi"/>
        </w:rPr>
        <w:t>8-11 </w:t>
      </w:r>
      <w:r w:rsidR="00E36959" w:rsidRPr="004E1416">
        <w:rPr>
          <w:rFonts w:cstheme="minorHAnsi"/>
        </w:rPr>
        <w:t>per</w:t>
      </w:r>
      <w:r w:rsidR="00E36959">
        <w:rPr>
          <w:rFonts w:cstheme="minorHAnsi"/>
        </w:rPr>
        <w:t> </w:t>
      </w:r>
      <w:r w:rsidR="00E36959" w:rsidRPr="004E1416">
        <w:rPr>
          <w:rFonts w:cstheme="minorHAnsi"/>
        </w:rPr>
        <w:t>cent.</w:t>
      </w:r>
      <w:r w:rsidR="00E36959" w:rsidRPr="004E1416">
        <w:rPr>
          <w:rStyle w:val="FootnoteReference"/>
          <w:rFonts w:cstheme="minorHAnsi"/>
        </w:rPr>
        <w:footnoteReference w:id="147"/>
      </w:r>
      <w:r w:rsidR="00E36959" w:rsidRPr="003F264A">
        <w:rPr>
          <w:rFonts w:cstheme="minorHAnsi"/>
        </w:rPr>
        <w:t xml:space="preserve"> </w:t>
      </w:r>
    </w:p>
    <w:p w14:paraId="5EA6D89C" w14:textId="1131E239" w:rsidR="00F0724B" w:rsidRPr="00416E48" w:rsidRDefault="00F77FDE" w:rsidP="000F6998">
      <w:pPr>
        <w:jc w:val="both"/>
        <w:rPr>
          <w:rFonts w:cstheme="minorHAnsi"/>
        </w:rPr>
      </w:pPr>
      <w:r w:rsidRPr="003F264A">
        <w:rPr>
          <w:rFonts w:cstheme="minorHAnsi"/>
        </w:rPr>
        <w:t xml:space="preserve">The cumulative impact </w:t>
      </w:r>
      <w:r w:rsidR="00012794" w:rsidRPr="003F264A">
        <w:rPr>
          <w:rFonts w:cstheme="minorHAnsi"/>
        </w:rPr>
        <w:t>of the Recommendations above</w:t>
      </w:r>
      <w:r w:rsidRPr="003F264A">
        <w:rPr>
          <w:rFonts w:cstheme="minorHAnsi"/>
        </w:rPr>
        <w:t xml:space="preserve"> is likely to lead to a</w:t>
      </w:r>
      <w:r w:rsidR="004D5404" w:rsidRPr="003F264A">
        <w:rPr>
          <w:rFonts w:cstheme="minorHAnsi"/>
        </w:rPr>
        <w:t xml:space="preserve"> </w:t>
      </w:r>
      <w:r w:rsidR="00874233">
        <w:rPr>
          <w:rFonts w:cstheme="minorHAnsi"/>
        </w:rPr>
        <w:t>faster</w:t>
      </w:r>
      <w:r w:rsidRPr="003F264A">
        <w:rPr>
          <w:rFonts w:cstheme="minorHAnsi"/>
        </w:rPr>
        <w:t xml:space="preserve"> </w:t>
      </w:r>
      <w:r w:rsidR="00012794" w:rsidRPr="003F264A">
        <w:rPr>
          <w:rFonts w:cstheme="minorHAnsi"/>
        </w:rPr>
        <w:t xml:space="preserve">reduction in the gender pay gap, economically and socially benefitting women across Australia, the individuals in their lives and their families. </w:t>
      </w:r>
      <w:r w:rsidRPr="003F264A">
        <w:rPr>
          <w:rFonts w:cstheme="minorHAnsi"/>
        </w:rPr>
        <w:t xml:space="preserve"> </w:t>
      </w:r>
      <w:r w:rsidR="00C04AFC" w:rsidRPr="003F264A">
        <w:rPr>
          <w:rFonts w:cstheme="minorHAnsi"/>
        </w:rPr>
        <w:t xml:space="preserve">When women are compensated equally and </w:t>
      </w:r>
      <w:r w:rsidR="008D3C39" w:rsidRPr="003F264A">
        <w:rPr>
          <w:rFonts w:cstheme="minorHAnsi"/>
        </w:rPr>
        <w:t>recogni</w:t>
      </w:r>
      <w:r w:rsidR="008D3C39">
        <w:rPr>
          <w:rFonts w:cstheme="minorHAnsi"/>
        </w:rPr>
        <w:t>s</w:t>
      </w:r>
      <w:r w:rsidR="008D3C39" w:rsidRPr="003F264A">
        <w:rPr>
          <w:rFonts w:cstheme="minorHAnsi"/>
        </w:rPr>
        <w:t xml:space="preserve">ed </w:t>
      </w:r>
      <w:r w:rsidR="00C04AFC" w:rsidRPr="003F264A">
        <w:rPr>
          <w:rFonts w:cstheme="minorHAnsi"/>
        </w:rPr>
        <w:t xml:space="preserve">for the work they do, everyone stands to gain. </w:t>
      </w:r>
    </w:p>
    <w:p w14:paraId="32F16FE8" w14:textId="14536719" w:rsidR="00C04AFC" w:rsidRPr="003F264A" w:rsidRDefault="004F6762" w:rsidP="000F6998">
      <w:pPr>
        <w:jc w:val="both"/>
        <w:rPr>
          <w:rFonts w:cstheme="minorHAnsi"/>
          <w:b/>
        </w:rPr>
      </w:pPr>
      <w:r w:rsidRPr="003F264A">
        <w:rPr>
          <w:rFonts w:cstheme="minorHAnsi"/>
          <w:b/>
        </w:rPr>
        <w:t>Costs</w:t>
      </w:r>
    </w:p>
    <w:p w14:paraId="568CA1C2" w14:textId="77777777" w:rsidR="00D84E2A" w:rsidRDefault="004F6762" w:rsidP="000F6998">
      <w:pPr>
        <w:jc w:val="both"/>
        <w:rPr>
          <w:rFonts w:cstheme="minorHAnsi"/>
        </w:rPr>
      </w:pPr>
      <w:r w:rsidRPr="003F264A">
        <w:rPr>
          <w:rFonts w:cstheme="minorHAnsi"/>
        </w:rPr>
        <w:t xml:space="preserve">Under </w:t>
      </w:r>
      <w:r w:rsidR="00EC28BD" w:rsidRPr="003F264A">
        <w:rPr>
          <w:rFonts w:cstheme="minorHAnsi"/>
        </w:rPr>
        <w:t>R</w:t>
      </w:r>
      <w:r w:rsidRPr="003F264A">
        <w:rPr>
          <w:rFonts w:cstheme="minorHAnsi"/>
        </w:rPr>
        <w:t>ecommendation 2</w:t>
      </w:r>
      <w:r w:rsidR="00EC28BD" w:rsidRPr="003F264A">
        <w:rPr>
          <w:rFonts w:cstheme="minorHAnsi"/>
        </w:rPr>
        <w:t>, no</w:t>
      </w:r>
      <w:r w:rsidRPr="003F264A">
        <w:rPr>
          <w:rFonts w:cstheme="minorHAnsi"/>
        </w:rPr>
        <w:t xml:space="preserve"> individual remuneration will be published. However, privacy concern</w:t>
      </w:r>
      <w:r w:rsidR="00EC28BD" w:rsidRPr="003F264A">
        <w:rPr>
          <w:rFonts w:cstheme="minorHAnsi"/>
        </w:rPr>
        <w:t>s remain for employees that are employed by smaller organisations that</w:t>
      </w:r>
      <w:r w:rsidRPr="003F264A">
        <w:rPr>
          <w:rFonts w:cstheme="minorHAnsi"/>
        </w:rPr>
        <w:t xml:space="preserve"> individual salaries may be able to be deduced. WGEA is conscious </w:t>
      </w:r>
      <w:r w:rsidR="00863CCA" w:rsidRPr="003F264A">
        <w:rPr>
          <w:rFonts w:cstheme="minorHAnsi"/>
        </w:rPr>
        <w:t xml:space="preserve">of </w:t>
      </w:r>
      <w:r w:rsidR="00EC28BD" w:rsidRPr="003F264A">
        <w:rPr>
          <w:rFonts w:cstheme="minorHAnsi"/>
        </w:rPr>
        <w:t xml:space="preserve">the importance of </w:t>
      </w:r>
      <w:r w:rsidR="00863CCA" w:rsidRPr="003F264A">
        <w:rPr>
          <w:rFonts w:cstheme="minorHAnsi"/>
        </w:rPr>
        <w:t>privacy safeguards</w:t>
      </w:r>
      <w:r w:rsidR="00301495">
        <w:rPr>
          <w:rFonts w:cstheme="minorHAnsi"/>
        </w:rPr>
        <w:t>,</w:t>
      </w:r>
      <w:r w:rsidR="00863CCA" w:rsidRPr="003F264A">
        <w:rPr>
          <w:rFonts w:cstheme="minorHAnsi"/>
        </w:rPr>
        <w:t xml:space="preserve"> and implementation will be designed with </w:t>
      </w:r>
      <w:r w:rsidR="00301495">
        <w:rPr>
          <w:rFonts w:cstheme="minorHAnsi"/>
        </w:rPr>
        <w:t>privacy</w:t>
      </w:r>
      <w:r w:rsidR="0041484E">
        <w:rPr>
          <w:rFonts w:cstheme="minorHAnsi"/>
        </w:rPr>
        <w:t xml:space="preserve"> in mind. WGEA’s policies and practices are in line with the obligations of the Privacy Act and Privacy Principles. WGEA conducts impact assessments in relation to privacy</w:t>
      </w:r>
      <w:r w:rsidR="00301495">
        <w:rPr>
          <w:rFonts w:cstheme="minorHAnsi"/>
        </w:rPr>
        <w:t>,</w:t>
      </w:r>
      <w:r w:rsidR="0041484E">
        <w:rPr>
          <w:rFonts w:cstheme="minorHAnsi"/>
        </w:rPr>
        <w:t xml:space="preserve"> and has privacy officers and champions in the </w:t>
      </w:r>
      <w:r w:rsidR="00301495">
        <w:rPr>
          <w:rFonts w:cstheme="minorHAnsi"/>
        </w:rPr>
        <w:t>A</w:t>
      </w:r>
      <w:r w:rsidR="0041484E">
        <w:rPr>
          <w:rFonts w:cstheme="minorHAnsi"/>
        </w:rPr>
        <w:t>gency. The WGE</w:t>
      </w:r>
      <w:r w:rsidR="00301495">
        <w:rPr>
          <w:rFonts w:cstheme="minorHAnsi"/>
        </w:rPr>
        <w:t> </w:t>
      </w:r>
      <w:r w:rsidR="0041484E">
        <w:rPr>
          <w:rFonts w:cstheme="minorHAnsi"/>
        </w:rPr>
        <w:t xml:space="preserve">Act also contains specific provisions regarding privacy in relation to the information that WGEA collects. </w:t>
      </w:r>
      <w:r w:rsidR="00376932" w:rsidRPr="003F264A">
        <w:rPr>
          <w:rFonts w:cstheme="minorHAnsi"/>
        </w:rPr>
        <w:t>Th</w:t>
      </w:r>
      <w:r w:rsidR="004D5404" w:rsidRPr="003F264A">
        <w:rPr>
          <w:rFonts w:cstheme="minorHAnsi"/>
        </w:rPr>
        <w:t xml:space="preserve">at said, </w:t>
      </w:r>
      <w:r w:rsidR="00376932" w:rsidRPr="003F264A">
        <w:rPr>
          <w:rFonts w:cstheme="minorHAnsi"/>
        </w:rPr>
        <w:t xml:space="preserve">concerns are </w:t>
      </w:r>
      <w:r w:rsidR="004D5404" w:rsidRPr="003F264A">
        <w:rPr>
          <w:rFonts w:cstheme="minorHAnsi"/>
        </w:rPr>
        <w:t>assuaged</w:t>
      </w:r>
      <w:r w:rsidR="00376932" w:rsidRPr="003F264A">
        <w:rPr>
          <w:rFonts w:cstheme="minorHAnsi"/>
        </w:rPr>
        <w:t xml:space="preserve"> by the methodology used by WGEA. </w:t>
      </w:r>
      <w:r w:rsidR="009910FD" w:rsidRPr="003F264A">
        <w:rPr>
          <w:rFonts w:cstheme="minorHAnsi"/>
        </w:rPr>
        <w:t>The minimum employment sized organisation in-scope and t</w:t>
      </w:r>
      <w:r w:rsidR="00376932" w:rsidRPr="003F264A">
        <w:rPr>
          <w:rFonts w:cstheme="minorHAnsi"/>
        </w:rPr>
        <w:t xml:space="preserve">he quartile breakdown of the data </w:t>
      </w:r>
      <w:r w:rsidR="009910FD" w:rsidRPr="003F264A">
        <w:rPr>
          <w:rFonts w:cstheme="minorHAnsi"/>
        </w:rPr>
        <w:t>implies</w:t>
      </w:r>
      <w:r w:rsidR="008A6CB0" w:rsidRPr="003F264A">
        <w:rPr>
          <w:rFonts w:cstheme="minorHAnsi"/>
        </w:rPr>
        <w:t xml:space="preserve"> </w:t>
      </w:r>
      <w:r w:rsidR="00376932" w:rsidRPr="003F264A">
        <w:rPr>
          <w:rFonts w:cstheme="minorHAnsi"/>
        </w:rPr>
        <w:t xml:space="preserve">there will always be at least 25 individuals in each </w:t>
      </w:r>
      <w:r w:rsidR="009910FD" w:rsidRPr="003F264A">
        <w:rPr>
          <w:rFonts w:cstheme="minorHAnsi"/>
        </w:rPr>
        <w:t>quartile</w:t>
      </w:r>
      <w:r w:rsidR="00376932" w:rsidRPr="003F264A">
        <w:rPr>
          <w:rFonts w:cstheme="minorHAnsi"/>
        </w:rPr>
        <w:t xml:space="preserve">, </w:t>
      </w:r>
      <w:r w:rsidR="009910FD" w:rsidRPr="003F264A">
        <w:rPr>
          <w:rFonts w:cstheme="minorHAnsi"/>
        </w:rPr>
        <w:t xml:space="preserve">on this basis </w:t>
      </w:r>
      <w:r w:rsidR="00376932" w:rsidRPr="003F264A">
        <w:rPr>
          <w:rFonts w:cstheme="minorHAnsi"/>
        </w:rPr>
        <w:t xml:space="preserve">it would </w:t>
      </w:r>
      <w:r w:rsidR="009910FD" w:rsidRPr="003F264A">
        <w:rPr>
          <w:rFonts w:cstheme="minorHAnsi"/>
        </w:rPr>
        <w:t>not be possible</w:t>
      </w:r>
      <w:r w:rsidR="00376932" w:rsidRPr="003F264A">
        <w:rPr>
          <w:rFonts w:cstheme="minorHAnsi"/>
        </w:rPr>
        <w:t xml:space="preserve"> for individual salaries to be identified.</w:t>
      </w:r>
    </w:p>
    <w:p w14:paraId="19A322F9" w14:textId="56DF7B5E" w:rsidR="00584E78" w:rsidRPr="003F264A" w:rsidRDefault="00584E78" w:rsidP="000F6998">
      <w:pPr>
        <w:jc w:val="both"/>
        <w:rPr>
          <w:rFonts w:cstheme="minorHAnsi"/>
        </w:rPr>
      </w:pPr>
      <w:r w:rsidRPr="003F264A">
        <w:rPr>
          <w:rFonts w:cstheme="minorHAnsi"/>
        </w:rPr>
        <w:t>Recommendations 3,</w:t>
      </w:r>
      <w:r w:rsidR="008A6CB0" w:rsidRPr="003F264A">
        <w:rPr>
          <w:rFonts w:cstheme="minorHAnsi"/>
        </w:rPr>
        <w:t xml:space="preserve"> </w:t>
      </w:r>
      <w:r w:rsidRPr="003F264A">
        <w:rPr>
          <w:rFonts w:cstheme="minorHAnsi"/>
        </w:rPr>
        <w:t xml:space="preserve">4 and 7 are not expected to have any first or second round costs for individuals.  </w:t>
      </w:r>
    </w:p>
    <w:p w14:paraId="22817B9B" w14:textId="77777777" w:rsidR="00602491" w:rsidRPr="003F264A" w:rsidRDefault="008E5A12" w:rsidP="000F6998">
      <w:pPr>
        <w:pStyle w:val="Heading2"/>
        <w:jc w:val="both"/>
        <w:rPr>
          <w:rFonts w:asciiTheme="minorHAnsi" w:eastAsia="Calibri Light" w:hAnsiTheme="minorHAnsi" w:cstheme="minorHAnsi"/>
          <w:color w:val="4472C4" w:themeColor="accent5"/>
        </w:rPr>
      </w:pPr>
      <w:bookmarkStart w:id="109" w:name="_Toc118794757"/>
      <w:bookmarkStart w:id="110" w:name="_Toc125714732"/>
      <w:r w:rsidRPr="003F264A">
        <w:rPr>
          <w:rFonts w:asciiTheme="minorHAnsi" w:eastAsia="Calibri Light" w:hAnsiTheme="minorHAnsi" w:cstheme="minorHAnsi"/>
          <w:color w:val="4472C4" w:themeColor="accent5"/>
        </w:rPr>
        <w:t>9</w:t>
      </w:r>
      <w:r w:rsidR="00602491" w:rsidRPr="003F264A">
        <w:rPr>
          <w:rFonts w:asciiTheme="minorHAnsi" w:eastAsia="Calibri Light" w:hAnsiTheme="minorHAnsi" w:cstheme="minorHAnsi"/>
          <w:color w:val="4472C4" w:themeColor="accent5"/>
        </w:rPr>
        <w:t xml:space="preserve">.1.2 </w:t>
      </w:r>
      <w:r w:rsidR="009971F9">
        <w:rPr>
          <w:rFonts w:asciiTheme="minorHAnsi" w:eastAsia="Calibri Light" w:hAnsiTheme="minorHAnsi" w:cstheme="minorHAnsi"/>
          <w:color w:val="4472C4" w:themeColor="accent5"/>
        </w:rPr>
        <w:t xml:space="preserve">Medium and Large </w:t>
      </w:r>
      <w:r w:rsidR="00602491" w:rsidRPr="003F264A">
        <w:rPr>
          <w:rFonts w:asciiTheme="minorHAnsi" w:eastAsia="Calibri Light" w:hAnsiTheme="minorHAnsi" w:cstheme="minorHAnsi"/>
          <w:color w:val="4472C4" w:themeColor="accent5"/>
        </w:rPr>
        <w:t>Businesses</w:t>
      </w:r>
      <w:r w:rsidR="00220FD3" w:rsidRPr="003F264A">
        <w:rPr>
          <w:rFonts w:asciiTheme="minorHAnsi" w:eastAsia="Calibri Light" w:hAnsiTheme="minorHAnsi" w:cstheme="minorHAnsi"/>
          <w:color w:val="4472C4" w:themeColor="accent5"/>
        </w:rPr>
        <w:t xml:space="preserve"> (and Community Organisations)</w:t>
      </w:r>
      <w:bookmarkEnd w:id="109"/>
      <w:bookmarkEnd w:id="110"/>
    </w:p>
    <w:p w14:paraId="5C6FB848" w14:textId="77777777" w:rsidR="00F31B8B" w:rsidRPr="003F264A" w:rsidRDefault="009910FD" w:rsidP="000F6998">
      <w:pPr>
        <w:pStyle w:val="Default"/>
        <w:spacing w:before="240"/>
        <w:jc w:val="both"/>
        <w:rPr>
          <w:rFonts w:asciiTheme="minorHAnsi" w:hAnsiTheme="minorHAnsi" w:cstheme="minorHAnsi"/>
          <w:color w:val="auto"/>
          <w:sz w:val="22"/>
          <w:szCs w:val="22"/>
        </w:rPr>
      </w:pPr>
      <w:r w:rsidRPr="003F264A">
        <w:rPr>
          <w:rFonts w:asciiTheme="minorHAnsi" w:hAnsiTheme="minorHAnsi" w:cstheme="minorHAnsi"/>
          <w:color w:val="auto"/>
          <w:sz w:val="22"/>
          <w:szCs w:val="22"/>
        </w:rPr>
        <w:t>Implement</w:t>
      </w:r>
      <w:r w:rsidR="008D3C39">
        <w:rPr>
          <w:rFonts w:asciiTheme="minorHAnsi" w:hAnsiTheme="minorHAnsi" w:cstheme="minorHAnsi"/>
          <w:color w:val="auto"/>
          <w:sz w:val="22"/>
          <w:szCs w:val="22"/>
        </w:rPr>
        <w:t>ing</w:t>
      </w:r>
      <w:r w:rsidR="008A6CB0" w:rsidRPr="003F264A">
        <w:rPr>
          <w:rFonts w:asciiTheme="minorHAnsi" w:hAnsiTheme="minorHAnsi" w:cstheme="minorHAnsi"/>
          <w:color w:val="auto"/>
          <w:sz w:val="22"/>
          <w:szCs w:val="22"/>
        </w:rPr>
        <w:t xml:space="preserve"> </w:t>
      </w:r>
      <w:r w:rsidR="005C65DE" w:rsidRPr="003F264A">
        <w:rPr>
          <w:rFonts w:asciiTheme="minorHAnsi" w:hAnsiTheme="minorHAnsi" w:cstheme="minorHAnsi"/>
          <w:color w:val="auto"/>
          <w:sz w:val="22"/>
          <w:szCs w:val="22"/>
        </w:rPr>
        <w:t>Recommendation 2 increase</w:t>
      </w:r>
      <w:r w:rsidR="008D3C39">
        <w:rPr>
          <w:rFonts w:asciiTheme="minorHAnsi" w:hAnsiTheme="minorHAnsi" w:cstheme="minorHAnsi"/>
          <w:color w:val="auto"/>
          <w:sz w:val="22"/>
          <w:szCs w:val="22"/>
        </w:rPr>
        <w:t>s</w:t>
      </w:r>
      <w:r w:rsidR="005C65DE" w:rsidRPr="003F264A">
        <w:rPr>
          <w:rFonts w:asciiTheme="minorHAnsi" w:hAnsiTheme="minorHAnsi" w:cstheme="minorHAnsi"/>
          <w:color w:val="auto"/>
          <w:sz w:val="22"/>
          <w:szCs w:val="22"/>
        </w:rPr>
        <w:t xml:space="preserve"> </w:t>
      </w:r>
      <w:r w:rsidRPr="003F264A">
        <w:rPr>
          <w:rFonts w:asciiTheme="minorHAnsi" w:hAnsiTheme="minorHAnsi" w:cstheme="minorHAnsi"/>
          <w:color w:val="auto"/>
          <w:sz w:val="22"/>
          <w:szCs w:val="22"/>
        </w:rPr>
        <w:t xml:space="preserve">the </w:t>
      </w:r>
      <w:r w:rsidR="005C65DE" w:rsidRPr="003F264A">
        <w:rPr>
          <w:rFonts w:asciiTheme="minorHAnsi" w:hAnsiTheme="minorHAnsi" w:cstheme="minorHAnsi"/>
          <w:color w:val="auto"/>
          <w:sz w:val="22"/>
          <w:szCs w:val="22"/>
        </w:rPr>
        <w:t>transparency of businesses’ organisational pay gaps. Transparency can</w:t>
      </w:r>
      <w:r w:rsidR="00007509" w:rsidRPr="003F264A">
        <w:rPr>
          <w:rFonts w:asciiTheme="minorHAnsi" w:hAnsiTheme="minorHAnsi" w:cstheme="minorHAnsi"/>
          <w:color w:val="auto"/>
          <w:sz w:val="22"/>
          <w:szCs w:val="22"/>
        </w:rPr>
        <w:t xml:space="preserve"> be a strong motivator for businesses</w:t>
      </w:r>
      <w:r w:rsidR="0064343F" w:rsidRPr="003F264A">
        <w:rPr>
          <w:rFonts w:asciiTheme="minorHAnsi" w:hAnsiTheme="minorHAnsi" w:cstheme="minorHAnsi"/>
          <w:color w:val="auto"/>
          <w:sz w:val="22"/>
          <w:szCs w:val="22"/>
        </w:rPr>
        <w:t>, both medium and large,</w:t>
      </w:r>
      <w:r w:rsidR="00007509" w:rsidRPr="003F264A">
        <w:rPr>
          <w:rFonts w:asciiTheme="minorHAnsi" w:hAnsiTheme="minorHAnsi" w:cstheme="minorHAnsi"/>
          <w:color w:val="auto"/>
          <w:sz w:val="22"/>
          <w:szCs w:val="22"/>
        </w:rPr>
        <w:t xml:space="preserve"> to address their gender pay gaps. </w:t>
      </w:r>
      <w:r w:rsidR="00F31B8B" w:rsidRPr="003F264A">
        <w:rPr>
          <w:rFonts w:asciiTheme="minorHAnsi" w:hAnsiTheme="minorHAnsi" w:cstheme="minorHAnsi"/>
          <w:color w:val="auto"/>
          <w:sz w:val="22"/>
          <w:szCs w:val="22"/>
        </w:rPr>
        <w:t>In the UK, this was most recently demonstrated by the media sensation of the Gender Pay Gap Bot that retweeted companies’ International Women’s Day posts alongside reported pay gaps.</w:t>
      </w:r>
      <w:r w:rsidR="00F31B8B" w:rsidRPr="003F264A">
        <w:rPr>
          <w:rStyle w:val="FootnoteReference"/>
          <w:rFonts w:asciiTheme="minorHAnsi" w:hAnsiTheme="minorHAnsi" w:cstheme="minorHAnsi"/>
          <w:color w:val="auto"/>
          <w:sz w:val="22"/>
          <w:szCs w:val="22"/>
        </w:rPr>
        <w:footnoteReference w:id="148"/>
      </w:r>
      <w:r w:rsidR="00F31B8B" w:rsidRPr="003F264A">
        <w:rPr>
          <w:rFonts w:asciiTheme="minorHAnsi" w:hAnsiTheme="minorHAnsi" w:cstheme="minorHAnsi"/>
          <w:color w:val="auto"/>
          <w:sz w:val="22"/>
          <w:szCs w:val="22"/>
        </w:rPr>
        <w:t xml:space="preserve"> </w:t>
      </w:r>
    </w:p>
    <w:p w14:paraId="44FD8D3B" w14:textId="77777777" w:rsidR="00F31B8B" w:rsidRPr="003F264A" w:rsidRDefault="00F31B8B" w:rsidP="000F6998">
      <w:pPr>
        <w:pStyle w:val="Default"/>
        <w:jc w:val="both"/>
        <w:rPr>
          <w:rFonts w:asciiTheme="minorHAnsi" w:hAnsiTheme="minorHAnsi" w:cstheme="minorHAnsi"/>
          <w:color w:val="auto"/>
          <w:sz w:val="22"/>
          <w:szCs w:val="22"/>
        </w:rPr>
      </w:pPr>
    </w:p>
    <w:p w14:paraId="4E1FD990" w14:textId="62272AA7" w:rsidR="00602491" w:rsidRPr="003F264A" w:rsidRDefault="00007509" w:rsidP="000F6998">
      <w:pPr>
        <w:pStyle w:val="Default"/>
        <w:jc w:val="both"/>
        <w:rPr>
          <w:rFonts w:asciiTheme="minorHAnsi" w:hAnsiTheme="minorHAnsi" w:cstheme="minorHAnsi"/>
          <w:color w:val="auto"/>
          <w:sz w:val="22"/>
          <w:szCs w:val="22"/>
        </w:rPr>
      </w:pPr>
      <w:r w:rsidRPr="003F264A">
        <w:rPr>
          <w:rFonts w:asciiTheme="minorHAnsi" w:hAnsiTheme="minorHAnsi" w:cstheme="minorHAnsi"/>
          <w:color w:val="auto"/>
          <w:sz w:val="22"/>
          <w:szCs w:val="22"/>
        </w:rPr>
        <w:t xml:space="preserve">During consultation, business stakeholders expressed a strong interest in having time to prepare for these changes, indicating their desire to implement immediate changes before organisational changes are public. </w:t>
      </w:r>
      <w:r w:rsidR="005C65DE" w:rsidRPr="003F264A">
        <w:rPr>
          <w:rFonts w:asciiTheme="minorHAnsi" w:hAnsiTheme="minorHAnsi" w:cstheme="minorHAnsi"/>
          <w:color w:val="auto"/>
          <w:sz w:val="22"/>
          <w:szCs w:val="22"/>
        </w:rPr>
        <w:t xml:space="preserve">This demonstrates that the introduction of Recommendation 2 has already led to businesses giving thought to their organisational gender pay gaps. </w:t>
      </w:r>
      <w:r w:rsidR="00566B6B" w:rsidRPr="003F264A">
        <w:rPr>
          <w:rFonts w:asciiTheme="minorHAnsi" w:hAnsiTheme="minorHAnsi" w:cstheme="minorHAnsi"/>
          <w:color w:val="auto"/>
          <w:sz w:val="22"/>
          <w:szCs w:val="22"/>
        </w:rPr>
        <w:t xml:space="preserve">A number of leading Australian </w:t>
      </w:r>
      <w:r w:rsidR="00C149DF" w:rsidRPr="003F264A">
        <w:rPr>
          <w:rFonts w:asciiTheme="minorHAnsi" w:hAnsiTheme="minorHAnsi" w:cstheme="minorHAnsi"/>
          <w:color w:val="auto"/>
          <w:sz w:val="22"/>
          <w:szCs w:val="22"/>
        </w:rPr>
        <w:t>employers</w:t>
      </w:r>
      <w:r w:rsidR="00566B6B" w:rsidRPr="003F264A">
        <w:rPr>
          <w:rFonts w:asciiTheme="minorHAnsi" w:hAnsiTheme="minorHAnsi" w:cstheme="minorHAnsi"/>
          <w:color w:val="auto"/>
          <w:sz w:val="22"/>
          <w:szCs w:val="22"/>
        </w:rPr>
        <w:t xml:space="preserve"> already publish their </w:t>
      </w:r>
      <w:r w:rsidR="00301495">
        <w:rPr>
          <w:rFonts w:asciiTheme="minorHAnsi" w:hAnsiTheme="minorHAnsi" w:cstheme="minorHAnsi"/>
          <w:color w:val="auto"/>
          <w:sz w:val="22"/>
          <w:szCs w:val="22"/>
        </w:rPr>
        <w:t xml:space="preserve">organisational </w:t>
      </w:r>
      <w:r w:rsidR="00566B6B" w:rsidRPr="003F264A">
        <w:rPr>
          <w:rFonts w:asciiTheme="minorHAnsi" w:hAnsiTheme="minorHAnsi" w:cstheme="minorHAnsi"/>
          <w:color w:val="auto"/>
          <w:sz w:val="22"/>
          <w:szCs w:val="22"/>
        </w:rPr>
        <w:t>gender pay gaps.</w:t>
      </w:r>
      <w:r w:rsidR="00566B6B" w:rsidRPr="003F264A">
        <w:rPr>
          <w:rStyle w:val="FootnoteReference"/>
          <w:rFonts w:asciiTheme="minorHAnsi" w:hAnsiTheme="minorHAnsi" w:cstheme="minorHAnsi"/>
          <w:color w:val="auto"/>
          <w:sz w:val="22"/>
          <w:szCs w:val="22"/>
        </w:rPr>
        <w:footnoteReference w:id="149"/>
      </w:r>
      <w:r w:rsidR="00566B6B" w:rsidRPr="003F264A">
        <w:rPr>
          <w:rFonts w:asciiTheme="minorHAnsi" w:hAnsiTheme="minorHAnsi" w:cstheme="minorHAnsi"/>
          <w:color w:val="auto"/>
          <w:sz w:val="22"/>
          <w:szCs w:val="22"/>
        </w:rPr>
        <w:t xml:space="preserve"> </w:t>
      </w:r>
      <w:r w:rsidR="00356FB2">
        <w:rPr>
          <w:rFonts w:asciiTheme="minorHAnsi" w:hAnsiTheme="minorHAnsi" w:cstheme="minorHAnsi"/>
          <w:color w:val="auto"/>
          <w:sz w:val="22"/>
          <w:szCs w:val="22"/>
        </w:rPr>
        <w:t xml:space="preserve">The </w:t>
      </w:r>
      <w:r w:rsidR="0016799A">
        <w:rPr>
          <w:rFonts w:asciiTheme="minorHAnsi" w:hAnsiTheme="minorHAnsi" w:cstheme="minorHAnsi"/>
          <w:color w:val="auto"/>
          <w:sz w:val="22"/>
          <w:szCs w:val="22"/>
        </w:rPr>
        <w:t>strength of</w:t>
      </w:r>
      <w:r w:rsidR="00356FB2">
        <w:rPr>
          <w:rFonts w:asciiTheme="minorHAnsi" w:hAnsiTheme="minorHAnsi" w:cstheme="minorHAnsi"/>
          <w:color w:val="auto"/>
          <w:sz w:val="22"/>
          <w:szCs w:val="22"/>
        </w:rPr>
        <w:t xml:space="preserve"> pub</w:t>
      </w:r>
      <w:r w:rsidR="001B5B12">
        <w:rPr>
          <w:rFonts w:asciiTheme="minorHAnsi" w:hAnsiTheme="minorHAnsi" w:cstheme="minorHAnsi"/>
          <w:color w:val="auto"/>
          <w:sz w:val="22"/>
          <w:szCs w:val="22"/>
        </w:rPr>
        <w:t>lication will be enhanced through the objectivity of WGEA and the additional</w:t>
      </w:r>
      <w:r w:rsidR="00356FB2">
        <w:rPr>
          <w:rFonts w:asciiTheme="minorHAnsi" w:hAnsiTheme="minorHAnsi" w:cstheme="minorHAnsi"/>
          <w:color w:val="auto"/>
          <w:sz w:val="22"/>
          <w:szCs w:val="22"/>
        </w:rPr>
        <w:t xml:space="preserve"> in depth analysis provided by WGEA through implementation</w:t>
      </w:r>
      <w:r w:rsidR="00FF0ABD">
        <w:rPr>
          <w:rFonts w:asciiTheme="minorHAnsi" w:hAnsiTheme="minorHAnsi" w:cstheme="minorHAnsi"/>
          <w:color w:val="auto"/>
          <w:sz w:val="22"/>
          <w:szCs w:val="22"/>
        </w:rPr>
        <w:t xml:space="preserve"> of Option 3</w:t>
      </w:r>
      <w:r w:rsidR="00356FB2">
        <w:rPr>
          <w:rFonts w:asciiTheme="minorHAnsi" w:hAnsiTheme="minorHAnsi" w:cstheme="minorHAnsi"/>
          <w:color w:val="auto"/>
          <w:sz w:val="22"/>
          <w:szCs w:val="22"/>
        </w:rPr>
        <w:t>.</w:t>
      </w:r>
      <w:r w:rsidR="001B5B12">
        <w:rPr>
          <w:rFonts w:asciiTheme="minorHAnsi" w:hAnsiTheme="minorHAnsi" w:cstheme="minorHAnsi"/>
          <w:color w:val="auto"/>
          <w:sz w:val="22"/>
          <w:szCs w:val="22"/>
        </w:rPr>
        <w:t xml:space="preserve"> In addition, employers who do not currently publish their gender pay gap but that comply with WGEA reporting will have their gender pay gap calculated and published by WGEA, consequently </w:t>
      </w:r>
      <w:r w:rsidR="00CE2316">
        <w:rPr>
          <w:rFonts w:asciiTheme="minorHAnsi" w:hAnsiTheme="minorHAnsi" w:cstheme="minorHAnsi"/>
          <w:color w:val="auto"/>
          <w:sz w:val="22"/>
          <w:szCs w:val="22"/>
        </w:rPr>
        <w:t>increasing the number of organisations with published gender pay gaps significantly and reducing the burden on employers to calculate this percentage themselves.</w:t>
      </w:r>
      <w:r w:rsidR="001B5B12">
        <w:rPr>
          <w:rFonts w:asciiTheme="minorHAnsi" w:hAnsiTheme="minorHAnsi" w:cstheme="minorHAnsi"/>
          <w:color w:val="auto"/>
          <w:sz w:val="22"/>
          <w:szCs w:val="22"/>
        </w:rPr>
        <w:t xml:space="preserve"> </w:t>
      </w:r>
    </w:p>
    <w:p w14:paraId="36EA4DF1" w14:textId="77777777" w:rsidR="00217EE5" w:rsidRPr="003F264A" w:rsidRDefault="00217EE5" w:rsidP="000F6998">
      <w:pPr>
        <w:pStyle w:val="Default"/>
        <w:jc w:val="both"/>
        <w:rPr>
          <w:rFonts w:asciiTheme="minorHAnsi" w:hAnsiTheme="minorHAnsi" w:cstheme="minorHAnsi"/>
          <w:i/>
          <w:iCs/>
          <w:sz w:val="22"/>
          <w:szCs w:val="22"/>
        </w:rPr>
      </w:pPr>
    </w:p>
    <w:p w14:paraId="55BCEE37" w14:textId="77777777" w:rsidR="00217EE5" w:rsidRPr="003F264A" w:rsidRDefault="0064343F" w:rsidP="000F6998">
      <w:pPr>
        <w:pStyle w:val="Default"/>
        <w:jc w:val="both"/>
        <w:rPr>
          <w:rFonts w:asciiTheme="minorHAnsi" w:hAnsiTheme="minorHAnsi" w:cstheme="minorHAnsi"/>
          <w:color w:val="auto"/>
          <w:sz w:val="22"/>
          <w:szCs w:val="22"/>
        </w:rPr>
      </w:pPr>
      <w:r w:rsidRPr="003F264A">
        <w:rPr>
          <w:rFonts w:asciiTheme="minorHAnsi" w:hAnsiTheme="minorHAnsi" w:cstheme="minorHAnsi"/>
          <w:color w:val="auto"/>
          <w:sz w:val="22"/>
          <w:szCs w:val="22"/>
        </w:rPr>
        <w:t>WGEA’s submission to the Review stated “i</w:t>
      </w:r>
      <w:r w:rsidR="00217EE5" w:rsidRPr="003F264A">
        <w:rPr>
          <w:rFonts w:asciiTheme="minorHAnsi" w:hAnsiTheme="minorHAnsi" w:cstheme="minorHAnsi"/>
          <w:color w:val="auto"/>
          <w:sz w:val="22"/>
          <w:szCs w:val="22"/>
        </w:rPr>
        <w:t>ncreased transparency can cause organisations to assess systems and processes for pay, job evaluation and performance. Publishing individual organisations gender pay gaps can also generate stakeholder engagement and pressure and inform investment decisions. Without organisational gender pay gaps – “arguably the most important variable” – in the Agency’s public dataset, the dataset is less useful for impr</w:t>
      </w:r>
      <w:r w:rsidR="0022538D" w:rsidRPr="003F264A">
        <w:rPr>
          <w:rFonts w:asciiTheme="minorHAnsi" w:hAnsiTheme="minorHAnsi" w:cstheme="minorHAnsi"/>
          <w:color w:val="auto"/>
          <w:sz w:val="22"/>
          <w:szCs w:val="22"/>
        </w:rPr>
        <w:t>oving gender equality outcomes.</w:t>
      </w:r>
      <w:r w:rsidRPr="003F264A">
        <w:rPr>
          <w:rFonts w:asciiTheme="minorHAnsi" w:hAnsiTheme="minorHAnsi" w:cstheme="minorHAnsi"/>
          <w:color w:val="auto"/>
          <w:sz w:val="22"/>
          <w:szCs w:val="22"/>
        </w:rPr>
        <w:t>“</w:t>
      </w:r>
      <w:r w:rsidR="0022538D" w:rsidRPr="003F264A">
        <w:rPr>
          <w:rStyle w:val="FootnoteReference"/>
          <w:rFonts w:asciiTheme="minorHAnsi" w:hAnsiTheme="minorHAnsi" w:cstheme="minorHAnsi"/>
          <w:color w:val="auto"/>
          <w:sz w:val="22"/>
          <w:szCs w:val="22"/>
        </w:rPr>
        <w:footnoteReference w:id="150"/>
      </w:r>
    </w:p>
    <w:p w14:paraId="4C0BA1C0" w14:textId="77777777" w:rsidR="0060017F" w:rsidRPr="003F264A" w:rsidRDefault="0060017F" w:rsidP="000F6998">
      <w:pPr>
        <w:pStyle w:val="Default"/>
        <w:jc w:val="both"/>
        <w:rPr>
          <w:rFonts w:asciiTheme="minorHAnsi" w:hAnsiTheme="minorHAnsi" w:cstheme="minorHAnsi"/>
          <w:color w:val="auto"/>
          <w:sz w:val="22"/>
          <w:szCs w:val="22"/>
        </w:rPr>
      </w:pPr>
    </w:p>
    <w:p w14:paraId="7549208F" w14:textId="77777777" w:rsidR="00DB4A17" w:rsidRPr="003F264A" w:rsidRDefault="0060017F" w:rsidP="000F6998">
      <w:pPr>
        <w:autoSpaceDE w:val="0"/>
        <w:autoSpaceDN w:val="0"/>
        <w:adjustRightInd w:val="0"/>
        <w:spacing w:after="0" w:line="240" w:lineRule="auto"/>
        <w:jc w:val="both"/>
        <w:rPr>
          <w:rFonts w:cstheme="minorHAnsi"/>
        </w:rPr>
      </w:pPr>
      <w:r w:rsidRPr="003F264A">
        <w:rPr>
          <w:rFonts w:cstheme="minorHAnsi"/>
        </w:rPr>
        <w:t>Recommendation 3 addresses the current status quo problem of companies reporting but not taking real ‘action’, i.e. the ‘action gap’.</w:t>
      </w:r>
      <w:r w:rsidR="00DB4A17" w:rsidRPr="003F264A">
        <w:rPr>
          <w:rFonts w:cstheme="minorHAnsi"/>
        </w:rPr>
        <w:t xml:space="preserve"> It requires large companies to:</w:t>
      </w:r>
    </w:p>
    <w:p w14:paraId="1172F7AD" w14:textId="77777777" w:rsidR="00DB4A17" w:rsidRPr="003F264A" w:rsidRDefault="00DB4A17" w:rsidP="000F6998">
      <w:pPr>
        <w:autoSpaceDE w:val="0"/>
        <w:autoSpaceDN w:val="0"/>
        <w:adjustRightInd w:val="0"/>
        <w:spacing w:after="0" w:line="240" w:lineRule="auto"/>
        <w:jc w:val="both"/>
        <w:rPr>
          <w:rFonts w:cstheme="minorHAnsi"/>
        </w:rPr>
      </w:pPr>
    </w:p>
    <w:p w14:paraId="029466B7" w14:textId="77777777" w:rsidR="00DB4A17" w:rsidRPr="003F264A" w:rsidRDefault="00DB4A17" w:rsidP="000F6998">
      <w:pPr>
        <w:pStyle w:val="ListParagraph"/>
        <w:numPr>
          <w:ilvl w:val="0"/>
          <w:numId w:val="33"/>
        </w:numPr>
        <w:autoSpaceDE w:val="0"/>
        <w:autoSpaceDN w:val="0"/>
        <w:adjustRightInd w:val="0"/>
        <w:spacing w:after="0" w:line="240" w:lineRule="auto"/>
        <w:jc w:val="both"/>
        <w:rPr>
          <w:rFonts w:cstheme="minorHAnsi"/>
          <w:color w:val="000000"/>
        </w:rPr>
      </w:pPr>
      <w:r w:rsidRPr="003F264A">
        <w:rPr>
          <w:rFonts w:cstheme="minorHAnsi"/>
          <w:color w:val="000000"/>
        </w:rPr>
        <w:t xml:space="preserve">commit to, achieve and publicly report to WGEA on measurable genuine targets to improve gender equality in their workplaces against three of the six </w:t>
      </w:r>
      <w:r w:rsidR="00EB0A7D" w:rsidRPr="003F264A">
        <w:rPr>
          <w:rFonts w:cstheme="minorHAnsi"/>
          <w:color w:val="000000"/>
        </w:rPr>
        <w:t>GEI</w:t>
      </w:r>
      <w:r w:rsidRPr="003F264A">
        <w:rPr>
          <w:rFonts w:cstheme="minorHAnsi"/>
          <w:color w:val="000000"/>
        </w:rPr>
        <w:t>s; and</w:t>
      </w:r>
    </w:p>
    <w:p w14:paraId="12353D2B" w14:textId="77777777" w:rsidR="00DB4A17" w:rsidRPr="003F264A" w:rsidRDefault="00DB4A17" w:rsidP="000F6998">
      <w:pPr>
        <w:pStyle w:val="ListParagraph"/>
        <w:numPr>
          <w:ilvl w:val="0"/>
          <w:numId w:val="33"/>
        </w:numPr>
        <w:autoSpaceDE w:val="0"/>
        <w:autoSpaceDN w:val="0"/>
        <w:adjustRightInd w:val="0"/>
        <w:spacing w:after="0" w:line="240" w:lineRule="auto"/>
        <w:jc w:val="both"/>
        <w:rPr>
          <w:rFonts w:cstheme="minorHAnsi"/>
        </w:rPr>
      </w:pPr>
      <w:r w:rsidRPr="003F264A">
        <w:rPr>
          <w:rFonts w:cstheme="minorHAnsi"/>
          <w:color w:val="000000"/>
        </w:rPr>
        <w:t xml:space="preserve">have a policy or strategy against all six </w:t>
      </w:r>
      <w:r w:rsidR="00EB0A7D" w:rsidRPr="003F264A">
        <w:rPr>
          <w:rFonts w:cstheme="minorHAnsi"/>
          <w:color w:val="000000"/>
        </w:rPr>
        <w:t>GEI</w:t>
      </w:r>
      <w:r w:rsidRPr="003F264A">
        <w:rPr>
          <w:rFonts w:cstheme="minorHAnsi"/>
          <w:color w:val="000000"/>
        </w:rPr>
        <w:t>s, not just one of</w:t>
      </w:r>
      <w:r w:rsidR="00F31B8B" w:rsidRPr="003F264A">
        <w:rPr>
          <w:rFonts w:cstheme="minorHAnsi"/>
          <w:color w:val="000000"/>
        </w:rPr>
        <w:t xml:space="preserve"> four as is currently the case.</w:t>
      </w:r>
    </w:p>
    <w:p w14:paraId="1F78676D" w14:textId="77777777" w:rsidR="00DB4A17" w:rsidRPr="003F264A" w:rsidRDefault="00DB4A17" w:rsidP="000F6998">
      <w:pPr>
        <w:autoSpaceDE w:val="0"/>
        <w:autoSpaceDN w:val="0"/>
        <w:adjustRightInd w:val="0"/>
        <w:spacing w:after="0" w:line="240" w:lineRule="auto"/>
        <w:jc w:val="both"/>
        <w:rPr>
          <w:rFonts w:cstheme="minorHAnsi"/>
        </w:rPr>
      </w:pPr>
    </w:p>
    <w:p w14:paraId="6924920B" w14:textId="382DD081" w:rsidR="003713E0" w:rsidRPr="003F264A" w:rsidRDefault="00F922F6" w:rsidP="000F6998">
      <w:pPr>
        <w:autoSpaceDE w:val="0"/>
        <w:autoSpaceDN w:val="0"/>
        <w:adjustRightInd w:val="0"/>
        <w:spacing w:after="0" w:line="240" w:lineRule="auto"/>
        <w:jc w:val="both"/>
        <w:rPr>
          <w:rFonts w:cstheme="minorHAnsi"/>
          <w:color w:val="000000"/>
        </w:rPr>
      </w:pPr>
      <w:r>
        <w:rPr>
          <w:rFonts w:cstheme="minorHAnsi"/>
          <w:color w:val="000000"/>
        </w:rPr>
        <w:t xml:space="preserve">Stakeholders supported this recommendation in Review consultations, proposing </w:t>
      </w:r>
      <w:r w:rsidR="005730F9" w:rsidRPr="003F264A">
        <w:rPr>
          <w:rFonts w:cstheme="minorHAnsi"/>
          <w:color w:val="000000"/>
        </w:rPr>
        <w:t xml:space="preserve">substantial strengthening of the minimum standards as a mechanism to drive change </w:t>
      </w:r>
      <w:r w:rsidR="00301495">
        <w:rPr>
          <w:rFonts w:cstheme="minorHAnsi"/>
          <w:color w:val="000000"/>
        </w:rPr>
        <w:t>to advance</w:t>
      </w:r>
      <w:r w:rsidR="00301495" w:rsidRPr="003F264A">
        <w:rPr>
          <w:rFonts w:cstheme="minorHAnsi"/>
          <w:color w:val="000000"/>
        </w:rPr>
        <w:t xml:space="preserve"> </w:t>
      </w:r>
      <w:r w:rsidR="005730F9" w:rsidRPr="003F264A">
        <w:rPr>
          <w:rFonts w:cstheme="minorHAnsi"/>
          <w:color w:val="000000"/>
        </w:rPr>
        <w:t xml:space="preserve">gender equality. </w:t>
      </w:r>
      <w:r w:rsidR="009910FD" w:rsidRPr="003F264A">
        <w:rPr>
          <w:rFonts w:cstheme="minorHAnsi"/>
          <w:color w:val="000000"/>
        </w:rPr>
        <w:t>Some stakeholders</w:t>
      </w:r>
      <w:r w:rsidR="005730F9" w:rsidRPr="003F264A">
        <w:rPr>
          <w:rFonts w:cstheme="minorHAnsi"/>
          <w:color w:val="000000"/>
        </w:rPr>
        <w:t xml:space="preserve"> criticised the current legislative framework that only requires reporting data to be </w:t>
      </w:r>
      <w:r w:rsidR="009910FD" w:rsidRPr="003F264A">
        <w:rPr>
          <w:rFonts w:cstheme="minorHAnsi"/>
          <w:color w:val="000000"/>
        </w:rPr>
        <w:t>sufficient</w:t>
      </w:r>
      <w:r w:rsidR="00D1425F" w:rsidRPr="003F264A">
        <w:rPr>
          <w:rFonts w:cstheme="minorHAnsi"/>
          <w:color w:val="000000"/>
        </w:rPr>
        <w:t xml:space="preserve"> </w:t>
      </w:r>
      <w:r w:rsidR="005730F9" w:rsidRPr="003F264A">
        <w:rPr>
          <w:rFonts w:cstheme="minorHAnsi"/>
          <w:color w:val="000000"/>
        </w:rPr>
        <w:t xml:space="preserve">for WGEA compliance – without any need for employers to take action and show progress on gender equality. </w:t>
      </w:r>
      <w:r w:rsidR="009910FD" w:rsidRPr="003F264A">
        <w:rPr>
          <w:rFonts w:cstheme="minorHAnsi"/>
          <w:color w:val="000000"/>
        </w:rPr>
        <w:t>C</w:t>
      </w:r>
      <w:r w:rsidR="005730F9" w:rsidRPr="003F264A">
        <w:rPr>
          <w:rFonts w:cstheme="minorHAnsi"/>
          <w:color w:val="000000"/>
        </w:rPr>
        <w:t xml:space="preserve">oncerns </w:t>
      </w:r>
      <w:r w:rsidR="009910FD" w:rsidRPr="003F264A">
        <w:rPr>
          <w:rFonts w:cstheme="minorHAnsi"/>
          <w:color w:val="000000"/>
        </w:rPr>
        <w:t xml:space="preserve">were expressed </w:t>
      </w:r>
      <w:r w:rsidR="005730F9" w:rsidRPr="003F264A">
        <w:rPr>
          <w:rFonts w:cstheme="minorHAnsi"/>
          <w:color w:val="000000"/>
        </w:rPr>
        <w:t xml:space="preserve">that progress is not happening fast enough and the current </w:t>
      </w:r>
      <w:r w:rsidR="00D1425F" w:rsidRPr="003F264A">
        <w:rPr>
          <w:rFonts w:cstheme="minorHAnsi"/>
          <w:color w:val="000000"/>
        </w:rPr>
        <w:t xml:space="preserve">target </w:t>
      </w:r>
      <w:r w:rsidR="005730F9" w:rsidRPr="003F264A">
        <w:rPr>
          <w:rFonts w:cstheme="minorHAnsi"/>
          <w:color w:val="000000"/>
        </w:rPr>
        <w:t>for compliance with the minimum standards is too low</w:t>
      </w:r>
      <w:r w:rsidR="004A186E" w:rsidRPr="003F264A">
        <w:rPr>
          <w:rFonts w:cstheme="minorHAnsi"/>
          <w:color w:val="000000"/>
        </w:rPr>
        <w:t xml:space="preserve"> (i.e.</w:t>
      </w:r>
      <w:r w:rsidR="00990827" w:rsidRPr="003F264A">
        <w:rPr>
          <w:rFonts w:cstheme="minorHAnsi"/>
          <w:color w:val="000000"/>
        </w:rPr>
        <w:t xml:space="preserve"> </w:t>
      </w:r>
      <w:r w:rsidR="004A186E" w:rsidRPr="003F264A">
        <w:rPr>
          <w:rFonts w:cstheme="minorHAnsi"/>
          <w:color w:val="000000"/>
        </w:rPr>
        <w:t>polic</w:t>
      </w:r>
      <w:r w:rsidR="00990827" w:rsidRPr="003F264A">
        <w:rPr>
          <w:rFonts w:cstheme="minorHAnsi"/>
          <w:color w:val="000000"/>
        </w:rPr>
        <w:t xml:space="preserve">ies or </w:t>
      </w:r>
      <w:r w:rsidR="004A186E" w:rsidRPr="003F264A">
        <w:rPr>
          <w:rFonts w:cstheme="minorHAnsi"/>
          <w:color w:val="000000"/>
        </w:rPr>
        <w:t>strateg</w:t>
      </w:r>
      <w:r w:rsidR="00990827" w:rsidRPr="003F264A">
        <w:rPr>
          <w:rFonts w:cstheme="minorHAnsi"/>
          <w:color w:val="000000"/>
        </w:rPr>
        <w:t>ies</w:t>
      </w:r>
      <w:r w:rsidR="004A186E" w:rsidRPr="003F264A">
        <w:rPr>
          <w:rFonts w:cstheme="minorHAnsi"/>
          <w:color w:val="000000"/>
        </w:rPr>
        <w:t xml:space="preserve"> </w:t>
      </w:r>
      <w:r w:rsidR="00990827" w:rsidRPr="003F264A">
        <w:rPr>
          <w:rFonts w:cstheme="minorHAnsi"/>
          <w:color w:val="000000"/>
        </w:rPr>
        <w:t>are</w:t>
      </w:r>
      <w:r w:rsidR="004A186E" w:rsidRPr="003F264A">
        <w:rPr>
          <w:rFonts w:cstheme="minorHAnsi"/>
          <w:color w:val="000000"/>
        </w:rPr>
        <w:t xml:space="preserve"> currently required</w:t>
      </w:r>
      <w:r w:rsidR="00990827" w:rsidRPr="003F264A">
        <w:rPr>
          <w:rFonts w:cstheme="minorHAnsi"/>
          <w:color w:val="000000"/>
        </w:rPr>
        <w:t xml:space="preserve"> to support one or more of the gender equality indicators</w:t>
      </w:r>
      <w:r w:rsidR="004A186E" w:rsidRPr="003F264A">
        <w:rPr>
          <w:rFonts w:cstheme="minorHAnsi"/>
          <w:color w:val="000000"/>
        </w:rPr>
        <w:t>)</w:t>
      </w:r>
      <w:r w:rsidR="005730F9" w:rsidRPr="003F264A">
        <w:rPr>
          <w:rFonts w:cstheme="minorHAnsi"/>
          <w:color w:val="000000"/>
        </w:rPr>
        <w:t xml:space="preserve">. </w:t>
      </w:r>
    </w:p>
    <w:p w14:paraId="3B039AD8" w14:textId="77777777" w:rsidR="003713E0" w:rsidRPr="003F264A" w:rsidRDefault="003713E0" w:rsidP="000F6998">
      <w:pPr>
        <w:autoSpaceDE w:val="0"/>
        <w:autoSpaceDN w:val="0"/>
        <w:adjustRightInd w:val="0"/>
        <w:spacing w:after="0" w:line="240" w:lineRule="auto"/>
        <w:jc w:val="both"/>
        <w:rPr>
          <w:rFonts w:cstheme="minorHAnsi"/>
          <w:color w:val="000000"/>
        </w:rPr>
      </w:pPr>
    </w:p>
    <w:p w14:paraId="14582B0F" w14:textId="77777777" w:rsidR="0060017F" w:rsidRPr="003F264A" w:rsidRDefault="009D6612" w:rsidP="000F6998">
      <w:pPr>
        <w:autoSpaceDE w:val="0"/>
        <w:autoSpaceDN w:val="0"/>
        <w:adjustRightInd w:val="0"/>
        <w:spacing w:after="0" w:line="240" w:lineRule="auto"/>
        <w:jc w:val="both"/>
        <w:rPr>
          <w:rFonts w:cstheme="minorHAnsi"/>
        </w:rPr>
      </w:pPr>
      <w:r w:rsidRPr="003F264A">
        <w:rPr>
          <w:rFonts w:cstheme="minorHAnsi"/>
          <w:color w:val="000000"/>
        </w:rPr>
        <w:t xml:space="preserve">Generally, </w:t>
      </w:r>
      <w:r w:rsidR="003713E0" w:rsidRPr="003F264A">
        <w:rPr>
          <w:rFonts w:cstheme="minorHAnsi"/>
          <w:color w:val="000000"/>
        </w:rPr>
        <w:t xml:space="preserve">large companies </w:t>
      </w:r>
      <w:r w:rsidRPr="003F264A">
        <w:rPr>
          <w:rFonts w:cstheme="minorHAnsi"/>
          <w:color w:val="000000"/>
        </w:rPr>
        <w:t xml:space="preserve">are well </w:t>
      </w:r>
      <w:r w:rsidR="003713E0" w:rsidRPr="003F264A">
        <w:rPr>
          <w:rFonts w:cstheme="minorHAnsi"/>
          <w:color w:val="000000"/>
        </w:rPr>
        <w:t>resource</w:t>
      </w:r>
      <w:r w:rsidRPr="003F264A">
        <w:rPr>
          <w:rFonts w:cstheme="minorHAnsi"/>
          <w:color w:val="000000"/>
        </w:rPr>
        <w:t>d</w:t>
      </w:r>
      <w:r w:rsidR="003713E0" w:rsidRPr="003F264A">
        <w:rPr>
          <w:rFonts w:cstheme="minorHAnsi"/>
          <w:color w:val="000000"/>
        </w:rPr>
        <w:t xml:space="preserve"> </w:t>
      </w:r>
      <w:r w:rsidRPr="003F264A">
        <w:rPr>
          <w:rFonts w:cstheme="minorHAnsi"/>
          <w:color w:val="000000"/>
        </w:rPr>
        <w:t xml:space="preserve">and, in this context, </w:t>
      </w:r>
      <w:r w:rsidR="003713E0" w:rsidRPr="003F264A">
        <w:rPr>
          <w:rFonts w:cstheme="minorHAnsi"/>
        </w:rPr>
        <w:t>Recommendation 3</w:t>
      </w:r>
      <w:r w:rsidR="00AC28F7">
        <w:rPr>
          <w:rFonts w:cstheme="minorHAnsi"/>
        </w:rPr>
        <w:t xml:space="preserve"> of</w:t>
      </w:r>
      <w:r w:rsidRPr="003F264A">
        <w:rPr>
          <w:rFonts w:cstheme="minorHAnsi"/>
        </w:rPr>
        <w:t xml:space="preserve"> the Review </w:t>
      </w:r>
      <w:r w:rsidR="003713E0" w:rsidRPr="003F264A">
        <w:rPr>
          <w:rFonts w:cstheme="minorHAnsi"/>
        </w:rPr>
        <w:t>only appl</w:t>
      </w:r>
      <w:r w:rsidRPr="003F264A">
        <w:rPr>
          <w:rFonts w:cstheme="minorHAnsi"/>
        </w:rPr>
        <w:t>ies</w:t>
      </w:r>
      <w:r w:rsidR="003713E0" w:rsidRPr="003F264A">
        <w:rPr>
          <w:rFonts w:cstheme="minorHAnsi"/>
        </w:rPr>
        <w:t xml:space="preserve"> to </w:t>
      </w:r>
      <w:r w:rsidR="00BB3919" w:rsidRPr="003F264A">
        <w:rPr>
          <w:rFonts w:cstheme="minorHAnsi"/>
        </w:rPr>
        <w:t xml:space="preserve">large businesses. </w:t>
      </w:r>
      <w:r w:rsidR="0060017F" w:rsidRPr="003F264A">
        <w:rPr>
          <w:rFonts w:cstheme="minorHAnsi"/>
        </w:rPr>
        <w:t xml:space="preserve"> </w:t>
      </w:r>
      <w:r w:rsidR="00C748C4" w:rsidRPr="003F264A">
        <w:rPr>
          <w:rFonts w:cstheme="minorHAnsi"/>
        </w:rPr>
        <w:t xml:space="preserve">Motivating businesses to change will be a crucial step in addressing the gender pay gap and gender inequality. Recent comparative research on gender pay gap reporting </w:t>
      </w:r>
      <w:r w:rsidRPr="003F264A">
        <w:rPr>
          <w:rFonts w:cstheme="minorHAnsi"/>
        </w:rPr>
        <w:t>shows</w:t>
      </w:r>
      <w:r w:rsidR="00C748C4" w:rsidRPr="003F264A">
        <w:rPr>
          <w:rFonts w:cstheme="minorHAnsi"/>
        </w:rPr>
        <w:t xml:space="preserve"> action plans are essential for change, </w:t>
      </w:r>
      <w:r w:rsidRPr="003F264A">
        <w:rPr>
          <w:rFonts w:cstheme="minorHAnsi"/>
        </w:rPr>
        <w:t>and</w:t>
      </w:r>
      <w:r w:rsidR="00C748C4" w:rsidRPr="003F264A">
        <w:rPr>
          <w:rFonts w:cstheme="minorHAnsi"/>
        </w:rPr>
        <w:t xml:space="preserve"> that ‘employers should be mandated to create time-bound targets to redress pay gaps, setting out clear and measurable goals’</w:t>
      </w:r>
      <w:r w:rsidR="007D29C4" w:rsidRPr="003F264A">
        <w:rPr>
          <w:rFonts w:cstheme="minorHAnsi"/>
        </w:rPr>
        <w:t>.</w:t>
      </w:r>
      <w:r w:rsidR="007D29C4" w:rsidRPr="003F264A">
        <w:rPr>
          <w:rStyle w:val="FootnoteReference"/>
          <w:rFonts w:cstheme="minorHAnsi"/>
        </w:rPr>
        <w:footnoteReference w:id="151"/>
      </w:r>
      <w:r w:rsidR="00DA7DEA" w:rsidRPr="003F264A">
        <w:rPr>
          <w:rFonts w:cstheme="minorHAnsi"/>
        </w:rPr>
        <w:t xml:space="preserve"> </w:t>
      </w:r>
      <w:r w:rsidR="00C748C4" w:rsidRPr="003F264A">
        <w:rPr>
          <w:rFonts w:cstheme="minorHAnsi"/>
        </w:rPr>
        <w:t>Companion research recommended that Australia introduce ‘outcome-based’ minimum standards</w:t>
      </w:r>
      <w:r w:rsidR="00F31B8B" w:rsidRPr="003F264A">
        <w:rPr>
          <w:rFonts w:cstheme="minorHAnsi"/>
        </w:rPr>
        <w:t>.</w:t>
      </w:r>
      <w:r w:rsidR="007D29C4" w:rsidRPr="003F264A">
        <w:rPr>
          <w:rStyle w:val="FootnoteReference"/>
          <w:rFonts w:cstheme="minorHAnsi"/>
        </w:rPr>
        <w:footnoteReference w:id="152"/>
      </w:r>
      <w:r w:rsidR="00C748C4" w:rsidRPr="003F264A">
        <w:rPr>
          <w:rFonts w:cstheme="minorHAnsi"/>
        </w:rPr>
        <w:t xml:space="preserve"> </w:t>
      </w:r>
    </w:p>
    <w:p w14:paraId="1578A915" w14:textId="77777777" w:rsidR="00EB4B9C" w:rsidRPr="003F264A" w:rsidRDefault="00EB4B9C" w:rsidP="000F6998">
      <w:pPr>
        <w:pStyle w:val="Default"/>
        <w:jc w:val="both"/>
        <w:rPr>
          <w:rFonts w:asciiTheme="minorHAnsi" w:hAnsiTheme="minorHAnsi" w:cstheme="minorHAnsi"/>
          <w:i/>
          <w:iCs/>
          <w:sz w:val="22"/>
          <w:szCs w:val="22"/>
        </w:rPr>
      </w:pPr>
    </w:p>
    <w:p w14:paraId="50FB3ACF" w14:textId="77777777" w:rsidR="00BF36C4" w:rsidRPr="003F264A" w:rsidRDefault="009D6612" w:rsidP="000F6998">
      <w:pPr>
        <w:pStyle w:val="Default"/>
        <w:jc w:val="both"/>
        <w:rPr>
          <w:rFonts w:asciiTheme="minorHAnsi" w:hAnsiTheme="minorHAnsi" w:cstheme="minorHAnsi"/>
          <w:iCs/>
          <w:sz w:val="22"/>
          <w:szCs w:val="22"/>
        </w:rPr>
      </w:pPr>
      <w:r w:rsidRPr="003F264A">
        <w:rPr>
          <w:rFonts w:asciiTheme="minorHAnsi" w:hAnsiTheme="minorHAnsi" w:cstheme="minorHAnsi"/>
          <w:iCs/>
          <w:sz w:val="22"/>
          <w:szCs w:val="22"/>
        </w:rPr>
        <w:t>M</w:t>
      </w:r>
      <w:r w:rsidR="00BB3919" w:rsidRPr="003F264A">
        <w:rPr>
          <w:rFonts w:asciiTheme="minorHAnsi" w:hAnsiTheme="minorHAnsi" w:cstheme="minorHAnsi"/>
          <w:iCs/>
          <w:sz w:val="22"/>
          <w:szCs w:val="22"/>
        </w:rPr>
        <w:t xml:space="preserve">edium </w:t>
      </w:r>
      <w:r w:rsidRPr="003F264A">
        <w:rPr>
          <w:rFonts w:asciiTheme="minorHAnsi" w:hAnsiTheme="minorHAnsi" w:cstheme="minorHAnsi"/>
          <w:iCs/>
          <w:sz w:val="22"/>
          <w:szCs w:val="22"/>
        </w:rPr>
        <w:t xml:space="preserve">size </w:t>
      </w:r>
      <w:r w:rsidR="00BB3919" w:rsidRPr="003F264A">
        <w:rPr>
          <w:rFonts w:asciiTheme="minorHAnsi" w:hAnsiTheme="minorHAnsi" w:cstheme="minorHAnsi"/>
          <w:iCs/>
          <w:sz w:val="22"/>
          <w:szCs w:val="22"/>
        </w:rPr>
        <w:t>businesses (and comm</w:t>
      </w:r>
      <w:r w:rsidR="00B42617" w:rsidRPr="003F264A">
        <w:rPr>
          <w:rFonts w:asciiTheme="minorHAnsi" w:hAnsiTheme="minorHAnsi" w:cstheme="minorHAnsi"/>
          <w:iCs/>
          <w:sz w:val="22"/>
          <w:szCs w:val="22"/>
        </w:rPr>
        <w:t xml:space="preserve">unity organisations) </w:t>
      </w:r>
      <w:r w:rsidRPr="003F264A">
        <w:rPr>
          <w:rFonts w:asciiTheme="minorHAnsi" w:hAnsiTheme="minorHAnsi" w:cstheme="minorHAnsi"/>
          <w:iCs/>
          <w:sz w:val="22"/>
          <w:szCs w:val="22"/>
        </w:rPr>
        <w:t xml:space="preserve">are not required </w:t>
      </w:r>
      <w:r w:rsidR="00B42617" w:rsidRPr="003F264A">
        <w:rPr>
          <w:rFonts w:asciiTheme="minorHAnsi" w:hAnsiTheme="minorHAnsi" w:cstheme="minorHAnsi"/>
          <w:iCs/>
          <w:sz w:val="22"/>
          <w:szCs w:val="22"/>
        </w:rPr>
        <w:t>to comply wi</w:t>
      </w:r>
      <w:r w:rsidR="00093E72" w:rsidRPr="003F264A">
        <w:rPr>
          <w:rFonts w:asciiTheme="minorHAnsi" w:hAnsiTheme="minorHAnsi" w:cstheme="minorHAnsi"/>
          <w:iCs/>
          <w:sz w:val="22"/>
          <w:szCs w:val="22"/>
        </w:rPr>
        <w:t>th the minimum standards under R</w:t>
      </w:r>
      <w:r w:rsidR="00B42617" w:rsidRPr="003F264A">
        <w:rPr>
          <w:rFonts w:asciiTheme="minorHAnsi" w:hAnsiTheme="minorHAnsi" w:cstheme="minorHAnsi"/>
          <w:iCs/>
          <w:sz w:val="22"/>
          <w:szCs w:val="22"/>
        </w:rPr>
        <w:t>ecommendation 3</w:t>
      </w:r>
      <w:r w:rsidRPr="003F264A">
        <w:rPr>
          <w:rFonts w:asciiTheme="minorHAnsi" w:hAnsiTheme="minorHAnsi" w:cstheme="minorHAnsi"/>
          <w:iCs/>
          <w:sz w:val="22"/>
          <w:szCs w:val="22"/>
        </w:rPr>
        <w:t>. That said</w:t>
      </w:r>
      <w:r w:rsidR="00B42617" w:rsidRPr="003F264A">
        <w:rPr>
          <w:rFonts w:asciiTheme="minorHAnsi" w:hAnsiTheme="minorHAnsi" w:cstheme="minorHAnsi"/>
          <w:iCs/>
          <w:sz w:val="22"/>
          <w:szCs w:val="22"/>
        </w:rPr>
        <w:t xml:space="preserve">, </w:t>
      </w:r>
      <w:r w:rsidRPr="003F264A">
        <w:rPr>
          <w:rFonts w:asciiTheme="minorHAnsi" w:hAnsiTheme="minorHAnsi" w:cstheme="minorHAnsi"/>
          <w:iCs/>
          <w:sz w:val="22"/>
          <w:szCs w:val="22"/>
        </w:rPr>
        <w:t xml:space="preserve">positive </w:t>
      </w:r>
      <w:r w:rsidR="00B42617" w:rsidRPr="003F264A">
        <w:rPr>
          <w:rFonts w:asciiTheme="minorHAnsi" w:hAnsiTheme="minorHAnsi" w:cstheme="minorHAnsi"/>
          <w:iCs/>
          <w:sz w:val="22"/>
          <w:szCs w:val="22"/>
        </w:rPr>
        <w:t xml:space="preserve">second round impacts are likely to be </w:t>
      </w:r>
      <w:r w:rsidRPr="003F264A">
        <w:rPr>
          <w:rFonts w:asciiTheme="minorHAnsi" w:hAnsiTheme="minorHAnsi" w:cstheme="minorHAnsi"/>
          <w:iCs/>
          <w:sz w:val="22"/>
          <w:szCs w:val="22"/>
        </w:rPr>
        <w:t>realised</w:t>
      </w:r>
      <w:r w:rsidR="00B42617" w:rsidRPr="003F264A">
        <w:rPr>
          <w:rFonts w:asciiTheme="minorHAnsi" w:hAnsiTheme="minorHAnsi" w:cstheme="minorHAnsi"/>
          <w:iCs/>
          <w:sz w:val="22"/>
          <w:szCs w:val="22"/>
        </w:rPr>
        <w:t xml:space="preserve"> as consultation feedback revealed that</w:t>
      </w:r>
      <w:r w:rsidR="00093E72" w:rsidRPr="003F264A">
        <w:rPr>
          <w:rFonts w:asciiTheme="minorHAnsi" w:hAnsiTheme="minorHAnsi" w:cstheme="minorHAnsi"/>
          <w:iCs/>
          <w:sz w:val="22"/>
          <w:szCs w:val="22"/>
        </w:rPr>
        <w:t xml:space="preserve"> medium businesses look to large businesses for inspiration and </w:t>
      </w:r>
      <w:r w:rsidRPr="003F264A">
        <w:rPr>
          <w:rFonts w:asciiTheme="minorHAnsi" w:hAnsiTheme="minorHAnsi" w:cstheme="minorHAnsi"/>
          <w:iCs/>
          <w:sz w:val="22"/>
          <w:szCs w:val="22"/>
        </w:rPr>
        <w:t xml:space="preserve">as </w:t>
      </w:r>
      <w:r w:rsidR="00D1425F" w:rsidRPr="003F264A">
        <w:rPr>
          <w:rFonts w:asciiTheme="minorHAnsi" w:hAnsiTheme="minorHAnsi" w:cstheme="minorHAnsi"/>
          <w:iCs/>
          <w:sz w:val="22"/>
          <w:szCs w:val="22"/>
        </w:rPr>
        <w:t>exemplars</w:t>
      </w:r>
      <w:r w:rsidR="00093E72" w:rsidRPr="003F264A">
        <w:rPr>
          <w:rFonts w:asciiTheme="minorHAnsi" w:hAnsiTheme="minorHAnsi" w:cstheme="minorHAnsi"/>
          <w:iCs/>
          <w:sz w:val="22"/>
          <w:szCs w:val="22"/>
        </w:rPr>
        <w:t xml:space="preserve"> of best practice behaviour. </w:t>
      </w:r>
      <w:r w:rsidR="00B42617" w:rsidRPr="003F264A">
        <w:rPr>
          <w:rFonts w:asciiTheme="minorHAnsi" w:hAnsiTheme="minorHAnsi" w:cstheme="minorHAnsi"/>
          <w:iCs/>
          <w:sz w:val="22"/>
          <w:szCs w:val="22"/>
        </w:rPr>
        <w:t xml:space="preserve"> </w:t>
      </w:r>
      <w:r w:rsidR="00BB3919" w:rsidRPr="003F264A">
        <w:rPr>
          <w:rFonts w:asciiTheme="minorHAnsi" w:hAnsiTheme="minorHAnsi" w:cstheme="minorHAnsi"/>
          <w:iCs/>
          <w:sz w:val="22"/>
          <w:szCs w:val="22"/>
        </w:rPr>
        <w:t xml:space="preserve"> </w:t>
      </w:r>
    </w:p>
    <w:p w14:paraId="510BE92C" w14:textId="77777777" w:rsidR="00B42617" w:rsidRPr="003F264A" w:rsidRDefault="00B42617" w:rsidP="000F6998">
      <w:pPr>
        <w:pStyle w:val="Default"/>
        <w:jc w:val="both"/>
        <w:rPr>
          <w:rFonts w:asciiTheme="minorHAnsi" w:hAnsiTheme="minorHAnsi" w:cstheme="minorHAnsi"/>
          <w:iCs/>
          <w:sz w:val="22"/>
          <w:szCs w:val="22"/>
        </w:rPr>
      </w:pPr>
    </w:p>
    <w:p w14:paraId="50FD0BE2" w14:textId="65EC5D82" w:rsidR="00296EF6" w:rsidRPr="003F264A" w:rsidRDefault="000E336D" w:rsidP="000F6998">
      <w:pPr>
        <w:pStyle w:val="Default"/>
        <w:jc w:val="both"/>
        <w:rPr>
          <w:rFonts w:asciiTheme="minorHAnsi" w:hAnsiTheme="minorHAnsi" w:cstheme="minorHAnsi"/>
          <w:iCs/>
          <w:sz w:val="22"/>
          <w:szCs w:val="22"/>
        </w:rPr>
      </w:pPr>
      <w:r w:rsidRPr="003F264A">
        <w:rPr>
          <w:rFonts w:asciiTheme="minorHAnsi" w:hAnsiTheme="minorHAnsi" w:cstheme="minorHAnsi"/>
          <w:iCs/>
          <w:sz w:val="22"/>
          <w:szCs w:val="22"/>
        </w:rPr>
        <w:t xml:space="preserve">Over time, as large, medium and small businesses </w:t>
      </w:r>
      <w:r w:rsidR="009D6612" w:rsidRPr="003F264A">
        <w:rPr>
          <w:rFonts w:asciiTheme="minorHAnsi" w:hAnsiTheme="minorHAnsi" w:cstheme="minorHAnsi"/>
          <w:iCs/>
          <w:sz w:val="22"/>
          <w:szCs w:val="22"/>
        </w:rPr>
        <w:t>improve</w:t>
      </w:r>
      <w:r w:rsidR="00956B89" w:rsidRPr="003F264A">
        <w:rPr>
          <w:rFonts w:asciiTheme="minorHAnsi" w:hAnsiTheme="minorHAnsi" w:cstheme="minorHAnsi"/>
          <w:iCs/>
          <w:sz w:val="22"/>
          <w:szCs w:val="22"/>
        </w:rPr>
        <w:t xml:space="preserve"> </w:t>
      </w:r>
      <w:r w:rsidRPr="003F264A">
        <w:rPr>
          <w:rFonts w:asciiTheme="minorHAnsi" w:hAnsiTheme="minorHAnsi" w:cstheme="minorHAnsi"/>
          <w:iCs/>
          <w:sz w:val="22"/>
          <w:szCs w:val="22"/>
        </w:rPr>
        <w:t xml:space="preserve">their approach to taking action at an organisation level, </w:t>
      </w:r>
      <w:r w:rsidR="00301495">
        <w:rPr>
          <w:rFonts w:asciiTheme="minorHAnsi" w:hAnsiTheme="minorHAnsi" w:cstheme="minorHAnsi"/>
          <w:iCs/>
          <w:sz w:val="22"/>
          <w:szCs w:val="22"/>
        </w:rPr>
        <w:t>there will be an improvement in</w:t>
      </w:r>
      <w:r w:rsidR="00F279F1">
        <w:rPr>
          <w:rFonts w:asciiTheme="minorHAnsi" w:hAnsiTheme="minorHAnsi" w:cstheme="minorHAnsi"/>
          <w:iCs/>
          <w:sz w:val="22"/>
          <w:szCs w:val="22"/>
        </w:rPr>
        <w:t xml:space="preserve"> </w:t>
      </w:r>
      <w:r w:rsidR="00296EF6" w:rsidRPr="003F264A">
        <w:rPr>
          <w:rFonts w:asciiTheme="minorHAnsi" w:hAnsiTheme="minorHAnsi" w:cstheme="minorHAnsi"/>
          <w:iCs/>
          <w:sz w:val="22"/>
          <w:szCs w:val="22"/>
        </w:rPr>
        <w:t>how companies address gender inequality in their workplaces. This will have many positive impacts on Australian workplaces:</w:t>
      </w:r>
    </w:p>
    <w:p w14:paraId="16BDC135" w14:textId="77777777" w:rsidR="005730F9" w:rsidRPr="003F264A" w:rsidRDefault="005730F9" w:rsidP="000F6998">
      <w:pPr>
        <w:pStyle w:val="Default"/>
        <w:jc w:val="both"/>
        <w:rPr>
          <w:rFonts w:asciiTheme="minorHAnsi" w:hAnsiTheme="minorHAnsi" w:cstheme="minorHAnsi"/>
          <w:iCs/>
          <w:sz w:val="22"/>
          <w:szCs w:val="22"/>
        </w:rPr>
      </w:pPr>
    </w:p>
    <w:p w14:paraId="08A9DB82" w14:textId="77777777" w:rsidR="005730F9" w:rsidRPr="00301495" w:rsidRDefault="005730F9" w:rsidP="000F6998">
      <w:pPr>
        <w:pStyle w:val="ListParagraph"/>
        <w:numPr>
          <w:ilvl w:val="0"/>
          <w:numId w:val="33"/>
        </w:numPr>
        <w:autoSpaceDE w:val="0"/>
        <w:autoSpaceDN w:val="0"/>
        <w:adjustRightInd w:val="0"/>
        <w:spacing w:after="0" w:line="240" w:lineRule="auto"/>
        <w:jc w:val="both"/>
        <w:rPr>
          <w:rFonts w:cstheme="minorHAnsi"/>
          <w:color w:val="000000"/>
        </w:rPr>
      </w:pPr>
      <w:r w:rsidRPr="00301495">
        <w:rPr>
          <w:rFonts w:cstheme="minorHAnsi"/>
          <w:color w:val="000000"/>
        </w:rPr>
        <w:t xml:space="preserve">Increasing women’s participation in the workforce has positive impacts on organisational culture and on operations. Diverse teams are associated with greater innovative capacity for an organisation. A United States study examined the performance of 1,500 companies over 15 years and showed that women’s representation in senior management is associated with </w:t>
      </w:r>
      <w:r w:rsidR="002B56F2" w:rsidRPr="00301495">
        <w:rPr>
          <w:rFonts w:cstheme="minorHAnsi"/>
          <w:color w:val="000000"/>
        </w:rPr>
        <w:t xml:space="preserve">an </w:t>
      </w:r>
      <w:r w:rsidRPr="00301495">
        <w:rPr>
          <w:rFonts w:cstheme="minorHAnsi"/>
          <w:color w:val="000000"/>
        </w:rPr>
        <w:t>improvement in organisational performance where a company focuses on innovation.</w:t>
      </w:r>
      <w:r w:rsidRPr="00301495">
        <w:rPr>
          <w:vertAlign w:val="superscript"/>
        </w:rPr>
        <w:footnoteReference w:id="153"/>
      </w:r>
    </w:p>
    <w:p w14:paraId="7756C81D" w14:textId="77777777" w:rsidR="005730F9" w:rsidRPr="00301495" w:rsidRDefault="005730F9" w:rsidP="000F6998">
      <w:pPr>
        <w:pStyle w:val="ListParagraph"/>
        <w:numPr>
          <w:ilvl w:val="0"/>
          <w:numId w:val="33"/>
        </w:numPr>
        <w:autoSpaceDE w:val="0"/>
        <w:autoSpaceDN w:val="0"/>
        <w:adjustRightInd w:val="0"/>
        <w:spacing w:after="0" w:line="240" w:lineRule="auto"/>
        <w:jc w:val="both"/>
        <w:rPr>
          <w:rFonts w:cstheme="minorHAnsi"/>
          <w:color w:val="000000"/>
        </w:rPr>
      </w:pPr>
      <w:r w:rsidRPr="00301495">
        <w:rPr>
          <w:rFonts w:cstheme="minorHAnsi"/>
          <w:color w:val="000000"/>
        </w:rPr>
        <w:t>When workplaces are equally appealing to women and men, organisations have access to a larger talent pool. </w:t>
      </w:r>
    </w:p>
    <w:p w14:paraId="57480216" w14:textId="77777777" w:rsidR="005730F9" w:rsidRPr="00301495" w:rsidRDefault="005730F9" w:rsidP="000F6998">
      <w:pPr>
        <w:pStyle w:val="ListParagraph"/>
        <w:numPr>
          <w:ilvl w:val="0"/>
          <w:numId w:val="33"/>
        </w:numPr>
        <w:autoSpaceDE w:val="0"/>
        <w:autoSpaceDN w:val="0"/>
        <w:adjustRightInd w:val="0"/>
        <w:spacing w:after="0" w:line="240" w:lineRule="auto"/>
        <w:jc w:val="both"/>
        <w:rPr>
          <w:rFonts w:cstheme="minorHAnsi"/>
          <w:color w:val="000000"/>
        </w:rPr>
      </w:pPr>
      <w:r w:rsidRPr="00301495">
        <w:rPr>
          <w:rFonts w:cstheme="minorHAnsi"/>
          <w:color w:val="000000"/>
        </w:rPr>
        <w:t>Workplace policies support</w:t>
      </w:r>
      <w:r w:rsidR="002B56F2" w:rsidRPr="00301495">
        <w:rPr>
          <w:rFonts w:cstheme="minorHAnsi"/>
          <w:color w:val="000000"/>
        </w:rPr>
        <w:t>ing</w:t>
      </w:r>
      <w:r w:rsidRPr="00301495">
        <w:rPr>
          <w:rFonts w:cstheme="minorHAnsi"/>
          <w:color w:val="000000"/>
        </w:rPr>
        <w:t xml:space="preserve"> gender equality are an important tool </w:t>
      </w:r>
      <w:r w:rsidR="002B56F2" w:rsidRPr="00301495">
        <w:rPr>
          <w:rFonts w:cstheme="minorHAnsi"/>
          <w:color w:val="000000"/>
        </w:rPr>
        <w:t>for</w:t>
      </w:r>
      <w:r w:rsidRPr="00301495">
        <w:rPr>
          <w:rFonts w:cstheme="minorHAnsi"/>
          <w:color w:val="000000"/>
        </w:rPr>
        <w:t xml:space="preserve"> retain</w:t>
      </w:r>
      <w:r w:rsidR="002B56F2" w:rsidRPr="00301495">
        <w:rPr>
          <w:rFonts w:cstheme="minorHAnsi"/>
          <w:color w:val="000000"/>
        </w:rPr>
        <w:t>ing</w:t>
      </w:r>
      <w:r w:rsidRPr="00301495">
        <w:rPr>
          <w:rFonts w:cstheme="minorHAnsi"/>
          <w:color w:val="000000"/>
        </w:rPr>
        <w:t xml:space="preserve"> talented employees.</w:t>
      </w:r>
    </w:p>
    <w:p w14:paraId="02C88DAD" w14:textId="1E5F4472" w:rsidR="00301495" w:rsidRPr="002768A7" w:rsidRDefault="005730F9" w:rsidP="000F6998">
      <w:pPr>
        <w:pStyle w:val="ListParagraph"/>
        <w:autoSpaceDE w:val="0"/>
        <w:autoSpaceDN w:val="0"/>
        <w:adjustRightInd w:val="0"/>
        <w:spacing w:after="0" w:line="240" w:lineRule="auto"/>
        <w:jc w:val="both"/>
        <w:rPr>
          <w:rFonts w:cstheme="minorHAnsi"/>
        </w:rPr>
      </w:pPr>
      <w:r w:rsidRPr="00301495">
        <w:rPr>
          <w:rFonts w:cstheme="minorHAnsi"/>
          <w:color w:val="000000"/>
        </w:rPr>
        <w:t xml:space="preserve">Gender equality is critical to an organisation’s success and is viewed as a </w:t>
      </w:r>
      <w:r w:rsidR="002B56F2" w:rsidRPr="00301495">
        <w:rPr>
          <w:rFonts w:cstheme="minorHAnsi"/>
          <w:color w:val="000000"/>
        </w:rPr>
        <w:t>necessity by</w:t>
      </w:r>
      <w:r w:rsidRPr="00301495">
        <w:rPr>
          <w:rFonts w:cstheme="minorHAnsi"/>
          <w:color w:val="000000"/>
        </w:rPr>
        <w:t xml:space="preserve"> leading organisations. </w:t>
      </w:r>
    </w:p>
    <w:p w14:paraId="4C3B1B76" w14:textId="77777777" w:rsidR="00146267" w:rsidRDefault="00146267" w:rsidP="000F6998">
      <w:pPr>
        <w:jc w:val="both"/>
        <w:rPr>
          <w:rFonts w:cstheme="minorHAnsi"/>
        </w:rPr>
      </w:pPr>
    </w:p>
    <w:p w14:paraId="04E1FC2D" w14:textId="6DBB79C3" w:rsidR="005730F9" w:rsidRPr="003F264A" w:rsidRDefault="005730F9" w:rsidP="000F6998">
      <w:pPr>
        <w:jc w:val="both"/>
        <w:rPr>
          <w:rFonts w:cstheme="minorHAnsi"/>
        </w:rPr>
      </w:pPr>
      <w:r w:rsidRPr="003F264A">
        <w:rPr>
          <w:rFonts w:cstheme="minorHAnsi"/>
        </w:rPr>
        <w:t>Benefits to workplaces also include increased profits and financial success:</w:t>
      </w:r>
    </w:p>
    <w:p w14:paraId="6C93F4D5" w14:textId="77777777" w:rsidR="005730F9" w:rsidRPr="003F264A" w:rsidRDefault="005730F9" w:rsidP="000F6998">
      <w:pPr>
        <w:pStyle w:val="ListParagraph"/>
        <w:numPr>
          <w:ilvl w:val="0"/>
          <w:numId w:val="29"/>
        </w:numPr>
        <w:jc w:val="both"/>
        <w:rPr>
          <w:rFonts w:cstheme="minorHAnsi"/>
        </w:rPr>
      </w:pPr>
      <w:r w:rsidRPr="003F264A">
        <w:rPr>
          <w:rFonts w:cstheme="minorHAnsi"/>
        </w:rPr>
        <w:t xml:space="preserve">Research </w:t>
      </w:r>
      <w:r w:rsidR="002B56F2" w:rsidRPr="003F264A">
        <w:rPr>
          <w:rFonts w:cstheme="minorHAnsi"/>
        </w:rPr>
        <w:t>shows</w:t>
      </w:r>
      <w:r w:rsidRPr="003F264A">
        <w:rPr>
          <w:rFonts w:cstheme="minorHAnsi"/>
        </w:rPr>
        <w:t xml:space="preserve"> companies in the top quartile for gender diversity </w:t>
      </w:r>
      <w:r w:rsidR="00990A86" w:rsidRPr="003F264A">
        <w:rPr>
          <w:rFonts w:cstheme="minorHAnsi"/>
        </w:rPr>
        <w:t>on their executive teams were 25</w:t>
      </w:r>
      <w:r w:rsidR="002B56F2" w:rsidRPr="003F264A">
        <w:rPr>
          <w:rFonts w:cstheme="minorHAnsi"/>
        </w:rPr>
        <w:t xml:space="preserve"> </w:t>
      </w:r>
      <w:r w:rsidR="00CA2ABE" w:rsidRPr="003F264A">
        <w:rPr>
          <w:rFonts w:cstheme="minorHAnsi"/>
        </w:rPr>
        <w:t>per cent</w:t>
      </w:r>
      <w:r w:rsidRPr="003F264A">
        <w:rPr>
          <w:rFonts w:cstheme="minorHAnsi"/>
        </w:rPr>
        <w:t xml:space="preserve"> more likely to experience above-average profitability</w:t>
      </w:r>
      <w:r w:rsidRPr="003F264A">
        <w:rPr>
          <w:rFonts w:cstheme="minorHAnsi"/>
          <w:sz w:val="20"/>
          <w:szCs w:val="20"/>
        </w:rPr>
        <w:t>.</w:t>
      </w:r>
      <w:r w:rsidRPr="003F264A">
        <w:rPr>
          <w:rStyle w:val="FootnoteReference"/>
          <w:rFonts w:cstheme="minorHAnsi"/>
          <w:sz w:val="20"/>
          <w:szCs w:val="20"/>
        </w:rPr>
        <w:footnoteReference w:id="154"/>
      </w:r>
    </w:p>
    <w:p w14:paraId="03247458" w14:textId="77777777" w:rsidR="005730F9" w:rsidRPr="003F264A" w:rsidRDefault="005730F9" w:rsidP="000F6998">
      <w:pPr>
        <w:pStyle w:val="ListParagraph"/>
        <w:numPr>
          <w:ilvl w:val="0"/>
          <w:numId w:val="29"/>
        </w:numPr>
        <w:jc w:val="both"/>
        <w:rPr>
          <w:rFonts w:cstheme="minorHAnsi"/>
        </w:rPr>
      </w:pPr>
      <w:r w:rsidRPr="003F264A">
        <w:rPr>
          <w:rFonts w:cstheme="minorHAnsi"/>
        </w:rPr>
        <w:t xml:space="preserve">Research by the Bankwest Curtin Economics Centre (BCEC) and WGEA found that an increase in the share of female ‘top-tier’ managers by 10 percentage points or more led to a 6.6 </w:t>
      </w:r>
      <w:r w:rsidR="00CA2ABE" w:rsidRPr="003F264A">
        <w:rPr>
          <w:rFonts w:cstheme="minorHAnsi"/>
        </w:rPr>
        <w:t>per cent</w:t>
      </w:r>
      <w:r w:rsidRPr="003F264A">
        <w:rPr>
          <w:rFonts w:cstheme="minorHAnsi"/>
        </w:rPr>
        <w:t xml:space="preserve"> increase in the market value of Australian ASX-listed companies, worth the equivalent of AUD$104.7 million. The report, Gender Equity Insights 2020: Delivering on Business Outcomes, reveals a strong and </w:t>
      </w:r>
      <w:r w:rsidR="002B56F2" w:rsidRPr="003F264A">
        <w:rPr>
          <w:rFonts w:cstheme="minorHAnsi"/>
        </w:rPr>
        <w:t>evidence based</w:t>
      </w:r>
      <w:r w:rsidRPr="003F264A">
        <w:rPr>
          <w:rFonts w:cstheme="minorHAnsi"/>
        </w:rPr>
        <w:t xml:space="preserve"> causal relationship between an increase in the number of women in key decision-making positions and subsequent improvements in company performance.</w:t>
      </w:r>
      <w:r w:rsidR="00990A86" w:rsidRPr="003F264A">
        <w:rPr>
          <w:rStyle w:val="FootnoteReference"/>
          <w:rFonts w:cstheme="minorHAnsi"/>
        </w:rPr>
        <w:footnoteReference w:id="155"/>
      </w:r>
    </w:p>
    <w:p w14:paraId="289009D8" w14:textId="77777777" w:rsidR="005730F9" w:rsidRPr="003F264A" w:rsidRDefault="002B56F2" w:rsidP="000F6998">
      <w:pPr>
        <w:pStyle w:val="ListParagraph"/>
        <w:numPr>
          <w:ilvl w:val="0"/>
          <w:numId w:val="29"/>
        </w:numPr>
        <w:jc w:val="both"/>
        <w:rPr>
          <w:rFonts w:cstheme="minorHAnsi"/>
        </w:rPr>
      </w:pPr>
      <w:r w:rsidRPr="003F264A">
        <w:rPr>
          <w:rFonts w:cstheme="minorHAnsi"/>
        </w:rPr>
        <w:t>From</w:t>
      </w:r>
      <w:r w:rsidR="005730F9" w:rsidRPr="003F264A">
        <w:rPr>
          <w:rFonts w:cstheme="minorHAnsi"/>
        </w:rPr>
        <w:t xml:space="preserve"> a survey of companies across 25 countries, a Realindex report found that ‘more gender diverse leadership teams generate better results’. Greater gender diversity was found to ‘generate superior operating outcomes and financial results’.</w:t>
      </w:r>
      <w:r w:rsidR="005730F9" w:rsidRPr="003F264A">
        <w:rPr>
          <w:rStyle w:val="FootnoteReference"/>
          <w:rFonts w:cstheme="minorHAnsi"/>
        </w:rPr>
        <w:footnoteReference w:id="156"/>
      </w:r>
      <w:r w:rsidR="005730F9" w:rsidRPr="003F264A">
        <w:rPr>
          <w:rFonts w:cstheme="minorHAnsi"/>
        </w:rPr>
        <w:t xml:space="preserve"> </w:t>
      </w:r>
    </w:p>
    <w:p w14:paraId="38D66DF3" w14:textId="77777777" w:rsidR="003412CB" w:rsidRPr="003F264A" w:rsidRDefault="005730F9" w:rsidP="000F6998">
      <w:pPr>
        <w:pStyle w:val="ListParagraph"/>
        <w:numPr>
          <w:ilvl w:val="0"/>
          <w:numId w:val="29"/>
        </w:numPr>
        <w:jc w:val="both"/>
        <w:rPr>
          <w:rFonts w:cstheme="minorHAnsi"/>
        </w:rPr>
      </w:pPr>
      <w:r w:rsidRPr="003F264A">
        <w:rPr>
          <w:rFonts w:cstheme="minorHAnsi"/>
        </w:rPr>
        <w:t xml:space="preserve">McKinsey &amp; Company research </w:t>
      </w:r>
      <w:r w:rsidR="002B56F2" w:rsidRPr="003F264A">
        <w:rPr>
          <w:rFonts w:cstheme="minorHAnsi"/>
        </w:rPr>
        <w:t>shows</w:t>
      </w:r>
      <w:r w:rsidR="00956B89" w:rsidRPr="003F264A">
        <w:rPr>
          <w:rFonts w:cstheme="minorHAnsi"/>
        </w:rPr>
        <w:t xml:space="preserve"> </w:t>
      </w:r>
      <w:r w:rsidRPr="003F264A">
        <w:rPr>
          <w:rFonts w:cstheme="minorHAnsi"/>
        </w:rPr>
        <w:t>leaders in gender diversity were 15</w:t>
      </w:r>
      <w:r w:rsidR="00CA2ABE" w:rsidRPr="003F264A">
        <w:rPr>
          <w:rFonts w:cstheme="minorHAnsi"/>
        </w:rPr>
        <w:t xml:space="preserve"> per cent</w:t>
      </w:r>
      <w:r w:rsidRPr="003F264A">
        <w:rPr>
          <w:rFonts w:cstheme="minorHAnsi"/>
        </w:rPr>
        <w:t xml:space="preserve"> more likely to have better financial results than competitors.</w:t>
      </w:r>
      <w:r w:rsidRPr="003F264A">
        <w:rPr>
          <w:rStyle w:val="FootnoteReference"/>
          <w:rFonts w:cstheme="minorHAnsi"/>
        </w:rPr>
        <w:footnoteReference w:id="157"/>
      </w:r>
      <w:r w:rsidRPr="003F264A">
        <w:rPr>
          <w:rFonts w:cstheme="minorHAnsi"/>
        </w:rPr>
        <w:t xml:space="preserve"> </w:t>
      </w:r>
    </w:p>
    <w:p w14:paraId="1544E2E4" w14:textId="77777777" w:rsidR="006B21E0" w:rsidRPr="003F264A" w:rsidRDefault="006B21E0" w:rsidP="000F6998">
      <w:pPr>
        <w:jc w:val="both"/>
        <w:rPr>
          <w:rFonts w:cstheme="minorHAnsi"/>
        </w:rPr>
      </w:pPr>
      <w:r w:rsidRPr="003F264A">
        <w:rPr>
          <w:rFonts w:cstheme="minorHAnsi"/>
          <w:color w:val="202124"/>
          <w:shd w:val="clear" w:color="auto" w:fill="FFFFFF"/>
        </w:rPr>
        <w:t xml:space="preserve">Increasing women's participation in the workforce has positive impacts on organisational culture and operations. A diverse and inclusive workforce, </w:t>
      </w:r>
      <w:r w:rsidR="002B56F2" w:rsidRPr="003F264A">
        <w:rPr>
          <w:rFonts w:cstheme="minorHAnsi"/>
          <w:color w:val="202124"/>
          <w:shd w:val="clear" w:color="auto" w:fill="FFFFFF"/>
        </w:rPr>
        <w:t xml:space="preserve">irrespective </w:t>
      </w:r>
      <w:r w:rsidRPr="003F264A">
        <w:rPr>
          <w:rFonts w:cstheme="minorHAnsi"/>
          <w:color w:val="202124"/>
          <w:shd w:val="clear" w:color="auto" w:fill="FFFFFF"/>
        </w:rPr>
        <w:t>of size and industry, generates tangible benefits, such as </w:t>
      </w:r>
      <w:r w:rsidRPr="003F264A">
        <w:rPr>
          <w:rFonts w:cstheme="minorHAnsi"/>
          <w:bCs/>
          <w:color w:val="202124"/>
          <w:shd w:val="clear" w:color="auto" w:fill="FFFFFF"/>
        </w:rPr>
        <w:t>increased efficiency, productivity, innovation, creativity and improved employee engagement</w:t>
      </w:r>
      <w:r w:rsidRPr="003F264A">
        <w:rPr>
          <w:rFonts w:cstheme="minorHAnsi"/>
          <w:color w:val="202124"/>
          <w:shd w:val="clear" w:color="auto" w:fill="FFFFFF"/>
        </w:rPr>
        <w:t>.</w:t>
      </w:r>
    </w:p>
    <w:p w14:paraId="4FB310CA" w14:textId="77777777" w:rsidR="005A4333" w:rsidRDefault="008D3C39" w:rsidP="000F6998">
      <w:pPr>
        <w:jc w:val="both"/>
        <w:rPr>
          <w:rFonts w:cstheme="minorHAnsi"/>
        </w:rPr>
      </w:pPr>
      <w:r>
        <w:rPr>
          <w:rFonts w:cstheme="minorHAnsi"/>
        </w:rPr>
        <w:t>Implementing</w:t>
      </w:r>
      <w:r w:rsidRPr="003F264A">
        <w:rPr>
          <w:rFonts w:cstheme="minorHAnsi"/>
        </w:rPr>
        <w:t xml:space="preserve"> </w:t>
      </w:r>
      <w:r w:rsidR="00A71273" w:rsidRPr="003F264A">
        <w:rPr>
          <w:rFonts w:cstheme="minorHAnsi"/>
        </w:rPr>
        <w:t xml:space="preserve">Recommendation 7 will benefit medium and large businesses by expanding reporting on the </w:t>
      </w:r>
      <w:r w:rsidR="00746789" w:rsidRPr="003F264A">
        <w:rPr>
          <w:rFonts w:cstheme="minorHAnsi"/>
        </w:rPr>
        <w:t>GEIs</w:t>
      </w:r>
      <w:r w:rsidR="002B56F2" w:rsidRPr="003F264A">
        <w:rPr>
          <w:rFonts w:cstheme="minorHAnsi"/>
        </w:rPr>
        <w:t>,</w:t>
      </w:r>
      <w:r w:rsidR="00746789" w:rsidRPr="003F264A">
        <w:rPr>
          <w:rFonts w:cstheme="minorHAnsi"/>
        </w:rPr>
        <w:t xml:space="preserve"> allowing WGEA</w:t>
      </w:r>
      <w:r w:rsidR="00A71273" w:rsidRPr="003F264A">
        <w:rPr>
          <w:rFonts w:cstheme="minorHAnsi"/>
        </w:rPr>
        <w:t xml:space="preserve"> to provide further insights on the gender pay gap. This will be included in the reports </w:t>
      </w:r>
      <w:r w:rsidR="00AC28F7">
        <w:rPr>
          <w:rFonts w:cstheme="minorHAnsi"/>
        </w:rPr>
        <w:t>provided by WGEA to businesses.</w:t>
      </w:r>
      <w:r w:rsidR="00880F46" w:rsidRPr="003F264A">
        <w:rPr>
          <w:rFonts w:cstheme="minorHAnsi"/>
        </w:rPr>
        <w:t xml:space="preserve"> </w:t>
      </w:r>
      <w:r w:rsidR="00103B98" w:rsidRPr="003F264A">
        <w:rPr>
          <w:rFonts w:cstheme="minorHAnsi"/>
        </w:rPr>
        <w:t xml:space="preserve">With WGEA collecting data on age, location and superannuation, employers will be able to translate relevant data insights into organisational level change. </w:t>
      </w:r>
    </w:p>
    <w:p w14:paraId="33A4AD9B" w14:textId="2926C728" w:rsidR="00EE4F3E" w:rsidRPr="00477CCC" w:rsidRDefault="00EB4B9C" w:rsidP="000F6998">
      <w:pPr>
        <w:jc w:val="both"/>
        <w:rPr>
          <w:rFonts w:cstheme="minorHAnsi"/>
          <w:b/>
          <w:color w:val="000000"/>
        </w:rPr>
      </w:pPr>
      <w:r w:rsidRPr="003F264A">
        <w:rPr>
          <w:rFonts w:cstheme="minorHAnsi"/>
          <w:b/>
        </w:rPr>
        <w:t>Costs</w:t>
      </w:r>
    </w:p>
    <w:p w14:paraId="4FA4D193" w14:textId="26BA3160" w:rsidR="00EB4B9C" w:rsidRPr="003F264A" w:rsidRDefault="001C6F55" w:rsidP="000F6998">
      <w:pPr>
        <w:jc w:val="both"/>
        <w:rPr>
          <w:rFonts w:cstheme="minorHAnsi"/>
        </w:rPr>
      </w:pPr>
      <w:r w:rsidRPr="003F264A">
        <w:rPr>
          <w:rFonts w:cstheme="minorHAnsi"/>
        </w:rPr>
        <w:t>Targeted consultation on Recommendation 2 revealed some concerns of peak businesses bodies and industries. Some stakeholders are</w:t>
      </w:r>
      <w:r w:rsidR="00EB4B9C" w:rsidRPr="003F264A">
        <w:rPr>
          <w:rFonts w:cstheme="minorHAnsi"/>
        </w:rPr>
        <w:t xml:space="preserve"> concerned about the possibility of dampening productivity due to low morale, slowing men’s wages growth to raise women’s wages comparatively, and challenges for global organisations to reconcile international reporting</w:t>
      </w:r>
      <w:r w:rsidR="000E6A2C" w:rsidRPr="003F264A">
        <w:rPr>
          <w:rFonts w:cstheme="minorHAnsi"/>
        </w:rPr>
        <w:t xml:space="preserve"> obligations.</w:t>
      </w:r>
      <w:r w:rsidR="0014063A">
        <w:rPr>
          <w:rFonts w:cstheme="minorHAnsi"/>
        </w:rPr>
        <w:t xml:space="preserve"> </w:t>
      </w:r>
    </w:p>
    <w:p w14:paraId="0108CC13" w14:textId="77777777" w:rsidR="00D112D4" w:rsidRPr="003F264A" w:rsidRDefault="00260BB5" w:rsidP="000F6998">
      <w:pPr>
        <w:jc w:val="both"/>
        <w:rPr>
          <w:rFonts w:cstheme="minorHAnsi"/>
        </w:rPr>
      </w:pPr>
      <w:r w:rsidRPr="003F264A">
        <w:rPr>
          <w:rFonts w:cstheme="minorHAnsi"/>
        </w:rPr>
        <w:t>Recommendation 3 requires</w:t>
      </w:r>
      <w:r w:rsidR="000E6A2C" w:rsidRPr="003F264A">
        <w:rPr>
          <w:rFonts w:cstheme="minorHAnsi"/>
        </w:rPr>
        <w:t xml:space="preserve"> an increase</w:t>
      </w:r>
      <w:r w:rsidR="00D112D4" w:rsidRPr="003F264A">
        <w:rPr>
          <w:rFonts w:cstheme="minorHAnsi"/>
        </w:rPr>
        <w:t xml:space="preserve"> in regulatory requirements for large companies.</w:t>
      </w:r>
      <w:r w:rsidR="00FB6845" w:rsidRPr="003F264A">
        <w:rPr>
          <w:rFonts w:cstheme="minorHAnsi"/>
        </w:rPr>
        <w:t xml:space="preserve"> The </w:t>
      </w:r>
      <w:r w:rsidR="00854B74" w:rsidRPr="003F264A">
        <w:rPr>
          <w:rFonts w:cstheme="minorHAnsi"/>
        </w:rPr>
        <w:t>anticipated</w:t>
      </w:r>
      <w:r w:rsidR="00FB6845" w:rsidRPr="003F264A">
        <w:rPr>
          <w:rFonts w:cstheme="minorHAnsi"/>
        </w:rPr>
        <w:t xml:space="preserve"> regulatory burden is calculated below.</w:t>
      </w:r>
      <w:r w:rsidR="00D112D4" w:rsidRPr="003F264A">
        <w:rPr>
          <w:rFonts w:cstheme="minorHAnsi"/>
        </w:rPr>
        <w:t xml:space="preserve"> The Review did not recommended that the renamed and expande</w:t>
      </w:r>
      <w:r w:rsidR="00453110" w:rsidRPr="003F264A">
        <w:rPr>
          <w:rFonts w:cstheme="minorHAnsi"/>
        </w:rPr>
        <w:t>d gender equality standards would apply</w:t>
      </w:r>
      <w:r w:rsidR="00D112D4" w:rsidRPr="003F264A">
        <w:rPr>
          <w:rFonts w:cstheme="minorHAnsi"/>
        </w:rPr>
        <w:t xml:space="preserve"> to </w:t>
      </w:r>
      <w:r w:rsidR="001F6217" w:rsidRPr="003F264A">
        <w:rPr>
          <w:rFonts w:cstheme="minorHAnsi"/>
        </w:rPr>
        <w:t xml:space="preserve">medium sized </w:t>
      </w:r>
      <w:r w:rsidR="00D112D4" w:rsidRPr="003F264A">
        <w:rPr>
          <w:rFonts w:cstheme="minorHAnsi"/>
        </w:rPr>
        <w:t>employers with 100-499 employees given the likely reg</w:t>
      </w:r>
      <w:r w:rsidR="00453110" w:rsidRPr="003F264A">
        <w:rPr>
          <w:rFonts w:cstheme="minorHAnsi"/>
        </w:rPr>
        <w:t xml:space="preserve">ulatory impact. The Review also noted that post COVID 19 – many medium </w:t>
      </w:r>
      <w:r w:rsidR="001F6217" w:rsidRPr="003F264A">
        <w:rPr>
          <w:rFonts w:cstheme="minorHAnsi"/>
        </w:rPr>
        <w:t xml:space="preserve">sized </w:t>
      </w:r>
      <w:r w:rsidR="00453110" w:rsidRPr="003F264A">
        <w:rPr>
          <w:rFonts w:cstheme="minorHAnsi"/>
        </w:rPr>
        <w:t xml:space="preserve">businesses </w:t>
      </w:r>
      <w:r w:rsidR="001F6217" w:rsidRPr="003F264A">
        <w:rPr>
          <w:rFonts w:cstheme="minorHAnsi"/>
        </w:rPr>
        <w:t>are</w:t>
      </w:r>
      <w:r w:rsidR="00453110" w:rsidRPr="003F264A">
        <w:rPr>
          <w:rFonts w:cstheme="minorHAnsi"/>
        </w:rPr>
        <w:t xml:space="preserve"> facing increased challenges and this was </w:t>
      </w:r>
      <w:r w:rsidR="001F6217" w:rsidRPr="003F264A">
        <w:rPr>
          <w:rFonts w:cstheme="minorHAnsi"/>
        </w:rPr>
        <w:t>‘</w:t>
      </w:r>
      <w:r w:rsidR="00453110" w:rsidRPr="003F264A">
        <w:rPr>
          <w:rFonts w:cstheme="minorHAnsi"/>
        </w:rPr>
        <w:t>not the time</w:t>
      </w:r>
      <w:r w:rsidR="001F6217" w:rsidRPr="003F264A">
        <w:rPr>
          <w:rFonts w:cstheme="minorHAnsi"/>
        </w:rPr>
        <w:t>’</w:t>
      </w:r>
      <w:r w:rsidR="00453110" w:rsidRPr="003F264A">
        <w:rPr>
          <w:rFonts w:cstheme="minorHAnsi"/>
        </w:rPr>
        <w:t xml:space="preserve"> to increase regulatory burden on them. Large businesses, however, were determined to be able to comply with this new requirement, especially as many already set additional targets and have a number of policies and strategies in place. </w:t>
      </w:r>
    </w:p>
    <w:p w14:paraId="498995F2" w14:textId="77777777" w:rsidR="000B57FE" w:rsidRPr="003F264A" w:rsidRDefault="001F6217" w:rsidP="000F6998">
      <w:pPr>
        <w:jc w:val="both"/>
        <w:rPr>
          <w:rFonts w:cstheme="minorHAnsi"/>
        </w:rPr>
      </w:pPr>
      <w:r w:rsidRPr="003F264A">
        <w:rPr>
          <w:rFonts w:cstheme="minorHAnsi"/>
        </w:rPr>
        <w:t>Implement</w:t>
      </w:r>
      <w:r w:rsidR="008D3C39">
        <w:rPr>
          <w:rFonts w:cstheme="minorHAnsi"/>
        </w:rPr>
        <w:t xml:space="preserve">ing </w:t>
      </w:r>
      <w:r w:rsidR="000B57FE" w:rsidRPr="003F264A">
        <w:rPr>
          <w:rFonts w:cstheme="minorHAnsi"/>
        </w:rPr>
        <w:t xml:space="preserve">Recommendation 7 </w:t>
      </w:r>
      <w:r w:rsidR="00EA4603" w:rsidRPr="003F264A">
        <w:rPr>
          <w:rFonts w:cstheme="minorHAnsi"/>
        </w:rPr>
        <w:t>require</w:t>
      </w:r>
      <w:r w:rsidRPr="003F264A">
        <w:rPr>
          <w:rFonts w:cstheme="minorHAnsi"/>
        </w:rPr>
        <w:t>s</w:t>
      </w:r>
      <w:r w:rsidR="00577E81" w:rsidRPr="003F264A">
        <w:rPr>
          <w:rFonts w:cstheme="minorHAnsi"/>
        </w:rPr>
        <w:t xml:space="preserve"> expanded reporting f</w:t>
      </w:r>
      <w:r w:rsidRPr="003F264A">
        <w:rPr>
          <w:rFonts w:cstheme="minorHAnsi"/>
        </w:rPr>
        <w:t>rom</w:t>
      </w:r>
      <w:r w:rsidR="00577E81" w:rsidRPr="003F264A">
        <w:rPr>
          <w:rFonts w:cstheme="minorHAnsi"/>
        </w:rPr>
        <w:t xml:space="preserve"> medium and large employers, including on </w:t>
      </w:r>
      <w:r w:rsidRPr="003F264A">
        <w:rPr>
          <w:rFonts w:cstheme="minorHAnsi"/>
        </w:rPr>
        <w:t xml:space="preserve">employee </w:t>
      </w:r>
      <w:r w:rsidR="00577E81" w:rsidRPr="003F264A">
        <w:rPr>
          <w:rFonts w:cstheme="minorHAnsi"/>
        </w:rPr>
        <w:t>age, location</w:t>
      </w:r>
      <w:r w:rsidR="0076313C" w:rsidRPr="003F264A">
        <w:rPr>
          <w:rFonts w:cstheme="minorHAnsi"/>
        </w:rPr>
        <w:t>, superannuation</w:t>
      </w:r>
      <w:r w:rsidR="00577E81" w:rsidRPr="003F264A">
        <w:rPr>
          <w:rFonts w:cstheme="minorHAnsi"/>
        </w:rPr>
        <w:t xml:space="preserve"> and CEO data</w:t>
      </w:r>
      <w:r w:rsidR="0076313C" w:rsidRPr="003F264A">
        <w:rPr>
          <w:rFonts w:cstheme="minorHAnsi"/>
        </w:rPr>
        <w:t xml:space="preserve">. </w:t>
      </w:r>
      <w:r w:rsidR="00577E81" w:rsidRPr="003F264A">
        <w:rPr>
          <w:rFonts w:cstheme="minorHAnsi"/>
        </w:rPr>
        <w:t xml:space="preserve">Feedback from consultation </w:t>
      </w:r>
      <w:r w:rsidRPr="003F264A">
        <w:rPr>
          <w:rFonts w:cstheme="minorHAnsi"/>
        </w:rPr>
        <w:t>for</w:t>
      </w:r>
      <w:r w:rsidR="00577E81" w:rsidRPr="003F264A">
        <w:rPr>
          <w:rFonts w:cstheme="minorHAnsi"/>
        </w:rPr>
        <w:t xml:space="preserve"> the Review revealed a high proportion of employers already report </w:t>
      </w:r>
      <w:r w:rsidRPr="003F264A">
        <w:rPr>
          <w:rFonts w:cstheme="minorHAnsi"/>
        </w:rPr>
        <w:t xml:space="preserve">employee </w:t>
      </w:r>
      <w:r w:rsidR="00577E81" w:rsidRPr="003F264A">
        <w:rPr>
          <w:rFonts w:cstheme="minorHAnsi"/>
        </w:rPr>
        <w:t>age, location and CEO data voluntarily, limiting the number of businesses who would have to begin doing this.</w:t>
      </w:r>
      <w:r w:rsidR="00090B2F" w:rsidRPr="003F264A">
        <w:rPr>
          <w:rFonts w:cstheme="minorHAnsi"/>
        </w:rPr>
        <w:t xml:space="preserve"> The majority of businesses already collect this data but there may be a small amount of employers that may have to alter their systems to provide this data. </w:t>
      </w:r>
      <w:r w:rsidR="00577E81" w:rsidRPr="003F264A">
        <w:rPr>
          <w:rFonts w:cstheme="minorHAnsi"/>
        </w:rPr>
        <w:t xml:space="preserve"> </w:t>
      </w:r>
    </w:p>
    <w:p w14:paraId="3E4A42BA" w14:textId="074FF07B" w:rsidR="007B08B9" w:rsidRDefault="005F3EEE" w:rsidP="000F6998">
      <w:pPr>
        <w:jc w:val="both"/>
        <w:rPr>
          <w:rFonts w:cstheme="minorHAnsi"/>
        </w:rPr>
      </w:pPr>
      <w:r w:rsidRPr="008B11AB">
        <w:rPr>
          <w:rFonts w:cstheme="minorHAnsi"/>
        </w:rPr>
        <w:t>Targeted c</w:t>
      </w:r>
      <w:r w:rsidR="00577E81" w:rsidRPr="008B11AB">
        <w:rPr>
          <w:rFonts w:cstheme="minorHAnsi"/>
        </w:rPr>
        <w:t xml:space="preserve">onsultation </w:t>
      </w:r>
      <w:r w:rsidR="001F6217" w:rsidRPr="008B11AB">
        <w:rPr>
          <w:rFonts w:cstheme="minorHAnsi"/>
        </w:rPr>
        <w:t xml:space="preserve">returned </w:t>
      </w:r>
      <w:r w:rsidR="00577E81" w:rsidRPr="00BC054C">
        <w:rPr>
          <w:rFonts w:cstheme="minorHAnsi"/>
        </w:rPr>
        <w:t>mixed results</w:t>
      </w:r>
      <w:r w:rsidR="00577E81" w:rsidRPr="008B11AB">
        <w:rPr>
          <w:rFonts w:cstheme="minorHAnsi"/>
        </w:rPr>
        <w:t xml:space="preserve"> for ANZSCO level</w:t>
      </w:r>
      <w:r w:rsidR="00473C69" w:rsidRPr="008B11AB">
        <w:rPr>
          <w:rFonts w:cstheme="minorHAnsi"/>
        </w:rPr>
        <w:t xml:space="preserve"> 4</w:t>
      </w:r>
      <w:r w:rsidR="00577E81" w:rsidRPr="008B11AB">
        <w:rPr>
          <w:rFonts w:cstheme="minorHAnsi"/>
        </w:rPr>
        <w:t xml:space="preserve"> reporting</w:t>
      </w:r>
      <w:r w:rsidR="00090B2F" w:rsidRPr="008B11AB">
        <w:rPr>
          <w:rFonts w:cstheme="minorHAnsi"/>
        </w:rPr>
        <w:t xml:space="preserve"> (Recommendation 7.3.a)</w:t>
      </w:r>
      <w:r w:rsidR="00815741" w:rsidRPr="008B11AB">
        <w:rPr>
          <w:rStyle w:val="FootnoteReference"/>
          <w:rFonts w:cstheme="minorHAnsi"/>
        </w:rPr>
        <w:footnoteReference w:id="158"/>
      </w:r>
      <w:r w:rsidR="00090B2F" w:rsidRPr="008B11AB">
        <w:rPr>
          <w:rFonts w:cstheme="minorHAnsi"/>
        </w:rPr>
        <w:t xml:space="preserve"> and group structure reporting (Recommendation 7.3.b)</w:t>
      </w:r>
      <w:r w:rsidR="00577E81" w:rsidRPr="008B11AB">
        <w:rPr>
          <w:rFonts w:cstheme="minorHAnsi"/>
        </w:rPr>
        <w:t xml:space="preserve">. Some employers </w:t>
      </w:r>
      <w:r w:rsidR="00090B2F" w:rsidRPr="008B11AB">
        <w:rPr>
          <w:rFonts w:cstheme="minorHAnsi"/>
        </w:rPr>
        <w:t>stated that the</w:t>
      </w:r>
      <w:r w:rsidR="001F6217" w:rsidRPr="008B11AB">
        <w:rPr>
          <w:rFonts w:cstheme="minorHAnsi"/>
        </w:rPr>
        <w:t xml:space="preserve"> proposed</w:t>
      </w:r>
      <w:r w:rsidR="00090B2F" w:rsidRPr="008B11AB">
        <w:rPr>
          <w:rFonts w:cstheme="minorHAnsi"/>
        </w:rPr>
        <w:t xml:space="preserve"> changes </w:t>
      </w:r>
      <w:r w:rsidR="00577E81" w:rsidRPr="008B11AB">
        <w:rPr>
          <w:rFonts w:cstheme="minorHAnsi"/>
        </w:rPr>
        <w:t xml:space="preserve">would </w:t>
      </w:r>
      <w:r w:rsidR="00090B2F" w:rsidRPr="008B11AB">
        <w:rPr>
          <w:rFonts w:cstheme="minorHAnsi"/>
        </w:rPr>
        <w:t>take the</w:t>
      </w:r>
      <w:r w:rsidR="00577E81" w:rsidRPr="008B11AB">
        <w:rPr>
          <w:rFonts w:cstheme="minorHAnsi"/>
        </w:rPr>
        <w:t xml:space="preserve"> same amount of time</w:t>
      </w:r>
      <w:r w:rsidR="00090B2F" w:rsidRPr="008B11AB">
        <w:rPr>
          <w:rFonts w:cstheme="minorHAnsi"/>
        </w:rPr>
        <w:t xml:space="preserve"> to report </w:t>
      </w:r>
      <w:r w:rsidR="001F6217" w:rsidRPr="008B11AB">
        <w:rPr>
          <w:rFonts w:cstheme="minorHAnsi"/>
        </w:rPr>
        <w:t>as under current requirements</w:t>
      </w:r>
      <w:r w:rsidR="00090B2F" w:rsidRPr="008B11AB">
        <w:rPr>
          <w:rFonts w:cstheme="minorHAnsi"/>
        </w:rPr>
        <w:t xml:space="preserve">, whereas </w:t>
      </w:r>
      <w:r w:rsidR="00577E81" w:rsidRPr="008B11AB">
        <w:rPr>
          <w:rFonts w:cstheme="minorHAnsi"/>
        </w:rPr>
        <w:t xml:space="preserve">others believed it would take longer. Some employers mentioned that their HR systems were set up </w:t>
      </w:r>
      <w:r w:rsidR="00090B2F" w:rsidRPr="008B11AB">
        <w:rPr>
          <w:rFonts w:cstheme="minorHAnsi"/>
        </w:rPr>
        <w:t>to comply with current requirements and that proposed changes would require significant IT/ HR systems update</w:t>
      </w:r>
      <w:r w:rsidR="001F6217" w:rsidRPr="008B11AB">
        <w:rPr>
          <w:rFonts w:cstheme="minorHAnsi"/>
        </w:rPr>
        <w:t>s</w:t>
      </w:r>
      <w:r w:rsidR="00090B2F" w:rsidRPr="008B11AB">
        <w:rPr>
          <w:rFonts w:cstheme="minorHAnsi"/>
        </w:rPr>
        <w:t xml:space="preserve">. </w:t>
      </w:r>
    </w:p>
    <w:p w14:paraId="336F3185" w14:textId="4006E032" w:rsidR="001070B3" w:rsidRPr="001070B3" w:rsidRDefault="001070B3" w:rsidP="000F6998">
      <w:pPr>
        <w:jc w:val="both"/>
        <w:rPr>
          <w:rFonts w:cstheme="minorHAnsi"/>
        </w:rPr>
      </w:pPr>
      <w:r>
        <w:rPr>
          <w:rFonts w:cstheme="minorHAnsi"/>
        </w:rPr>
        <w:t>T</w:t>
      </w:r>
      <w:r w:rsidRPr="001070B3">
        <w:rPr>
          <w:rFonts w:cstheme="minorHAnsi"/>
        </w:rPr>
        <w:t xml:space="preserve">hese reforms could place pressure on wages leading to increased wage bills for businesses, which is a cost. As a result, businesses may hire less people, which has a second round effect of reduced jobs. </w:t>
      </w:r>
      <w:r>
        <w:rPr>
          <w:rFonts w:cstheme="minorHAnsi"/>
        </w:rPr>
        <w:t>However</w:t>
      </w:r>
      <w:r w:rsidRPr="001070B3">
        <w:rPr>
          <w:rFonts w:cstheme="minorHAnsi"/>
        </w:rPr>
        <w:t xml:space="preserve">, any such impacts are likely to be short-term as the economic </w:t>
      </w:r>
      <w:r>
        <w:rPr>
          <w:rFonts w:cstheme="minorHAnsi"/>
        </w:rPr>
        <w:t>growth driven through equality w</w:t>
      </w:r>
      <w:r w:rsidRPr="001070B3">
        <w:rPr>
          <w:rFonts w:cstheme="minorHAnsi"/>
        </w:rPr>
        <w:t>ould then increase profit</w:t>
      </w:r>
      <w:r>
        <w:rPr>
          <w:rFonts w:cstheme="minorHAnsi"/>
        </w:rPr>
        <w:t xml:space="preserve">s and job opportunities again. </w:t>
      </w:r>
    </w:p>
    <w:p w14:paraId="41EEA865" w14:textId="77777777" w:rsidR="00EE5301" w:rsidRPr="003F264A" w:rsidRDefault="008E5A12" w:rsidP="000F6998">
      <w:pPr>
        <w:pStyle w:val="Heading2"/>
        <w:jc w:val="both"/>
        <w:rPr>
          <w:rFonts w:asciiTheme="minorHAnsi" w:eastAsia="Calibri Light" w:hAnsiTheme="minorHAnsi" w:cstheme="minorHAnsi"/>
          <w:color w:val="4472C4" w:themeColor="accent5"/>
        </w:rPr>
      </w:pPr>
      <w:bookmarkStart w:id="111" w:name="_Toc118794758"/>
      <w:bookmarkStart w:id="112" w:name="_Toc125714733"/>
      <w:r w:rsidRPr="003F264A">
        <w:rPr>
          <w:rFonts w:asciiTheme="minorHAnsi" w:eastAsia="Calibri Light" w:hAnsiTheme="minorHAnsi" w:cstheme="minorHAnsi"/>
          <w:color w:val="4472C4" w:themeColor="accent5"/>
        </w:rPr>
        <w:t>9</w:t>
      </w:r>
      <w:r w:rsidR="00034445" w:rsidRPr="003F264A">
        <w:rPr>
          <w:rFonts w:asciiTheme="minorHAnsi" w:eastAsia="Calibri Light" w:hAnsiTheme="minorHAnsi" w:cstheme="minorHAnsi"/>
          <w:color w:val="4472C4" w:themeColor="accent5"/>
        </w:rPr>
        <w:t>.1.3</w:t>
      </w:r>
      <w:r w:rsidR="00220FD3" w:rsidRPr="003F264A">
        <w:rPr>
          <w:rFonts w:asciiTheme="minorHAnsi" w:eastAsia="Calibri Light" w:hAnsiTheme="minorHAnsi" w:cstheme="minorHAnsi"/>
          <w:color w:val="4472C4" w:themeColor="accent5"/>
        </w:rPr>
        <w:t xml:space="preserve"> Government</w:t>
      </w:r>
      <w:bookmarkEnd w:id="111"/>
      <w:bookmarkEnd w:id="112"/>
      <w:r w:rsidR="00220FD3" w:rsidRPr="003F264A">
        <w:rPr>
          <w:rFonts w:asciiTheme="minorHAnsi" w:eastAsia="Calibri Light" w:hAnsiTheme="minorHAnsi" w:cstheme="minorHAnsi"/>
          <w:color w:val="4472C4" w:themeColor="accent5"/>
        </w:rPr>
        <w:t xml:space="preserve"> </w:t>
      </w:r>
    </w:p>
    <w:p w14:paraId="7BBF07D3" w14:textId="77777777" w:rsidR="00EE5301" w:rsidRPr="003F264A" w:rsidRDefault="00EE5301" w:rsidP="000F6998">
      <w:pPr>
        <w:spacing w:before="240"/>
        <w:jc w:val="both"/>
        <w:rPr>
          <w:rFonts w:cstheme="minorHAnsi"/>
          <w:b/>
        </w:rPr>
      </w:pPr>
      <w:r w:rsidRPr="003F264A">
        <w:rPr>
          <w:rFonts w:cstheme="minorHAnsi"/>
          <w:b/>
        </w:rPr>
        <w:t>Benefits</w:t>
      </w:r>
    </w:p>
    <w:p w14:paraId="6A9C2163" w14:textId="3007FDC0" w:rsidR="00E03323" w:rsidRPr="003F264A" w:rsidRDefault="00EE5301" w:rsidP="000F6998">
      <w:pPr>
        <w:jc w:val="both"/>
        <w:rPr>
          <w:rFonts w:cstheme="minorHAnsi"/>
        </w:rPr>
      </w:pPr>
      <w:r w:rsidRPr="003F264A">
        <w:rPr>
          <w:rFonts w:cstheme="minorHAnsi"/>
        </w:rPr>
        <w:t xml:space="preserve">The benefits to Government under Option 3 are </w:t>
      </w:r>
      <w:r w:rsidR="001F6217" w:rsidRPr="003F264A">
        <w:rPr>
          <w:rFonts w:cstheme="minorHAnsi"/>
        </w:rPr>
        <w:t xml:space="preserve">similar to the </w:t>
      </w:r>
      <w:r w:rsidRPr="003F264A">
        <w:rPr>
          <w:rFonts w:cstheme="minorHAnsi"/>
        </w:rPr>
        <w:t xml:space="preserve">benefits to individuals and companies. Recommendations 2, 3 and 7 are key measures that align with the Government’s gender equality </w:t>
      </w:r>
      <w:r w:rsidR="00416E48">
        <w:rPr>
          <w:rFonts w:cstheme="minorHAnsi"/>
        </w:rPr>
        <w:t>commitments</w:t>
      </w:r>
      <w:r w:rsidRPr="003F264A">
        <w:rPr>
          <w:rFonts w:cstheme="minorHAnsi"/>
        </w:rPr>
        <w:t xml:space="preserve">.  </w:t>
      </w:r>
    </w:p>
    <w:p w14:paraId="02B9B700" w14:textId="291A2F4A" w:rsidR="00723CFE" w:rsidRPr="003F264A" w:rsidRDefault="00217EE5" w:rsidP="000F6998">
      <w:pPr>
        <w:jc w:val="both"/>
        <w:rPr>
          <w:rFonts w:cstheme="minorHAnsi"/>
        </w:rPr>
      </w:pPr>
      <w:r w:rsidRPr="003F264A">
        <w:rPr>
          <w:rFonts w:cstheme="minorHAnsi"/>
        </w:rPr>
        <w:t xml:space="preserve">Increased transparency </w:t>
      </w:r>
      <w:r w:rsidR="00E025BF" w:rsidRPr="003F264A">
        <w:rPr>
          <w:rFonts w:cstheme="minorHAnsi"/>
        </w:rPr>
        <w:t>(</w:t>
      </w:r>
      <w:r w:rsidR="00E03323" w:rsidRPr="003F264A">
        <w:rPr>
          <w:rFonts w:cstheme="minorHAnsi"/>
        </w:rPr>
        <w:t>Recommendation 2</w:t>
      </w:r>
      <w:r w:rsidR="00E025BF" w:rsidRPr="003F264A">
        <w:rPr>
          <w:rFonts w:cstheme="minorHAnsi"/>
        </w:rPr>
        <w:t>)</w:t>
      </w:r>
      <w:r w:rsidR="00E03323" w:rsidRPr="003F264A">
        <w:rPr>
          <w:rFonts w:cstheme="minorHAnsi"/>
        </w:rPr>
        <w:t xml:space="preserve"> is a key step </w:t>
      </w:r>
      <w:r w:rsidRPr="003F264A">
        <w:rPr>
          <w:rFonts w:cstheme="minorHAnsi"/>
        </w:rPr>
        <w:t>towards addressing the</w:t>
      </w:r>
      <w:r w:rsidR="00E03323" w:rsidRPr="003F264A">
        <w:rPr>
          <w:rFonts w:cstheme="minorHAnsi"/>
        </w:rPr>
        <w:t xml:space="preserve"> gender pay gap. Recommendation 3 requires businesses to comply with strengthened standards and develop </w:t>
      </w:r>
      <w:r w:rsidR="00E025BF" w:rsidRPr="003F264A">
        <w:rPr>
          <w:rFonts w:cstheme="minorHAnsi"/>
        </w:rPr>
        <w:t xml:space="preserve">appropriate </w:t>
      </w:r>
      <w:r w:rsidR="00E03323" w:rsidRPr="003F264A">
        <w:rPr>
          <w:rFonts w:cstheme="minorHAnsi"/>
        </w:rPr>
        <w:t xml:space="preserve">policies and strategies. This recognises that reporting to Government can </w:t>
      </w:r>
      <w:r w:rsidR="00E95863" w:rsidRPr="003F264A">
        <w:rPr>
          <w:rFonts w:cstheme="minorHAnsi"/>
        </w:rPr>
        <w:t>generate</w:t>
      </w:r>
      <w:r w:rsidR="00E03323" w:rsidRPr="003F264A">
        <w:rPr>
          <w:rFonts w:cstheme="minorHAnsi"/>
        </w:rPr>
        <w:t xml:space="preserve"> insights and </w:t>
      </w:r>
      <w:r w:rsidR="00E95863" w:rsidRPr="003F264A">
        <w:rPr>
          <w:rFonts w:cstheme="minorHAnsi"/>
        </w:rPr>
        <w:t>analysis</w:t>
      </w:r>
      <w:r w:rsidR="00E03323" w:rsidRPr="003F264A">
        <w:rPr>
          <w:rFonts w:cstheme="minorHAnsi"/>
        </w:rPr>
        <w:t xml:space="preserve"> to assist companies, but that businesses need to do more and work in partnership with Government to </w:t>
      </w:r>
      <w:r w:rsidR="00E025BF" w:rsidRPr="003F264A">
        <w:rPr>
          <w:rFonts w:cstheme="minorHAnsi"/>
        </w:rPr>
        <w:t>address</w:t>
      </w:r>
      <w:r w:rsidR="00042B9E" w:rsidRPr="003F264A">
        <w:rPr>
          <w:rFonts w:cstheme="minorHAnsi"/>
        </w:rPr>
        <w:t xml:space="preserve"> </w:t>
      </w:r>
      <w:r w:rsidR="00E03323" w:rsidRPr="003F264A">
        <w:rPr>
          <w:rFonts w:cstheme="minorHAnsi"/>
        </w:rPr>
        <w:t xml:space="preserve">gender inequality. </w:t>
      </w:r>
      <w:r w:rsidR="008D3C39">
        <w:rPr>
          <w:rFonts w:cstheme="minorHAnsi"/>
        </w:rPr>
        <w:t>Implementing</w:t>
      </w:r>
      <w:r w:rsidR="00E025BF" w:rsidRPr="003F264A">
        <w:rPr>
          <w:rFonts w:cstheme="minorHAnsi"/>
        </w:rPr>
        <w:t xml:space="preserve"> </w:t>
      </w:r>
      <w:r w:rsidR="00785BF9" w:rsidRPr="003F264A">
        <w:rPr>
          <w:rFonts w:cstheme="minorHAnsi"/>
        </w:rPr>
        <w:t xml:space="preserve">Recommendation 7 will allow Government to access more granular data to </w:t>
      </w:r>
      <w:r w:rsidR="00E025BF" w:rsidRPr="003F264A">
        <w:rPr>
          <w:rFonts w:cstheme="minorHAnsi"/>
        </w:rPr>
        <w:t>allow</w:t>
      </w:r>
      <w:r w:rsidR="00042B9E" w:rsidRPr="003F264A">
        <w:rPr>
          <w:rFonts w:cstheme="minorHAnsi"/>
        </w:rPr>
        <w:t xml:space="preserve"> </w:t>
      </w:r>
      <w:r w:rsidR="00785BF9" w:rsidRPr="003F264A">
        <w:rPr>
          <w:rFonts w:cstheme="minorHAnsi"/>
        </w:rPr>
        <w:t xml:space="preserve">further analysis. </w:t>
      </w:r>
      <w:r w:rsidR="00723CFE" w:rsidRPr="003F264A">
        <w:rPr>
          <w:rFonts w:cstheme="minorHAnsi"/>
        </w:rPr>
        <w:t xml:space="preserve">More granular data on </w:t>
      </w:r>
      <w:r w:rsidR="002C76A4">
        <w:rPr>
          <w:rFonts w:cstheme="minorHAnsi"/>
        </w:rPr>
        <w:t xml:space="preserve">primary workplace location, superannuation payments, </w:t>
      </w:r>
      <w:r w:rsidR="00723CFE" w:rsidRPr="003F264A">
        <w:rPr>
          <w:rFonts w:cstheme="minorHAnsi"/>
        </w:rPr>
        <w:t xml:space="preserve">and </w:t>
      </w:r>
      <w:r w:rsidR="002C76A4">
        <w:rPr>
          <w:rFonts w:cstheme="minorHAnsi"/>
        </w:rPr>
        <w:t xml:space="preserve">age of employees will enable </w:t>
      </w:r>
      <w:r w:rsidR="00723CFE" w:rsidRPr="003F264A">
        <w:rPr>
          <w:rFonts w:cstheme="minorHAnsi"/>
        </w:rPr>
        <w:t>greater insight, particularly the impact of labour market segmentation as it contributes to the gender pay gap</w:t>
      </w:r>
      <w:r w:rsidR="00785BF9" w:rsidRPr="003F264A">
        <w:rPr>
          <w:rFonts w:cstheme="minorHAnsi"/>
        </w:rPr>
        <w:t xml:space="preserve">. </w:t>
      </w:r>
      <w:r w:rsidR="00E025BF" w:rsidRPr="003F264A">
        <w:rPr>
          <w:rFonts w:cstheme="minorHAnsi"/>
        </w:rPr>
        <w:t>Employee a</w:t>
      </w:r>
      <w:r w:rsidR="00785BF9" w:rsidRPr="003F264A">
        <w:rPr>
          <w:rFonts w:cstheme="minorHAnsi"/>
        </w:rPr>
        <w:t xml:space="preserve">ge and location data will </w:t>
      </w:r>
      <w:r w:rsidR="00E025BF" w:rsidRPr="003F264A">
        <w:rPr>
          <w:rFonts w:cstheme="minorHAnsi"/>
        </w:rPr>
        <w:t>enable</w:t>
      </w:r>
      <w:r w:rsidR="00785BF9" w:rsidRPr="003F264A">
        <w:rPr>
          <w:rFonts w:cstheme="minorHAnsi"/>
        </w:rPr>
        <w:t xml:space="preserve"> the Government to </w:t>
      </w:r>
      <w:r w:rsidR="00E025BF" w:rsidRPr="003F264A">
        <w:rPr>
          <w:rFonts w:cstheme="minorHAnsi"/>
        </w:rPr>
        <w:t>analyse</w:t>
      </w:r>
      <w:r w:rsidR="00785BF9" w:rsidRPr="003F264A">
        <w:rPr>
          <w:rFonts w:cstheme="minorHAnsi"/>
        </w:rPr>
        <w:t xml:space="preserve"> the distributional impacts of gender inequality. The reporting of non-binary employees’ data will </w:t>
      </w:r>
      <w:r w:rsidR="00E025BF" w:rsidRPr="003F264A">
        <w:rPr>
          <w:rFonts w:cstheme="minorHAnsi"/>
        </w:rPr>
        <w:t>provide</w:t>
      </w:r>
      <w:r w:rsidR="00785BF9" w:rsidRPr="003F264A">
        <w:rPr>
          <w:rFonts w:cstheme="minorHAnsi"/>
        </w:rPr>
        <w:t xml:space="preserve"> Government</w:t>
      </w:r>
      <w:r w:rsidR="00E025BF" w:rsidRPr="003F264A">
        <w:rPr>
          <w:rFonts w:cstheme="minorHAnsi"/>
        </w:rPr>
        <w:t xml:space="preserve"> and the broader community a clearer more detailed </w:t>
      </w:r>
      <w:r w:rsidR="00785BF9" w:rsidRPr="003F264A">
        <w:rPr>
          <w:rFonts w:cstheme="minorHAnsi"/>
        </w:rPr>
        <w:t xml:space="preserve">picture of Australian workplaces. </w:t>
      </w:r>
    </w:p>
    <w:p w14:paraId="07ECB937" w14:textId="4209DDE1" w:rsidR="00477CCC" w:rsidRDefault="00746789" w:rsidP="000F6998">
      <w:pPr>
        <w:jc w:val="both"/>
        <w:rPr>
          <w:rFonts w:cstheme="minorHAnsi"/>
          <w:b/>
        </w:rPr>
      </w:pPr>
      <w:r w:rsidRPr="003F264A">
        <w:rPr>
          <w:rFonts w:cstheme="minorHAnsi"/>
        </w:rPr>
        <w:t>Women reaching their potential in the workplace w</w:t>
      </w:r>
      <w:r w:rsidR="00E025BF" w:rsidRPr="003F264A">
        <w:rPr>
          <w:rFonts w:cstheme="minorHAnsi"/>
        </w:rPr>
        <w:t>ill</w:t>
      </w:r>
      <w:r w:rsidRPr="003F264A">
        <w:rPr>
          <w:rFonts w:cstheme="minorHAnsi"/>
        </w:rPr>
        <w:t xml:space="preserve"> positively impact </w:t>
      </w:r>
      <w:r w:rsidR="00E025BF" w:rsidRPr="003F264A">
        <w:rPr>
          <w:rFonts w:cstheme="minorHAnsi"/>
        </w:rPr>
        <w:t>all Australians</w:t>
      </w:r>
      <w:r w:rsidRPr="003F264A">
        <w:rPr>
          <w:rFonts w:cstheme="minorHAnsi"/>
        </w:rPr>
        <w:t xml:space="preserve"> </w:t>
      </w:r>
      <w:r w:rsidR="00E025BF" w:rsidRPr="003F264A">
        <w:rPr>
          <w:rFonts w:cstheme="minorHAnsi"/>
        </w:rPr>
        <w:t>and</w:t>
      </w:r>
      <w:r w:rsidR="00B26823" w:rsidRPr="003F264A">
        <w:rPr>
          <w:rFonts w:cstheme="minorHAnsi"/>
        </w:rPr>
        <w:t xml:space="preserve"> </w:t>
      </w:r>
      <w:r w:rsidRPr="003F264A">
        <w:rPr>
          <w:rFonts w:cstheme="minorHAnsi"/>
        </w:rPr>
        <w:t>drive economic growth. Removing disincentives for women to enter the paid workforce is estimated to increase the size of the Australian economy by about $25 billion per year.</w:t>
      </w:r>
      <w:r w:rsidRPr="003F264A">
        <w:rPr>
          <w:rStyle w:val="FootnoteReference"/>
          <w:rFonts w:cstheme="minorHAnsi"/>
        </w:rPr>
        <w:footnoteReference w:id="159"/>
      </w:r>
      <w:r w:rsidRPr="003F264A">
        <w:rPr>
          <w:rFonts w:cstheme="minorHAnsi"/>
        </w:rPr>
        <w:t xml:space="preserve"> Research show</w:t>
      </w:r>
      <w:r w:rsidR="00E025BF" w:rsidRPr="003F264A">
        <w:rPr>
          <w:rFonts w:cstheme="minorHAnsi"/>
        </w:rPr>
        <w:t>s</w:t>
      </w:r>
      <w:r w:rsidRPr="003F264A">
        <w:rPr>
          <w:rFonts w:cstheme="minorHAnsi"/>
        </w:rPr>
        <w:t xml:space="preserve"> that closing the gap between men and women's employment rates </w:t>
      </w:r>
      <w:r w:rsidR="00E025BF" w:rsidRPr="003F264A">
        <w:rPr>
          <w:rFonts w:cstheme="minorHAnsi"/>
        </w:rPr>
        <w:t>will</w:t>
      </w:r>
      <w:r w:rsidRPr="003F264A">
        <w:rPr>
          <w:rFonts w:cstheme="minorHAnsi"/>
        </w:rPr>
        <w:t xml:space="preserve"> boost the level of Australia's GDP by anywhere between </w:t>
      </w:r>
      <w:r w:rsidR="00B26823" w:rsidRPr="003F264A">
        <w:rPr>
          <w:rFonts w:cstheme="minorHAnsi"/>
        </w:rPr>
        <w:t>eight to eleven</w:t>
      </w:r>
      <w:r w:rsidR="00CA2ABE" w:rsidRPr="003F264A">
        <w:rPr>
          <w:rFonts w:cstheme="minorHAnsi"/>
        </w:rPr>
        <w:t xml:space="preserve"> per cent</w:t>
      </w:r>
      <w:r w:rsidRPr="003F264A">
        <w:rPr>
          <w:rFonts w:cstheme="minorHAnsi"/>
        </w:rPr>
        <w:t>.</w:t>
      </w:r>
      <w:r w:rsidRPr="003F264A">
        <w:rPr>
          <w:rStyle w:val="FootnoteReference"/>
          <w:rFonts w:cstheme="minorHAnsi"/>
        </w:rPr>
        <w:footnoteReference w:id="160"/>
      </w:r>
      <w:r w:rsidRPr="003F264A">
        <w:rPr>
          <w:rFonts w:cstheme="minorHAnsi"/>
        </w:rPr>
        <w:t xml:space="preserve"> </w:t>
      </w:r>
    </w:p>
    <w:p w14:paraId="174B91C0" w14:textId="0B5CF341" w:rsidR="00746789" w:rsidRPr="003F264A" w:rsidRDefault="00132D0B" w:rsidP="000F6998">
      <w:pPr>
        <w:jc w:val="both"/>
        <w:rPr>
          <w:rFonts w:cstheme="minorHAnsi"/>
          <w:b/>
        </w:rPr>
      </w:pPr>
      <w:r w:rsidRPr="003F264A">
        <w:rPr>
          <w:rFonts w:cstheme="minorHAnsi"/>
          <w:b/>
        </w:rPr>
        <w:t>Costs</w:t>
      </w:r>
    </w:p>
    <w:p w14:paraId="49233E34" w14:textId="77777777" w:rsidR="00746789" w:rsidRPr="003F264A" w:rsidRDefault="00132D0B" w:rsidP="000F6998">
      <w:pPr>
        <w:jc w:val="both"/>
        <w:rPr>
          <w:rFonts w:cstheme="minorHAnsi"/>
        </w:rPr>
      </w:pPr>
      <w:r w:rsidRPr="003F264A">
        <w:rPr>
          <w:rFonts w:cstheme="minorHAnsi"/>
        </w:rPr>
        <w:t xml:space="preserve">There are no further anticipated costs to Government under </w:t>
      </w:r>
      <w:r w:rsidR="00F52A99" w:rsidRPr="003F264A">
        <w:rPr>
          <w:rFonts w:cstheme="minorHAnsi"/>
        </w:rPr>
        <w:t>Option 3.</w:t>
      </w:r>
      <w:r w:rsidR="0008395A" w:rsidRPr="003F264A">
        <w:rPr>
          <w:rFonts w:cstheme="minorHAnsi"/>
        </w:rPr>
        <w:t xml:space="preserve"> The cost of not addressing gender inequality </w:t>
      </w:r>
      <w:r w:rsidR="00E025BF" w:rsidRPr="003F264A">
        <w:rPr>
          <w:rFonts w:cstheme="minorHAnsi"/>
        </w:rPr>
        <w:t xml:space="preserve">in an effective and timely manner can, in large part, be avoided by implementing </w:t>
      </w:r>
      <w:r w:rsidR="0023595B" w:rsidRPr="003F264A">
        <w:rPr>
          <w:rFonts w:cstheme="minorHAnsi"/>
        </w:rPr>
        <w:t>Recommendations 2,</w:t>
      </w:r>
      <w:r w:rsidR="00B26823" w:rsidRPr="003F264A">
        <w:rPr>
          <w:rFonts w:cstheme="minorHAnsi"/>
        </w:rPr>
        <w:t xml:space="preserve"> </w:t>
      </w:r>
      <w:r w:rsidR="0023595B" w:rsidRPr="003F264A">
        <w:rPr>
          <w:rFonts w:cstheme="minorHAnsi"/>
        </w:rPr>
        <w:t>3,</w:t>
      </w:r>
      <w:r w:rsidR="00B26823" w:rsidRPr="003F264A">
        <w:rPr>
          <w:rFonts w:cstheme="minorHAnsi"/>
        </w:rPr>
        <w:t xml:space="preserve"> </w:t>
      </w:r>
      <w:r w:rsidR="0023595B" w:rsidRPr="003F264A">
        <w:rPr>
          <w:rFonts w:cstheme="minorHAnsi"/>
        </w:rPr>
        <w:t>4, and 7</w:t>
      </w:r>
      <w:r w:rsidR="0008395A" w:rsidRPr="003F264A">
        <w:rPr>
          <w:rFonts w:cstheme="minorHAnsi"/>
        </w:rPr>
        <w:t xml:space="preserve">. </w:t>
      </w:r>
    </w:p>
    <w:p w14:paraId="6816275B" w14:textId="77777777" w:rsidR="008E5A12" w:rsidRPr="003F264A" w:rsidRDefault="008E5A12" w:rsidP="000F6998">
      <w:pPr>
        <w:pStyle w:val="Heading2"/>
        <w:jc w:val="both"/>
        <w:rPr>
          <w:rFonts w:asciiTheme="minorHAnsi" w:hAnsiTheme="minorHAnsi" w:cstheme="minorHAnsi"/>
        </w:rPr>
      </w:pPr>
      <w:bookmarkStart w:id="113" w:name="_Toc118794759"/>
      <w:bookmarkStart w:id="114" w:name="_Toc125714734"/>
      <w:r w:rsidRPr="003F264A">
        <w:rPr>
          <w:rFonts w:asciiTheme="minorHAnsi" w:hAnsiTheme="minorHAnsi" w:cstheme="minorHAnsi"/>
        </w:rPr>
        <w:t xml:space="preserve">9.2 </w:t>
      </w:r>
      <w:r w:rsidR="0010269B" w:rsidRPr="003F264A">
        <w:rPr>
          <w:rFonts w:asciiTheme="minorHAnsi" w:hAnsiTheme="minorHAnsi" w:cstheme="minorHAnsi"/>
        </w:rPr>
        <w:t xml:space="preserve">Estimated </w:t>
      </w:r>
      <w:r w:rsidRPr="003F264A">
        <w:rPr>
          <w:rFonts w:asciiTheme="minorHAnsi" w:hAnsiTheme="minorHAnsi" w:cstheme="minorHAnsi"/>
        </w:rPr>
        <w:t>Regulatory Costs</w:t>
      </w:r>
      <w:bookmarkEnd w:id="113"/>
      <w:bookmarkEnd w:id="114"/>
    </w:p>
    <w:p w14:paraId="75640900" w14:textId="77777777" w:rsidR="00CE2316" w:rsidRDefault="0016799A" w:rsidP="00CE2316">
      <w:pPr>
        <w:pStyle w:val="Heading2"/>
        <w:jc w:val="both"/>
        <w:rPr>
          <w:rFonts w:asciiTheme="minorHAnsi" w:eastAsia="Calibri" w:hAnsiTheme="minorHAnsi" w:cstheme="minorHAnsi"/>
          <w:color w:val="auto"/>
          <w:sz w:val="22"/>
          <w:szCs w:val="22"/>
        </w:rPr>
      </w:pPr>
      <w:r w:rsidRPr="000C6631">
        <w:rPr>
          <w:rFonts w:asciiTheme="minorHAnsi" w:eastAsia="Calibri" w:hAnsiTheme="minorHAnsi" w:cstheme="minorHAnsi"/>
          <w:color w:val="auto"/>
          <w:sz w:val="22"/>
          <w:szCs w:val="22"/>
        </w:rPr>
        <w:t>Under Option 3, the estimated regulatory cost reductions from implementing Recommendation 4 of the Review (discussed in Option 2 above) more than offset the estimated increases in regulatory cost to implement Recommendations 2, 3, 7.1 and 7.3C of the WGEA review.</w:t>
      </w:r>
    </w:p>
    <w:p w14:paraId="58ECCA88" w14:textId="67FA510C" w:rsidR="0016799A" w:rsidRPr="00CE2316" w:rsidRDefault="0016799A" w:rsidP="00CE2316">
      <w:pPr>
        <w:spacing w:line="257" w:lineRule="auto"/>
        <w:jc w:val="both"/>
        <w:rPr>
          <w:rFonts w:eastAsia="Calibri" w:cstheme="minorHAnsi"/>
        </w:rPr>
      </w:pPr>
      <w:r w:rsidRPr="000C6631">
        <w:rPr>
          <w:rFonts w:eastAsia="Calibri" w:cstheme="minorHAnsi"/>
        </w:rPr>
        <w:t>The largest driver of the estimated regulatory cost increase under Option 3 is the implementation of Rec</w:t>
      </w:r>
      <w:r w:rsidR="00CE2316">
        <w:rPr>
          <w:rFonts w:eastAsia="Calibri" w:cstheme="minorHAnsi"/>
        </w:rPr>
        <w:t>ommendation 7 (i.e. 7.1 and 7.3c</w:t>
      </w:r>
      <w:r w:rsidRPr="000C6631">
        <w:rPr>
          <w:rFonts w:eastAsia="Calibri" w:cstheme="minorHAnsi"/>
        </w:rPr>
        <w:t>)</w:t>
      </w:r>
      <w:r w:rsidR="00CE2316">
        <w:rPr>
          <w:rFonts w:eastAsia="Calibri" w:cstheme="minorHAnsi"/>
        </w:rPr>
        <w:t xml:space="preserve"> </w:t>
      </w:r>
      <w:r w:rsidRPr="000C6631">
        <w:rPr>
          <w:rFonts w:eastAsia="Calibri" w:cstheme="minorHAnsi"/>
        </w:rPr>
        <w:t>of the WGEA Review. Under Recommendation 7.1 and 7.3C, regulated entities are required to increase their reporting on gender equality indicators including e.g. employees’ ages, primary workplace location, remuneration data for CEO, and report workplaces data as it relates to individual entities within corporate structure.</w:t>
      </w:r>
      <w:r>
        <w:rPr>
          <w:rFonts w:eastAsia="Calibri" w:cstheme="minorHAnsi"/>
        </w:rPr>
        <w:t xml:space="preserve"> </w:t>
      </w:r>
    </w:p>
    <w:p w14:paraId="0F229DC6" w14:textId="77777777" w:rsidR="0016799A" w:rsidRDefault="0016799A" w:rsidP="0016799A">
      <w:pPr>
        <w:spacing w:line="257" w:lineRule="auto"/>
        <w:jc w:val="both"/>
        <w:rPr>
          <w:rFonts w:eastAsia="Calibri" w:cstheme="minorHAnsi"/>
        </w:rPr>
      </w:pPr>
      <w:r>
        <w:rPr>
          <w:rFonts w:eastAsia="Calibri" w:cstheme="minorHAnsi"/>
        </w:rPr>
        <w:t xml:space="preserve">The regulatory burden has been estimated based on discussions between WGEA and key businesses. </w:t>
      </w:r>
    </w:p>
    <w:p w14:paraId="3E0B6AA7" w14:textId="77777777" w:rsidR="0016799A" w:rsidRPr="00FF17A1" w:rsidRDefault="0016799A" w:rsidP="0016799A">
      <w:pPr>
        <w:spacing w:line="257" w:lineRule="auto"/>
        <w:jc w:val="both"/>
        <w:rPr>
          <w:rFonts w:eastAsia="Calibri" w:cstheme="minorHAnsi"/>
          <w:b/>
        </w:rPr>
      </w:pPr>
      <w:r w:rsidRPr="00FF17A1">
        <w:rPr>
          <w:rFonts w:eastAsia="Calibri" w:cstheme="minorHAnsi"/>
          <w:b/>
        </w:rPr>
        <w:t xml:space="preserve">Option 3: </w:t>
      </w:r>
      <w:r>
        <w:rPr>
          <w:rFonts w:eastAsia="Calibri" w:cstheme="minorHAnsi"/>
          <w:b/>
        </w:rPr>
        <w:t>Preferred option (implementing Recs</w:t>
      </w:r>
      <w:r w:rsidRPr="0057093E">
        <w:rPr>
          <w:rFonts w:eastAsia="Calibri" w:cstheme="minorHAnsi"/>
          <w:b/>
        </w:rPr>
        <w:t xml:space="preserve"> 2,</w:t>
      </w:r>
      <w:r>
        <w:rPr>
          <w:rFonts w:eastAsia="Calibri" w:cstheme="minorHAnsi"/>
          <w:b/>
        </w:rPr>
        <w:t xml:space="preserve"> </w:t>
      </w:r>
      <w:r w:rsidRPr="0057093E">
        <w:rPr>
          <w:rFonts w:eastAsia="Calibri" w:cstheme="minorHAnsi"/>
          <w:b/>
        </w:rPr>
        <w:t>3,</w:t>
      </w:r>
      <w:r>
        <w:rPr>
          <w:rFonts w:eastAsia="Calibri" w:cstheme="minorHAnsi"/>
          <w:b/>
        </w:rPr>
        <w:t xml:space="preserve"> 4, 7.1 and 7.3c</w:t>
      </w:r>
      <w:r w:rsidRPr="0057093E">
        <w:rPr>
          <w:rFonts w:eastAsia="Calibri" w:cstheme="minorHAnsi"/>
          <w:b/>
        </w:rPr>
        <w:t xml:space="preserve"> of the WGEA Review)</w:t>
      </w:r>
    </w:p>
    <w:tbl>
      <w:tblPr>
        <w:tblStyle w:val="GridTable5Dark-Accent5"/>
        <w:tblW w:w="0" w:type="auto"/>
        <w:tblLook w:val="04A0" w:firstRow="1" w:lastRow="0" w:firstColumn="1" w:lastColumn="0" w:noHBand="0" w:noVBand="1"/>
      </w:tblPr>
      <w:tblGrid>
        <w:gridCol w:w="2960"/>
        <w:gridCol w:w="2620"/>
        <w:gridCol w:w="3100"/>
      </w:tblGrid>
      <w:tr w:rsidR="0016799A" w:rsidRPr="00FF17A1" w14:paraId="267FA0AD" w14:textId="77777777" w:rsidTr="00D43EA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57076B92" w14:textId="77777777" w:rsidR="0016799A" w:rsidRPr="00FF17A1" w:rsidRDefault="0016799A" w:rsidP="00D43EA2">
            <w:pPr>
              <w:spacing w:line="257" w:lineRule="auto"/>
              <w:jc w:val="both"/>
              <w:rPr>
                <w:rFonts w:eastAsia="Calibri" w:cstheme="minorHAnsi"/>
              </w:rPr>
            </w:pPr>
          </w:p>
        </w:tc>
        <w:tc>
          <w:tcPr>
            <w:tcW w:w="2620" w:type="dxa"/>
            <w:noWrap/>
            <w:hideMark/>
          </w:tcPr>
          <w:p w14:paraId="52B6B740" w14:textId="77777777" w:rsidR="0016799A" w:rsidRPr="00FF17A1" w:rsidRDefault="0016799A" w:rsidP="00D43EA2">
            <w:pPr>
              <w:spacing w:line="257"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rPr>
            </w:pPr>
            <w:r w:rsidRPr="00FF17A1">
              <w:rPr>
                <w:rFonts w:eastAsia="Calibri" w:cstheme="minorHAnsi"/>
              </w:rPr>
              <w:t>Initial Year (Year 1)</w:t>
            </w:r>
          </w:p>
        </w:tc>
        <w:tc>
          <w:tcPr>
            <w:tcW w:w="3100" w:type="dxa"/>
            <w:noWrap/>
            <w:hideMark/>
          </w:tcPr>
          <w:p w14:paraId="46A0EBB7" w14:textId="77777777" w:rsidR="0016799A" w:rsidRPr="00FF17A1" w:rsidRDefault="0016799A" w:rsidP="00D43EA2">
            <w:pPr>
              <w:spacing w:line="257" w:lineRule="auto"/>
              <w:jc w:val="both"/>
              <w:cnfStyle w:val="100000000000" w:firstRow="1" w:lastRow="0" w:firstColumn="0" w:lastColumn="0" w:oddVBand="0" w:evenVBand="0" w:oddHBand="0" w:evenHBand="0" w:firstRowFirstColumn="0" w:firstRowLastColumn="0" w:lastRowFirstColumn="0" w:lastRowLastColumn="0"/>
              <w:rPr>
                <w:rFonts w:eastAsia="Calibri" w:cstheme="minorHAnsi"/>
              </w:rPr>
            </w:pPr>
            <w:r w:rsidRPr="00FF17A1">
              <w:rPr>
                <w:rFonts w:eastAsia="Calibri" w:cstheme="minorHAnsi"/>
              </w:rPr>
              <w:t>Subsequent years (Year 2 to 10)</w:t>
            </w:r>
          </w:p>
        </w:tc>
      </w:tr>
      <w:tr w:rsidR="0016799A" w:rsidRPr="00FF17A1" w14:paraId="525A1BC4" w14:textId="77777777" w:rsidTr="00D43E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0943D47C" w14:textId="77777777" w:rsidR="0016799A" w:rsidRPr="00FF17A1" w:rsidRDefault="0016799A" w:rsidP="00D43EA2">
            <w:pPr>
              <w:spacing w:line="257" w:lineRule="auto"/>
              <w:jc w:val="both"/>
              <w:rPr>
                <w:rFonts w:eastAsia="Calibri" w:cstheme="minorHAnsi"/>
              </w:rPr>
            </w:pPr>
            <w:r w:rsidRPr="00FF17A1">
              <w:rPr>
                <w:rFonts w:eastAsia="Calibri" w:cstheme="minorHAnsi"/>
              </w:rPr>
              <w:t>New Medium employers</w:t>
            </w:r>
          </w:p>
        </w:tc>
        <w:tc>
          <w:tcPr>
            <w:tcW w:w="2620" w:type="dxa"/>
            <w:noWrap/>
            <w:hideMark/>
          </w:tcPr>
          <w:p w14:paraId="0A3B3F0A" w14:textId="77777777" w:rsidR="0016799A" w:rsidRPr="00FF17A1" w:rsidRDefault="0016799A" w:rsidP="00D43EA2">
            <w:pPr>
              <w:spacing w:line="257"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4</w:t>
            </w:r>
            <w:r w:rsidRPr="00FF17A1">
              <w:rPr>
                <w:rFonts w:eastAsia="Calibri" w:cstheme="minorHAnsi"/>
              </w:rPr>
              <w:t xml:space="preserve"> hours per annum</w:t>
            </w:r>
          </w:p>
        </w:tc>
        <w:tc>
          <w:tcPr>
            <w:tcW w:w="3100" w:type="dxa"/>
            <w:noWrap/>
            <w:hideMark/>
          </w:tcPr>
          <w:p w14:paraId="1DEE19A2" w14:textId="77777777" w:rsidR="0016799A" w:rsidRPr="00FF17A1" w:rsidRDefault="0016799A" w:rsidP="00D43EA2">
            <w:pPr>
              <w:spacing w:line="257"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FF17A1">
              <w:rPr>
                <w:rFonts w:eastAsia="Calibri" w:cstheme="minorHAnsi"/>
              </w:rPr>
              <w:t>n.a.</w:t>
            </w:r>
          </w:p>
        </w:tc>
      </w:tr>
      <w:tr w:rsidR="0016799A" w:rsidRPr="00FF17A1" w14:paraId="58D14587" w14:textId="77777777" w:rsidTr="00D43EA2">
        <w:trPr>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65E805B8" w14:textId="77777777" w:rsidR="0016799A" w:rsidRPr="00FF17A1" w:rsidRDefault="0016799A" w:rsidP="00D43EA2">
            <w:pPr>
              <w:spacing w:line="257" w:lineRule="auto"/>
              <w:jc w:val="both"/>
              <w:rPr>
                <w:rFonts w:eastAsia="Calibri" w:cstheme="minorHAnsi"/>
              </w:rPr>
            </w:pPr>
            <w:r w:rsidRPr="00FF17A1">
              <w:rPr>
                <w:rFonts w:eastAsia="Calibri" w:cstheme="minorHAnsi"/>
              </w:rPr>
              <w:t>Existing medium employers</w:t>
            </w:r>
          </w:p>
        </w:tc>
        <w:tc>
          <w:tcPr>
            <w:tcW w:w="2620" w:type="dxa"/>
            <w:noWrap/>
            <w:hideMark/>
          </w:tcPr>
          <w:p w14:paraId="113043AE" w14:textId="77777777" w:rsidR="0016799A" w:rsidRPr="00FF17A1" w:rsidRDefault="0016799A" w:rsidP="00D43EA2">
            <w:pPr>
              <w:spacing w:line="257"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4</w:t>
            </w:r>
            <w:r w:rsidRPr="00FF17A1">
              <w:rPr>
                <w:rFonts w:eastAsia="Calibri" w:cstheme="minorHAnsi"/>
              </w:rPr>
              <w:t xml:space="preserve"> hours per annum</w:t>
            </w:r>
          </w:p>
        </w:tc>
        <w:tc>
          <w:tcPr>
            <w:tcW w:w="3100" w:type="dxa"/>
            <w:noWrap/>
            <w:hideMark/>
          </w:tcPr>
          <w:p w14:paraId="03A129E7" w14:textId="77777777" w:rsidR="0016799A" w:rsidRPr="00FF17A1" w:rsidRDefault="0016799A" w:rsidP="00D43EA2">
            <w:pPr>
              <w:spacing w:line="257"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Pr>
                <w:rFonts w:eastAsia="Calibri" w:cstheme="minorHAnsi"/>
              </w:rPr>
              <w:t>-</w:t>
            </w:r>
            <w:r w:rsidRPr="00FF17A1">
              <w:rPr>
                <w:rFonts w:eastAsia="Calibri" w:cstheme="minorHAnsi"/>
              </w:rPr>
              <w:t>0</w:t>
            </w:r>
            <w:r>
              <w:rPr>
                <w:rFonts w:eastAsia="Calibri" w:cstheme="minorHAnsi"/>
              </w:rPr>
              <w:t>.5</w:t>
            </w:r>
            <w:r w:rsidRPr="00FF17A1">
              <w:rPr>
                <w:rFonts w:eastAsia="Calibri" w:cstheme="minorHAnsi"/>
              </w:rPr>
              <w:t xml:space="preserve"> hours per annum*</w:t>
            </w:r>
          </w:p>
        </w:tc>
      </w:tr>
      <w:tr w:rsidR="0016799A" w:rsidRPr="00FF17A1" w14:paraId="02112A91" w14:textId="77777777" w:rsidTr="00D43E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60" w:type="dxa"/>
            <w:noWrap/>
            <w:hideMark/>
          </w:tcPr>
          <w:p w14:paraId="6F65383D" w14:textId="77777777" w:rsidR="0016799A" w:rsidRPr="00FF17A1" w:rsidRDefault="0016799A" w:rsidP="00D43EA2">
            <w:pPr>
              <w:spacing w:line="257" w:lineRule="auto"/>
              <w:jc w:val="both"/>
              <w:rPr>
                <w:rFonts w:eastAsia="Calibri" w:cstheme="minorHAnsi"/>
              </w:rPr>
            </w:pPr>
            <w:r w:rsidRPr="00FF17A1">
              <w:rPr>
                <w:rFonts w:eastAsia="Calibri" w:cstheme="minorHAnsi"/>
              </w:rPr>
              <w:t>Existing large employers</w:t>
            </w:r>
          </w:p>
        </w:tc>
        <w:tc>
          <w:tcPr>
            <w:tcW w:w="2620" w:type="dxa"/>
            <w:noWrap/>
            <w:hideMark/>
          </w:tcPr>
          <w:p w14:paraId="192B6117" w14:textId="77777777" w:rsidR="0016799A" w:rsidRPr="00FF17A1" w:rsidRDefault="0016799A" w:rsidP="00D43EA2">
            <w:pPr>
              <w:spacing w:line="257"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6</w:t>
            </w:r>
            <w:r w:rsidRPr="00FF17A1">
              <w:rPr>
                <w:rFonts w:eastAsia="Calibri" w:cstheme="minorHAnsi"/>
              </w:rPr>
              <w:t xml:space="preserve"> hours per annum</w:t>
            </w:r>
          </w:p>
        </w:tc>
        <w:tc>
          <w:tcPr>
            <w:tcW w:w="3100" w:type="dxa"/>
            <w:noWrap/>
            <w:hideMark/>
          </w:tcPr>
          <w:p w14:paraId="30387C9C" w14:textId="77777777" w:rsidR="0016799A" w:rsidRPr="00FF17A1" w:rsidRDefault="0016799A" w:rsidP="00D43EA2">
            <w:pPr>
              <w:spacing w:line="257"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FF17A1">
              <w:rPr>
                <w:rFonts w:eastAsia="Calibri" w:cstheme="minorHAnsi"/>
              </w:rPr>
              <w:t>-1</w:t>
            </w:r>
            <w:r>
              <w:rPr>
                <w:rFonts w:eastAsia="Calibri" w:cstheme="minorHAnsi"/>
              </w:rPr>
              <w:t>.5</w:t>
            </w:r>
            <w:r w:rsidRPr="00FF17A1">
              <w:rPr>
                <w:rFonts w:eastAsia="Calibri" w:cstheme="minorHAnsi"/>
              </w:rPr>
              <w:t xml:space="preserve"> hour per annum*</w:t>
            </w:r>
          </w:p>
        </w:tc>
      </w:tr>
    </w:tbl>
    <w:p w14:paraId="679AB180" w14:textId="77777777" w:rsidR="0016799A" w:rsidRPr="00FF17A1" w:rsidRDefault="0016799A" w:rsidP="0016799A">
      <w:pPr>
        <w:spacing w:line="257" w:lineRule="auto"/>
        <w:jc w:val="both"/>
        <w:rPr>
          <w:rFonts w:eastAsia="Calibri" w:cstheme="minorHAnsi"/>
          <w:sz w:val="20"/>
        </w:rPr>
      </w:pPr>
      <w:r w:rsidRPr="00FF17A1">
        <w:rPr>
          <w:rFonts w:eastAsia="Calibri" w:cstheme="minorHAnsi"/>
          <w:sz w:val="20"/>
        </w:rPr>
        <w:t>*</w:t>
      </w:r>
      <w:r w:rsidRPr="0057093E">
        <w:rPr>
          <w:rFonts w:eastAsia="Calibri" w:cstheme="minorHAnsi"/>
          <w:sz w:val="20"/>
        </w:rPr>
        <w:t>Note: Under Option 3, the reduction in red tape burden under Rec 4 of the WGEA review more than offset the increase in regulatory burden under Rec 2, 3, 7.1 and 7.3C of the WGEA review, for subsequent years (i.e. Year 2 to Year 10).</w:t>
      </w:r>
    </w:p>
    <w:p w14:paraId="43487D9F" w14:textId="673D07A5" w:rsidR="0016799A" w:rsidRPr="003F264A" w:rsidRDefault="0016799A" w:rsidP="0016799A">
      <w:pPr>
        <w:spacing w:line="257" w:lineRule="auto"/>
        <w:jc w:val="both"/>
        <w:rPr>
          <w:rFonts w:eastAsia="Calibri" w:cstheme="minorHAnsi"/>
        </w:rPr>
      </w:pPr>
      <w:r w:rsidRPr="00115868" w:rsidDel="00C82C23">
        <w:rPr>
          <w:rFonts w:eastAsia="Calibri" w:cstheme="minorHAnsi"/>
        </w:rPr>
        <w:t xml:space="preserve"> </w:t>
      </w:r>
      <w:r w:rsidRPr="003F264A">
        <w:rPr>
          <w:rFonts w:eastAsia="Calibri" w:cstheme="minorHAnsi"/>
        </w:rPr>
        <w:t xml:space="preserve">The regulatory costs calculated for Option 3 is the estimated amount it would cost impacted entities to comply with the proposed regulatory changes, based on the time and labour costs of undertaking the new required reporting activities. The methodology by which this cost has been developed is consistent with the Australian Government’s Regulatory Burden Measurement Framework, and relies on a range of assumptions described in further detail in Appendix </w:t>
      </w:r>
      <w:r>
        <w:rPr>
          <w:rFonts w:eastAsia="Calibri" w:cstheme="minorHAnsi"/>
        </w:rPr>
        <w:t>E</w:t>
      </w:r>
      <w:r w:rsidRPr="003F264A">
        <w:rPr>
          <w:rFonts w:eastAsia="Calibri" w:cstheme="minorHAnsi"/>
        </w:rPr>
        <w:t xml:space="preserve">. </w:t>
      </w:r>
    </w:p>
    <w:p w14:paraId="4F0817CD" w14:textId="77777777" w:rsidR="0016799A" w:rsidRDefault="0016799A" w:rsidP="0016799A">
      <w:pPr>
        <w:spacing w:line="257" w:lineRule="auto"/>
        <w:jc w:val="both"/>
        <w:rPr>
          <w:rFonts w:eastAsia="Calibri" w:cstheme="minorHAnsi"/>
        </w:rPr>
      </w:pPr>
      <w:r w:rsidRPr="003F264A">
        <w:rPr>
          <w:rFonts w:eastAsia="Calibri" w:cstheme="minorHAnsi"/>
        </w:rPr>
        <w:t>An important assumption made in calculating regulatory burden was that an average user tasked with the reporting responsibilities – at the regulated entities – as someone new to WGEA reporting with a baseline knowledge of payroll matters and intermediate knowledge of human resource (HR) matters in the organisation. This provided a more realistic view of the additional activities required to meet the proposed regulatory requirements, than by considering users that have limited knowledge in HR matters and payroll systems. In the case of users with limited knowledge, significant knowledge transfers and uplift in training would be required in preparation to engage with a regulated entity’s HR matters and payroll system – regardless of changes to WGEA reporting requirements.</w:t>
      </w:r>
    </w:p>
    <w:p w14:paraId="0485E18D" w14:textId="77777777" w:rsidR="0016799A" w:rsidRPr="003F264A" w:rsidRDefault="0016799A" w:rsidP="0016799A">
      <w:pPr>
        <w:spacing w:line="257" w:lineRule="auto"/>
        <w:jc w:val="both"/>
        <w:rPr>
          <w:rFonts w:eastAsia="Calibri" w:cstheme="minorHAnsi"/>
        </w:rPr>
      </w:pPr>
      <w:r w:rsidRPr="003F264A">
        <w:rPr>
          <w:rFonts w:eastAsia="Calibri" w:cstheme="minorHAnsi"/>
        </w:rPr>
        <w:t xml:space="preserve">The regulatory compliance cost of </w:t>
      </w:r>
      <w:r>
        <w:rPr>
          <w:rFonts w:eastAsia="Calibri" w:cstheme="minorHAnsi"/>
        </w:rPr>
        <w:t>Option 3</w:t>
      </w:r>
      <w:r w:rsidRPr="003F264A">
        <w:rPr>
          <w:rFonts w:eastAsia="Calibri" w:cstheme="minorHAnsi"/>
        </w:rPr>
        <w:t xml:space="preserve"> is estimated to be a </w:t>
      </w:r>
      <w:r w:rsidRPr="003F264A">
        <w:rPr>
          <w:rFonts w:eastAsia="Calibri" w:cstheme="minorHAnsi"/>
          <w:u w:val="single"/>
        </w:rPr>
        <w:t>cost reduction</w:t>
      </w:r>
      <w:r>
        <w:rPr>
          <w:rFonts w:eastAsia="Calibri" w:cstheme="minorHAnsi"/>
          <w:u w:val="single"/>
        </w:rPr>
        <w:t xml:space="preserve"> from the status quo</w:t>
      </w:r>
      <w:r w:rsidRPr="003F264A">
        <w:rPr>
          <w:rFonts w:eastAsia="Calibri" w:cstheme="minorHAnsi"/>
          <w:u w:val="single"/>
        </w:rPr>
        <w:t xml:space="preserve"> </w:t>
      </w:r>
      <w:r>
        <w:rPr>
          <w:rFonts w:eastAsia="Calibri" w:cstheme="minorHAnsi"/>
        </w:rPr>
        <w:t xml:space="preserve">of </w:t>
      </w:r>
      <w:r w:rsidRPr="00CF69D9">
        <w:rPr>
          <w:rFonts w:eastAsia="Calibri" w:cstheme="minorHAnsi"/>
          <w:u w:val="single"/>
        </w:rPr>
        <w:t>approximately -$124,709</w:t>
      </w:r>
      <w:r w:rsidRPr="003F264A">
        <w:rPr>
          <w:rFonts w:eastAsia="Calibri" w:cstheme="minorHAnsi"/>
        </w:rPr>
        <w:t xml:space="preserve"> </w:t>
      </w:r>
      <w:r>
        <w:rPr>
          <w:rFonts w:eastAsia="Calibri" w:cstheme="minorHAnsi"/>
        </w:rPr>
        <w:t xml:space="preserve">in average annual terms over a 10 year period. The </w:t>
      </w:r>
      <w:r w:rsidRPr="001070B3">
        <w:rPr>
          <w:rFonts w:eastAsia="Calibri" w:cstheme="minorHAnsi"/>
          <w:u w:val="single"/>
        </w:rPr>
        <w:t>level</w:t>
      </w:r>
      <w:r>
        <w:rPr>
          <w:rFonts w:eastAsia="Calibri" w:cstheme="minorHAnsi"/>
        </w:rPr>
        <w:t xml:space="preserve"> of regulatory burden associated with Option 3 is approximately $8.6 million in average annual terms (that is, $124,709 lower than the status quo).</w:t>
      </w:r>
    </w:p>
    <w:p w14:paraId="1F2A9C0A" w14:textId="77777777" w:rsidR="0016799A" w:rsidRPr="003F264A" w:rsidRDefault="0016799A" w:rsidP="0016799A">
      <w:pPr>
        <w:spacing w:line="257" w:lineRule="auto"/>
        <w:jc w:val="both"/>
        <w:rPr>
          <w:rFonts w:eastAsia="Calibri" w:cstheme="minorHAnsi"/>
        </w:rPr>
      </w:pPr>
      <w:r>
        <w:rPr>
          <w:rFonts w:eastAsia="Calibri" w:cstheme="minorHAnsi"/>
          <w:b/>
        </w:rPr>
        <w:t xml:space="preserve">Table 3: </w:t>
      </w:r>
      <w:r w:rsidRPr="00115868">
        <w:rPr>
          <w:rFonts w:eastAsia="Calibri" w:cstheme="minorHAnsi"/>
          <w:b/>
        </w:rPr>
        <w:t>Option 3 Average annual compliance costs (from business-as-usual scenario)</w:t>
      </w:r>
    </w:p>
    <w:tbl>
      <w:tblPr>
        <w:tblW w:w="0" w:type="auto"/>
        <w:tblCellMar>
          <w:left w:w="0" w:type="dxa"/>
          <w:right w:w="0" w:type="dxa"/>
        </w:tblCellMar>
        <w:tblLook w:val="04A0" w:firstRow="1" w:lastRow="0" w:firstColumn="1" w:lastColumn="0" w:noHBand="0" w:noVBand="1"/>
      </w:tblPr>
      <w:tblGrid>
        <w:gridCol w:w="1827"/>
        <w:gridCol w:w="1912"/>
        <w:gridCol w:w="2075"/>
        <w:gridCol w:w="1601"/>
        <w:gridCol w:w="1601"/>
      </w:tblGrid>
      <w:tr w:rsidR="0016799A" w:rsidRPr="004A1687" w14:paraId="7C8E27E9" w14:textId="77777777" w:rsidTr="00D43EA2">
        <w:tc>
          <w:tcPr>
            <w:tcW w:w="1827" w:type="dxa"/>
            <w:shd w:val="clear" w:color="auto" w:fill="DEEAF6"/>
            <w:tcMar>
              <w:top w:w="0" w:type="dxa"/>
              <w:left w:w="108" w:type="dxa"/>
              <w:bottom w:w="0" w:type="dxa"/>
              <w:right w:w="108" w:type="dxa"/>
            </w:tcMar>
            <w:vAlign w:val="center"/>
            <w:hideMark/>
          </w:tcPr>
          <w:p w14:paraId="40B0FFDA" w14:textId="77777777" w:rsidR="0016799A" w:rsidRPr="003F264A" w:rsidRDefault="0016799A" w:rsidP="00D43EA2">
            <w:pPr>
              <w:spacing w:after="120"/>
              <w:jc w:val="both"/>
              <w:rPr>
                <w:rFonts w:cstheme="minorHAnsi"/>
                <w:b/>
                <w:bCs/>
              </w:rPr>
            </w:pPr>
            <w:r w:rsidRPr="003F264A">
              <w:rPr>
                <w:rFonts w:cstheme="minorHAnsi"/>
                <w:b/>
                <w:bCs/>
              </w:rPr>
              <w:t>Costs*</w:t>
            </w:r>
          </w:p>
        </w:tc>
        <w:tc>
          <w:tcPr>
            <w:tcW w:w="1912" w:type="dxa"/>
            <w:shd w:val="clear" w:color="auto" w:fill="DEEAF6"/>
            <w:tcMar>
              <w:top w:w="0" w:type="dxa"/>
              <w:left w:w="108" w:type="dxa"/>
              <w:bottom w:w="0" w:type="dxa"/>
              <w:right w:w="108" w:type="dxa"/>
            </w:tcMar>
            <w:vAlign w:val="center"/>
            <w:hideMark/>
          </w:tcPr>
          <w:p w14:paraId="61542E54" w14:textId="77777777" w:rsidR="0016799A" w:rsidRPr="003F264A" w:rsidRDefault="0016799A" w:rsidP="00D43EA2">
            <w:pPr>
              <w:spacing w:after="120"/>
              <w:jc w:val="both"/>
              <w:rPr>
                <w:rFonts w:cstheme="minorHAnsi"/>
                <w:b/>
                <w:bCs/>
              </w:rPr>
            </w:pPr>
            <w:r w:rsidRPr="003F264A">
              <w:rPr>
                <w:rFonts w:cstheme="minorHAnsi"/>
                <w:b/>
                <w:bCs/>
              </w:rPr>
              <w:t>Business</w:t>
            </w:r>
          </w:p>
        </w:tc>
        <w:tc>
          <w:tcPr>
            <w:tcW w:w="2075" w:type="dxa"/>
            <w:shd w:val="clear" w:color="auto" w:fill="DEEAF6"/>
            <w:tcMar>
              <w:top w:w="0" w:type="dxa"/>
              <w:left w:w="108" w:type="dxa"/>
              <w:bottom w:w="0" w:type="dxa"/>
              <w:right w:w="108" w:type="dxa"/>
            </w:tcMar>
            <w:vAlign w:val="center"/>
            <w:hideMark/>
          </w:tcPr>
          <w:p w14:paraId="75822813" w14:textId="77777777" w:rsidR="0016799A" w:rsidRPr="003F264A" w:rsidRDefault="0016799A" w:rsidP="00D43EA2">
            <w:pPr>
              <w:spacing w:after="120"/>
              <w:jc w:val="both"/>
              <w:rPr>
                <w:rFonts w:cstheme="minorHAnsi"/>
                <w:b/>
                <w:bCs/>
              </w:rPr>
            </w:pPr>
            <w:r w:rsidRPr="003F264A">
              <w:rPr>
                <w:rFonts w:cstheme="minorHAnsi"/>
                <w:b/>
                <w:bCs/>
              </w:rPr>
              <w:t>Community Organisations</w:t>
            </w:r>
          </w:p>
        </w:tc>
        <w:tc>
          <w:tcPr>
            <w:tcW w:w="1601" w:type="dxa"/>
            <w:shd w:val="clear" w:color="auto" w:fill="DEEAF6"/>
            <w:tcMar>
              <w:top w:w="0" w:type="dxa"/>
              <w:left w:w="108" w:type="dxa"/>
              <w:bottom w:w="0" w:type="dxa"/>
              <w:right w:w="108" w:type="dxa"/>
            </w:tcMar>
            <w:vAlign w:val="center"/>
            <w:hideMark/>
          </w:tcPr>
          <w:p w14:paraId="1D485FC2" w14:textId="77777777" w:rsidR="0016799A" w:rsidRPr="003F264A" w:rsidRDefault="0016799A" w:rsidP="00D43EA2">
            <w:pPr>
              <w:spacing w:after="120"/>
              <w:jc w:val="both"/>
              <w:rPr>
                <w:rFonts w:cstheme="minorHAnsi"/>
                <w:b/>
                <w:bCs/>
              </w:rPr>
            </w:pPr>
            <w:r w:rsidRPr="003F264A">
              <w:rPr>
                <w:rFonts w:cstheme="minorHAnsi"/>
                <w:b/>
                <w:bCs/>
              </w:rPr>
              <w:t>Individuals</w:t>
            </w:r>
          </w:p>
        </w:tc>
        <w:tc>
          <w:tcPr>
            <w:tcW w:w="1601" w:type="dxa"/>
            <w:shd w:val="clear" w:color="auto" w:fill="DEEAF6"/>
            <w:tcMar>
              <w:top w:w="0" w:type="dxa"/>
              <w:left w:w="108" w:type="dxa"/>
              <w:bottom w:w="0" w:type="dxa"/>
              <w:right w:w="108" w:type="dxa"/>
            </w:tcMar>
            <w:vAlign w:val="center"/>
            <w:hideMark/>
          </w:tcPr>
          <w:p w14:paraId="7C8E5CE1" w14:textId="77777777" w:rsidR="0016799A" w:rsidRPr="003F264A" w:rsidRDefault="0016799A" w:rsidP="00D43EA2">
            <w:pPr>
              <w:spacing w:after="120"/>
              <w:jc w:val="both"/>
              <w:rPr>
                <w:rFonts w:cstheme="minorHAnsi"/>
                <w:b/>
                <w:bCs/>
              </w:rPr>
            </w:pPr>
            <w:r w:rsidRPr="003F264A">
              <w:rPr>
                <w:rFonts w:cstheme="minorHAnsi"/>
                <w:b/>
                <w:bCs/>
              </w:rPr>
              <w:t>Total Cost</w:t>
            </w:r>
          </w:p>
        </w:tc>
      </w:tr>
      <w:tr w:rsidR="0016799A" w:rsidRPr="004A1687" w14:paraId="7E9F944C" w14:textId="77777777" w:rsidTr="00D43EA2">
        <w:tc>
          <w:tcPr>
            <w:tcW w:w="1827" w:type="dxa"/>
            <w:shd w:val="clear" w:color="auto" w:fill="0070C0"/>
            <w:tcMar>
              <w:top w:w="0" w:type="dxa"/>
              <w:left w:w="108" w:type="dxa"/>
              <w:bottom w:w="0" w:type="dxa"/>
              <w:right w:w="108" w:type="dxa"/>
            </w:tcMar>
            <w:vAlign w:val="center"/>
            <w:hideMark/>
          </w:tcPr>
          <w:p w14:paraId="749DFF5E" w14:textId="77777777" w:rsidR="0016799A" w:rsidRPr="003F264A" w:rsidRDefault="0016799A" w:rsidP="00D43EA2">
            <w:pPr>
              <w:spacing w:after="120"/>
              <w:jc w:val="both"/>
              <w:rPr>
                <w:rFonts w:cstheme="minorHAnsi"/>
                <w:color w:val="FFFFFF"/>
              </w:rPr>
            </w:pPr>
            <w:r w:rsidRPr="003F264A">
              <w:rPr>
                <w:rFonts w:cstheme="minorHAnsi"/>
                <w:color w:val="FFFFFF"/>
              </w:rPr>
              <w:t>Regulated entities</w:t>
            </w:r>
          </w:p>
        </w:tc>
        <w:tc>
          <w:tcPr>
            <w:tcW w:w="1912" w:type="dxa"/>
            <w:shd w:val="clear" w:color="auto" w:fill="0070C0"/>
            <w:tcMar>
              <w:top w:w="0" w:type="dxa"/>
              <w:left w:w="108" w:type="dxa"/>
              <w:bottom w:w="0" w:type="dxa"/>
              <w:right w:w="108" w:type="dxa"/>
            </w:tcMar>
            <w:vAlign w:val="center"/>
            <w:hideMark/>
          </w:tcPr>
          <w:p w14:paraId="6C5A9E60" w14:textId="77777777" w:rsidR="0016799A" w:rsidRPr="003F264A" w:rsidRDefault="0016799A" w:rsidP="00D43EA2">
            <w:pPr>
              <w:spacing w:after="120"/>
              <w:jc w:val="both"/>
              <w:rPr>
                <w:rFonts w:cstheme="minorHAnsi"/>
                <w:color w:val="FFFFFF"/>
              </w:rPr>
            </w:pPr>
            <w:r>
              <w:rPr>
                <w:color w:val="FFFFFF"/>
              </w:rPr>
              <w:t>-$95,159</w:t>
            </w:r>
          </w:p>
        </w:tc>
        <w:tc>
          <w:tcPr>
            <w:tcW w:w="2075" w:type="dxa"/>
            <w:shd w:val="clear" w:color="auto" w:fill="0070C0"/>
            <w:tcMar>
              <w:top w:w="0" w:type="dxa"/>
              <w:left w:w="108" w:type="dxa"/>
              <w:bottom w:w="0" w:type="dxa"/>
              <w:right w:w="108" w:type="dxa"/>
            </w:tcMar>
            <w:vAlign w:val="center"/>
            <w:hideMark/>
          </w:tcPr>
          <w:p w14:paraId="6B7AB1FF" w14:textId="77777777" w:rsidR="0016799A" w:rsidRPr="003F264A" w:rsidRDefault="0016799A" w:rsidP="00D43EA2">
            <w:pPr>
              <w:spacing w:after="120"/>
              <w:jc w:val="both"/>
              <w:rPr>
                <w:rFonts w:cstheme="minorHAnsi"/>
                <w:color w:val="FFFFFF"/>
              </w:rPr>
            </w:pPr>
            <w:r>
              <w:rPr>
                <w:color w:val="FFFFFF"/>
              </w:rPr>
              <w:t>-$29,550</w:t>
            </w:r>
          </w:p>
        </w:tc>
        <w:tc>
          <w:tcPr>
            <w:tcW w:w="1601" w:type="dxa"/>
            <w:shd w:val="clear" w:color="auto" w:fill="A5A5A5"/>
            <w:tcMar>
              <w:top w:w="0" w:type="dxa"/>
              <w:left w:w="108" w:type="dxa"/>
              <w:bottom w:w="0" w:type="dxa"/>
              <w:right w:w="108" w:type="dxa"/>
            </w:tcMar>
            <w:vAlign w:val="center"/>
          </w:tcPr>
          <w:p w14:paraId="5D0B7DD8" w14:textId="77777777" w:rsidR="0016799A" w:rsidRPr="003F264A" w:rsidRDefault="0016799A" w:rsidP="00D43EA2">
            <w:pPr>
              <w:spacing w:after="120"/>
              <w:jc w:val="both"/>
              <w:rPr>
                <w:rFonts w:cstheme="minorHAnsi"/>
              </w:rPr>
            </w:pPr>
          </w:p>
        </w:tc>
        <w:tc>
          <w:tcPr>
            <w:tcW w:w="1601" w:type="dxa"/>
            <w:shd w:val="clear" w:color="auto" w:fill="0070C0"/>
            <w:tcMar>
              <w:top w:w="0" w:type="dxa"/>
              <w:left w:w="108" w:type="dxa"/>
              <w:bottom w:w="0" w:type="dxa"/>
              <w:right w:w="108" w:type="dxa"/>
            </w:tcMar>
            <w:vAlign w:val="center"/>
            <w:hideMark/>
          </w:tcPr>
          <w:p w14:paraId="1CE7AB33" w14:textId="77777777" w:rsidR="0016799A" w:rsidRPr="003F264A" w:rsidRDefault="0016799A" w:rsidP="00D43EA2">
            <w:pPr>
              <w:spacing w:after="120"/>
              <w:jc w:val="both"/>
              <w:rPr>
                <w:rFonts w:cstheme="minorHAnsi"/>
              </w:rPr>
            </w:pPr>
            <w:r>
              <w:rPr>
                <w:color w:val="FFFFFF"/>
              </w:rPr>
              <w:t>-$124,709</w:t>
            </w:r>
          </w:p>
        </w:tc>
      </w:tr>
      <w:tr w:rsidR="0016799A" w:rsidRPr="004A1687" w14:paraId="3CEDCB1B" w14:textId="77777777" w:rsidTr="00D43EA2">
        <w:tc>
          <w:tcPr>
            <w:tcW w:w="1827" w:type="dxa"/>
            <w:shd w:val="clear" w:color="auto" w:fill="525252"/>
            <w:tcMar>
              <w:top w:w="0" w:type="dxa"/>
              <w:left w:w="108" w:type="dxa"/>
              <w:bottom w:w="0" w:type="dxa"/>
              <w:right w:w="108" w:type="dxa"/>
            </w:tcMar>
            <w:vAlign w:val="center"/>
            <w:hideMark/>
          </w:tcPr>
          <w:p w14:paraId="4B092078" w14:textId="77777777" w:rsidR="0016799A" w:rsidRPr="003F264A" w:rsidRDefault="0016799A" w:rsidP="00D43EA2">
            <w:pPr>
              <w:spacing w:before="120" w:after="120"/>
              <w:jc w:val="both"/>
              <w:rPr>
                <w:rFonts w:cstheme="minorHAnsi"/>
                <w:color w:val="FFFFFF"/>
              </w:rPr>
            </w:pPr>
            <w:r w:rsidRPr="003F264A">
              <w:rPr>
                <w:rFonts w:cstheme="minorHAnsi"/>
                <w:color w:val="FFFFFF"/>
              </w:rPr>
              <w:t>Total by sector</w:t>
            </w:r>
          </w:p>
        </w:tc>
        <w:tc>
          <w:tcPr>
            <w:tcW w:w="1912" w:type="dxa"/>
            <w:shd w:val="clear" w:color="auto" w:fill="525252"/>
            <w:tcMar>
              <w:top w:w="0" w:type="dxa"/>
              <w:left w:w="108" w:type="dxa"/>
              <w:bottom w:w="0" w:type="dxa"/>
              <w:right w:w="108" w:type="dxa"/>
            </w:tcMar>
            <w:hideMark/>
          </w:tcPr>
          <w:p w14:paraId="382F74FC" w14:textId="77777777" w:rsidR="0016799A" w:rsidRPr="003F264A" w:rsidRDefault="0016799A" w:rsidP="00D43EA2">
            <w:pPr>
              <w:spacing w:before="120" w:after="120"/>
              <w:jc w:val="both"/>
              <w:rPr>
                <w:rFonts w:cstheme="minorHAnsi"/>
                <w:color w:val="FFFFFF"/>
              </w:rPr>
            </w:pPr>
            <w:r>
              <w:rPr>
                <w:color w:val="FFFFFF"/>
              </w:rPr>
              <w:t>-$95,159</w:t>
            </w:r>
          </w:p>
        </w:tc>
        <w:tc>
          <w:tcPr>
            <w:tcW w:w="2075" w:type="dxa"/>
            <w:shd w:val="clear" w:color="auto" w:fill="525252"/>
            <w:tcMar>
              <w:top w:w="0" w:type="dxa"/>
              <w:left w:w="108" w:type="dxa"/>
              <w:bottom w:w="0" w:type="dxa"/>
              <w:right w:w="108" w:type="dxa"/>
            </w:tcMar>
            <w:hideMark/>
          </w:tcPr>
          <w:p w14:paraId="0FA7B5C6" w14:textId="77777777" w:rsidR="0016799A" w:rsidRPr="003F264A" w:rsidRDefault="0016799A" w:rsidP="00D43EA2">
            <w:pPr>
              <w:spacing w:before="120" w:after="120"/>
              <w:jc w:val="both"/>
              <w:rPr>
                <w:rFonts w:cstheme="minorHAnsi"/>
                <w:color w:val="FFFFFF"/>
              </w:rPr>
            </w:pPr>
            <w:r>
              <w:rPr>
                <w:color w:val="FFFFFF"/>
              </w:rPr>
              <w:t>-$29,550</w:t>
            </w:r>
          </w:p>
        </w:tc>
        <w:tc>
          <w:tcPr>
            <w:tcW w:w="1601" w:type="dxa"/>
            <w:shd w:val="clear" w:color="auto" w:fill="525252"/>
            <w:tcMar>
              <w:top w:w="0" w:type="dxa"/>
              <w:left w:w="108" w:type="dxa"/>
              <w:bottom w:w="0" w:type="dxa"/>
              <w:right w:w="108" w:type="dxa"/>
            </w:tcMar>
            <w:hideMark/>
          </w:tcPr>
          <w:p w14:paraId="2FF538AF" w14:textId="77777777" w:rsidR="0016799A" w:rsidRPr="003F264A" w:rsidRDefault="0016799A" w:rsidP="00D43EA2">
            <w:pPr>
              <w:spacing w:before="120" w:after="120"/>
              <w:jc w:val="both"/>
              <w:rPr>
                <w:rFonts w:cstheme="minorHAnsi"/>
                <w:color w:val="FFFFFF"/>
              </w:rPr>
            </w:pPr>
            <w:r>
              <w:rPr>
                <w:color w:val="FFFFFF"/>
              </w:rPr>
              <w:t>N/A</w:t>
            </w:r>
          </w:p>
        </w:tc>
        <w:tc>
          <w:tcPr>
            <w:tcW w:w="1601" w:type="dxa"/>
            <w:shd w:val="clear" w:color="auto" w:fill="525252"/>
            <w:tcMar>
              <w:top w:w="0" w:type="dxa"/>
              <w:left w:w="108" w:type="dxa"/>
              <w:bottom w:w="0" w:type="dxa"/>
              <w:right w:w="108" w:type="dxa"/>
            </w:tcMar>
            <w:hideMark/>
          </w:tcPr>
          <w:p w14:paraId="6D8C5D8D" w14:textId="77777777" w:rsidR="0016799A" w:rsidRPr="003F264A" w:rsidRDefault="0016799A" w:rsidP="00D43EA2">
            <w:pPr>
              <w:spacing w:before="120" w:after="120"/>
              <w:jc w:val="both"/>
              <w:rPr>
                <w:rFonts w:cstheme="minorHAnsi"/>
                <w:color w:val="FFFFFF"/>
              </w:rPr>
            </w:pPr>
            <w:r>
              <w:rPr>
                <w:color w:val="FFFFFF"/>
              </w:rPr>
              <w:t>-$124,709</w:t>
            </w:r>
          </w:p>
        </w:tc>
      </w:tr>
    </w:tbl>
    <w:p w14:paraId="09959F68" w14:textId="77777777" w:rsidR="0016799A" w:rsidRPr="00A62356" w:rsidRDefault="0016799A" w:rsidP="00CE2316">
      <w:pPr>
        <w:spacing w:after="0"/>
        <w:jc w:val="both"/>
        <w:rPr>
          <w:rFonts w:cstheme="minorHAnsi"/>
          <w:sz w:val="20"/>
        </w:rPr>
      </w:pPr>
      <w:r w:rsidRPr="00A62356">
        <w:rPr>
          <w:rFonts w:cstheme="minorHAnsi"/>
          <w:b/>
          <w:sz w:val="20"/>
        </w:rPr>
        <w:t xml:space="preserve">* Costs </w:t>
      </w:r>
      <w:r w:rsidRPr="00A62356">
        <w:rPr>
          <w:rFonts w:cstheme="minorHAnsi"/>
          <w:sz w:val="20"/>
        </w:rPr>
        <w:t xml:space="preserve">are average annualised regulatory compliance </w:t>
      </w:r>
      <w:r w:rsidRPr="00A62356">
        <w:rPr>
          <w:rFonts w:cstheme="minorHAnsi"/>
          <w:b/>
          <w:sz w:val="20"/>
        </w:rPr>
        <w:t>cost impact from the baseline</w:t>
      </w:r>
      <w:r w:rsidRPr="00A62356">
        <w:rPr>
          <w:rFonts w:cstheme="minorHAnsi"/>
          <w:sz w:val="20"/>
        </w:rPr>
        <w:t xml:space="preserve"> (or business-as-usual scenario presented in Option 1) calculated over the 10-years of regulation required by the </w:t>
      </w:r>
      <w:hyperlink r:id="rId24" w:history="1">
        <w:r w:rsidRPr="00A62356">
          <w:rPr>
            <w:rStyle w:val="Hyperlink"/>
            <w:rFonts w:cstheme="minorHAnsi"/>
            <w:sz w:val="20"/>
          </w:rPr>
          <w:t>Regulatory Burden Measurement Framework</w:t>
        </w:r>
      </w:hyperlink>
      <w:r w:rsidRPr="00A62356">
        <w:rPr>
          <w:rFonts w:cstheme="minorHAnsi"/>
          <w:sz w:val="20"/>
        </w:rPr>
        <w:t>. The regulatory impact for the first year (Year 1) of implementation is estimated to be larger than subsequent years.</w:t>
      </w:r>
    </w:p>
    <w:p w14:paraId="4C110F07" w14:textId="77777777" w:rsidR="0016799A" w:rsidRPr="006655CC" w:rsidRDefault="0016799A" w:rsidP="0016799A">
      <w:pPr>
        <w:jc w:val="both"/>
        <w:rPr>
          <w:rFonts w:cstheme="minorHAnsi"/>
          <w:sz w:val="28"/>
        </w:rPr>
      </w:pPr>
      <w:r w:rsidRPr="00A62356">
        <w:rPr>
          <w:rFonts w:cstheme="minorHAnsi"/>
          <w:sz w:val="20"/>
        </w:rPr>
        <w:t xml:space="preserve">** The costs take into account the impact of regulation on new regulated employers who are required to report to WGEA for the first time and costs for existing employers who already report to WGEA. </w:t>
      </w:r>
    </w:p>
    <w:p w14:paraId="03C88EBA" w14:textId="77777777" w:rsidR="00733507" w:rsidRPr="003F264A" w:rsidRDefault="008E5A12" w:rsidP="000F6998">
      <w:pPr>
        <w:pStyle w:val="Heading2"/>
        <w:jc w:val="both"/>
        <w:rPr>
          <w:rFonts w:asciiTheme="minorHAnsi" w:hAnsiTheme="minorHAnsi" w:cstheme="minorHAnsi"/>
        </w:rPr>
      </w:pPr>
      <w:bookmarkStart w:id="115" w:name="_Toc118794760"/>
      <w:bookmarkStart w:id="116" w:name="_Toc125714735"/>
      <w:r w:rsidRPr="003F264A">
        <w:rPr>
          <w:rFonts w:asciiTheme="minorHAnsi" w:hAnsiTheme="minorHAnsi" w:cstheme="minorHAnsi"/>
        </w:rPr>
        <w:t>9.3 Overall net benefit</w:t>
      </w:r>
      <w:bookmarkEnd w:id="115"/>
      <w:bookmarkEnd w:id="116"/>
    </w:p>
    <w:p w14:paraId="4018236D" w14:textId="357B923C" w:rsidR="0070478E" w:rsidRPr="00A62356" w:rsidRDefault="0016799A" w:rsidP="000F6998">
      <w:pPr>
        <w:spacing w:before="240"/>
        <w:jc w:val="both"/>
        <w:rPr>
          <w:rFonts w:cstheme="minorHAnsi"/>
        </w:rPr>
      </w:pPr>
      <w:r w:rsidRPr="003F264A">
        <w:rPr>
          <w:rFonts w:cstheme="minorHAnsi"/>
        </w:rPr>
        <w:t xml:space="preserve">The regulatory costs are </w:t>
      </w:r>
      <w:r>
        <w:rPr>
          <w:rFonts w:cstheme="minorHAnsi"/>
        </w:rPr>
        <w:t xml:space="preserve">lower than Option 1 but </w:t>
      </w:r>
      <w:r w:rsidRPr="003F264A">
        <w:rPr>
          <w:rFonts w:cstheme="minorHAnsi"/>
        </w:rPr>
        <w:t xml:space="preserve">higher under </w:t>
      </w:r>
      <w:r>
        <w:rPr>
          <w:rFonts w:cstheme="minorHAnsi"/>
        </w:rPr>
        <w:t xml:space="preserve">than Option </w:t>
      </w:r>
      <w:r w:rsidRPr="003F264A">
        <w:rPr>
          <w:rFonts w:cstheme="minorHAnsi"/>
        </w:rPr>
        <w:t xml:space="preserve">2. Option 3 involves </w:t>
      </w:r>
      <w:r>
        <w:rPr>
          <w:rFonts w:cstheme="minorHAnsi"/>
        </w:rPr>
        <w:t>implementing</w:t>
      </w:r>
      <w:r w:rsidRPr="003F264A">
        <w:rPr>
          <w:rFonts w:cstheme="minorHAnsi"/>
        </w:rPr>
        <w:t xml:space="preserve"> a multi-faceted approach to addressing gender inequality in Australian workplaces that has a host of increased benefits for businesses</w:t>
      </w:r>
      <w:r>
        <w:rPr>
          <w:rFonts w:cstheme="minorHAnsi"/>
        </w:rPr>
        <w:t>,</w:t>
      </w:r>
      <w:r w:rsidRPr="003F264A">
        <w:rPr>
          <w:rFonts w:cstheme="minorHAnsi"/>
        </w:rPr>
        <w:t xml:space="preserve"> Government</w:t>
      </w:r>
      <w:r>
        <w:rPr>
          <w:rFonts w:cstheme="minorHAnsi"/>
        </w:rPr>
        <w:t>, individuals and society that leads to an overall net benefit greater than Option 2.</w:t>
      </w:r>
      <w:r w:rsidR="00CE2316">
        <w:rPr>
          <w:rFonts w:cstheme="minorHAnsi"/>
        </w:rPr>
        <w:t xml:space="preserve"> </w:t>
      </w:r>
      <w:r w:rsidR="002A69B4">
        <w:rPr>
          <w:rFonts w:cstheme="minorHAnsi"/>
        </w:rPr>
        <w:t xml:space="preserve">Although, </w:t>
      </w:r>
      <w:r w:rsidR="002A69B4" w:rsidRPr="002A69B4">
        <w:rPr>
          <w:rFonts w:cstheme="minorHAnsi"/>
        </w:rPr>
        <w:t>it is difficult to estimate how quickly the gender pay gap will</w:t>
      </w:r>
      <w:r w:rsidR="006F02BE">
        <w:rPr>
          <w:rFonts w:cstheme="minorHAnsi"/>
        </w:rPr>
        <w:t xml:space="preserve"> close if Option 3 is delivered as</w:t>
      </w:r>
      <w:r w:rsidR="002A69B4" w:rsidRPr="002A69B4">
        <w:rPr>
          <w:rFonts w:cstheme="minorHAnsi"/>
        </w:rPr>
        <w:t xml:space="preserve"> many of the benefits listed</w:t>
      </w:r>
      <w:r w:rsidR="006F02BE">
        <w:rPr>
          <w:rFonts w:cstheme="minorHAnsi"/>
        </w:rPr>
        <w:t xml:space="preserve"> above</w:t>
      </w:r>
      <w:r w:rsidR="002A69B4" w:rsidRPr="002A69B4">
        <w:rPr>
          <w:rFonts w:cstheme="minorHAnsi"/>
        </w:rPr>
        <w:t xml:space="preserve"> will not be fully r</w:t>
      </w:r>
      <w:r w:rsidR="006F02BE">
        <w:rPr>
          <w:rFonts w:cstheme="minorHAnsi"/>
        </w:rPr>
        <w:t>ealised until there is pay equality.</w:t>
      </w:r>
    </w:p>
    <w:p w14:paraId="7913ECBA" w14:textId="73849E1B" w:rsidR="003E295A" w:rsidRPr="00A62356" w:rsidRDefault="003E295A" w:rsidP="000F6998">
      <w:pPr>
        <w:jc w:val="both"/>
        <w:rPr>
          <w:rFonts w:cstheme="minorHAnsi"/>
        </w:rPr>
      </w:pPr>
      <w:r>
        <w:rPr>
          <w:rFonts w:cstheme="minorHAnsi"/>
        </w:rPr>
        <w:t xml:space="preserve">Option 3 will reduce the costs to women per week and the lost national earnings of $551 million due to </w:t>
      </w:r>
      <w:r w:rsidR="0014063A">
        <w:rPr>
          <w:rFonts w:cstheme="minorHAnsi"/>
        </w:rPr>
        <w:t xml:space="preserve">reducing </w:t>
      </w:r>
      <w:r>
        <w:rPr>
          <w:rFonts w:cstheme="minorHAnsi"/>
        </w:rPr>
        <w:t>gender discrimination and segregation in work at a faster rate than Options 1 and 2. Concurrently, Option 3 will increase the number of women in the paid workforce at a faster rate which will increase productive capacity of the Australian economy by about $25 billion per year</w:t>
      </w:r>
      <w:r w:rsidRPr="003F264A">
        <w:rPr>
          <w:rFonts w:cstheme="minorHAnsi"/>
          <w:color w:val="000000" w:themeColor="text1"/>
        </w:rPr>
        <w:t>.</w:t>
      </w:r>
      <w:r w:rsidRPr="003F264A">
        <w:rPr>
          <w:rStyle w:val="FootnoteReference"/>
          <w:rFonts w:cstheme="minorHAnsi"/>
          <w:color w:val="000000" w:themeColor="text1"/>
        </w:rPr>
        <w:footnoteReference w:id="161"/>
      </w:r>
      <w:r w:rsidRPr="003F264A">
        <w:rPr>
          <w:rFonts w:cstheme="minorHAnsi"/>
          <w:color w:val="000000" w:themeColor="text1"/>
        </w:rPr>
        <w:t xml:space="preserve"> </w:t>
      </w:r>
      <w:r>
        <w:rPr>
          <w:rFonts w:cstheme="minorHAnsi"/>
          <w:color w:val="000000" w:themeColor="text1"/>
        </w:rPr>
        <w:t xml:space="preserve">Option 3 is also expected to close the gender pay gap at a </w:t>
      </w:r>
      <w:r w:rsidR="0014063A">
        <w:rPr>
          <w:rFonts w:cstheme="minorHAnsi"/>
          <w:color w:val="000000" w:themeColor="text1"/>
        </w:rPr>
        <w:t>faster</w:t>
      </w:r>
      <w:r>
        <w:rPr>
          <w:rFonts w:cstheme="minorHAnsi"/>
          <w:color w:val="000000" w:themeColor="text1"/>
        </w:rPr>
        <w:t xml:space="preserve"> rate than Options 1 and 2</w:t>
      </w:r>
      <w:r w:rsidR="005658FA">
        <w:rPr>
          <w:rFonts w:cstheme="minorHAnsi"/>
          <w:color w:val="000000" w:themeColor="text1"/>
        </w:rPr>
        <w:t xml:space="preserve"> which will increase the speed of the benefits produced by this including, </w:t>
      </w:r>
      <w:r w:rsidRPr="003F264A">
        <w:rPr>
          <w:rFonts w:cstheme="minorHAnsi"/>
          <w:color w:val="000000" w:themeColor="text1"/>
        </w:rPr>
        <w:t>lift</w:t>
      </w:r>
      <w:r w:rsidR="005658FA">
        <w:rPr>
          <w:rFonts w:cstheme="minorHAnsi"/>
          <w:color w:val="000000" w:themeColor="text1"/>
        </w:rPr>
        <w:t>ing</w:t>
      </w:r>
      <w:r w:rsidRPr="003F264A">
        <w:rPr>
          <w:rFonts w:cstheme="minorHAnsi"/>
          <w:color w:val="000000" w:themeColor="text1"/>
        </w:rPr>
        <w:t xml:space="preserve"> Australia’s GDP </w:t>
      </w:r>
      <w:r w:rsidR="000F6862">
        <w:rPr>
          <w:rFonts w:cstheme="minorHAnsi"/>
          <w:color w:val="000000" w:themeColor="text1"/>
        </w:rPr>
        <w:t xml:space="preserve">by </w:t>
      </w:r>
      <w:r w:rsidR="00412E40">
        <w:rPr>
          <w:rFonts w:cstheme="minorHAnsi"/>
          <w:color w:val="000000" w:themeColor="text1"/>
        </w:rPr>
        <w:t>up to 11</w:t>
      </w:r>
      <w:r w:rsidR="00955B73">
        <w:rPr>
          <w:rFonts w:cstheme="minorHAnsi"/>
          <w:color w:val="000000" w:themeColor="text1"/>
        </w:rPr>
        <w:t> </w:t>
      </w:r>
      <w:r w:rsidRPr="003F264A">
        <w:rPr>
          <w:rFonts w:cstheme="minorHAnsi"/>
          <w:color w:val="000000" w:themeColor="text1"/>
        </w:rPr>
        <w:t>per</w:t>
      </w:r>
      <w:r w:rsidR="00955B73">
        <w:rPr>
          <w:rFonts w:cstheme="minorHAnsi"/>
          <w:color w:val="000000" w:themeColor="text1"/>
        </w:rPr>
        <w:t> </w:t>
      </w:r>
      <w:r w:rsidRPr="003F264A">
        <w:rPr>
          <w:rFonts w:cstheme="minorHAnsi"/>
          <w:color w:val="000000" w:themeColor="text1"/>
        </w:rPr>
        <w:t>cent, or $353 billio</w:t>
      </w:r>
      <w:r w:rsidR="005658FA">
        <w:rPr>
          <w:rFonts w:cstheme="minorHAnsi"/>
          <w:color w:val="000000" w:themeColor="text1"/>
        </w:rPr>
        <w:t>n</w:t>
      </w:r>
      <w:r w:rsidRPr="003F264A">
        <w:rPr>
          <w:rFonts w:cstheme="minorHAnsi"/>
          <w:color w:val="000000" w:themeColor="text1"/>
        </w:rPr>
        <w:t>.</w:t>
      </w:r>
      <w:r w:rsidRPr="003F264A">
        <w:rPr>
          <w:rStyle w:val="FootnoteReference"/>
          <w:rFonts w:cstheme="minorHAnsi"/>
          <w:color w:val="000000" w:themeColor="text1"/>
        </w:rPr>
        <w:footnoteReference w:id="162"/>
      </w:r>
      <w:r w:rsidRPr="003F264A">
        <w:rPr>
          <w:rFonts w:cstheme="minorHAnsi"/>
          <w:color w:val="000000" w:themeColor="text1"/>
        </w:rPr>
        <w:t xml:space="preserve"> </w:t>
      </w:r>
    </w:p>
    <w:p w14:paraId="0C6D9D80" w14:textId="77777777" w:rsidR="00412E40" w:rsidRDefault="00412E40" w:rsidP="000F6998">
      <w:pPr>
        <w:jc w:val="both"/>
        <w:rPr>
          <w:rFonts w:cstheme="minorHAnsi"/>
        </w:rPr>
      </w:pPr>
      <w:r>
        <w:rPr>
          <w:rFonts w:cstheme="minorHAnsi"/>
        </w:rPr>
        <w:t xml:space="preserve">Closing the gender pay gap faster will have positive impacts on the profits of businesses, as outlined above. It will also create additional </w:t>
      </w:r>
      <w:r w:rsidRPr="000805F2">
        <w:rPr>
          <w:rFonts w:cstheme="minorHAnsi"/>
        </w:rPr>
        <w:t xml:space="preserve">benefits, </w:t>
      </w:r>
      <w:r w:rsidRPr="000805F2">
        <w:rPr>
          <w:rFonts w:cstheme="minorHAnsi"/>
          <w:shd w:val="clear" w:color="auto" w:fill="FFFFFF"/>
        </w:rPr>
        <w:t>such as </w:t>
      </w:r>
      <w:r w:rsidRPr="000805F2">
        <w:rPr>
          <w:rFonts w:cstheme="minorHAnsi"/>
          <w:bCs/>
          <w:shd w:val="clear" w:color="auto" w:fill="FFFFFF"/>
        </w:rPr>
        <w:t>increased efficiency, productivity, innovation, creativity and improved employee engagement</w:t>
      </w:r>
      <w:r w:rsidRPr="000805F2">
        <w:rPr>
          <w:rFonts w:cstheme="minorHAnsi"/>
          <w:shd w:val="clear" w:color="auto" w:fill="FFFFFF"/>
        </w:rPr>
        <w:t>.</w:t>
      </w:r>
      <w:r w:rsidRPr="003F264A">
        <w:rPr>
          <w:rFonts w:eastAsia="Calibri Light" w:cstheme="minorHAnsi"/>
          <w:color w:val="4472C4" w:themeColor="accent5"/>
        </w:rPr>
        <w:t xml:space="preserve"> </w:t>
      </w:r>
      <w:r w:rsidRPr="003F264A">
        <w:rPr>
          <w:rFonts w:cstheme="minorHAnsi"/>
        </w:rPr>
        <w:t>The cumulative impa</w:t>
      </w:r>
      <w:r>
        <w:rPr>
          <w:rFonts w:cstheme="minorHAnsi"/>
        </w:rPr>
        <w:t xml:space="preserve">ct of the Recommendations </w:t>
      </w:r>
      <w:r w:rsidRPr="003F264A">
        <w:rPr>
          <w:rFonts w:cstheme="minorHAnsi"/>
        </w:rPr>
        <w:t>is likely to lead to a more timely reduction in the gender pay gap, economically and socially benefitting women across Australia, the individuals in their lives and their families.</w:t>
      </w:r>
      <w:r>
        <w:rPr>
          <w:rFonts w:cstheme="minorHAnsi"/>
        </w:rPr>
        <w:t xml:space="preserve"> </w:t>
      </w:r>
    </w:p>
    <w:p w14:paraId="643FE9C6" w14:textId="2AA774C9" w:rsidR="000C5BDE" w:rsidRDefault="00412E40" w:rsidP="000F6998">
      <w:pPr>
        <w:jc w:val="both"/>
        <w:rPr>
          <w:rFonts w:cstheme="minorHAnsi"/>
        </w:rPr>
      </w:pPr>
      <w:r>
        <w:rPr>
          <w:rFonts w:cstheme="minorHAnsi"/>
        </w:rPr>
        <w:t>Therefore</w:t>
      </w:r>
      <w:r w:rsidR="00474A31">
        <w:rPr>
          <w:rFonts w:cstheme="minorHAnsi"/>
        </w:rPr>
        <w:t>, the</w:t>
      </w:r>
      <w:r w:rsidR="006908E2" w:rsidRPr="003F264A">
        <w:rPr>
          <w:rFonts w:cstheme="minorHAnsi"/>
        </w:rPr>
        <w:t xml:space="preserve"> net expected </w:t>
      </w:r>
      <w:r w:rsidR="005658FA">
        <w:rPr>
          <w:rFonts w:cstheme="minorHAnsi"/>
        </w:rPr>
        <w:t xml:space="preserve">benefits </w:t>
      </w:r>
      <w:r>
        <w:rPr>
          <w:rFonts w:cstheme="minorHAnsi"/>
        </w:rPr>
        <w:t xml:space="preserve">in the long term </w:t>
      </w:r>
      <w:r w:rsidR="005658FA">
        <w:rPr>
          <w:rFonts w:cstheme="minorHAnsi"/>
        </w:rPr>
        <w:t xml:space="preserve">will likely outweigh any additional initial costs to the government, businesses and individuals. </w:t>
      </w:r>
    </w:p>
    <w:p w14:paraId="7E8EA6DD" w14:textId="512A028A" w:rsidR="002768A7" w:rsidRDefault="002768A7" w:rsidP="000F6998">
      <w:pPr>
        <w:jc w:val="both"/>
        <w:rPr>
          <w:rFonts w:cstheme="minorHAnsi"/>
        </w:rPr>
      </w:pPr>
    </w:p>
    <w:p w14:paraId="53B04D5C" w14:textId="5490B642" w:rsidR="00677424" w:rsidRDefault="00677424" w:rsidP="000F6998">
      <w:pPr>
        <w:jc w:val="both"/>
        <w:rPr>
          <w:rFonts w:cstheme="minorHAnsi"/>
        </w:rPr>
      </w:pPr>
    </w:p>
    <w:p w14:paraId="4EACEF39" w14:textId="72624D24" w:rsidR="00677424" w:rsidRDefault="00677424" w:rsidP="000F6998">
      <w:pPr>
        <w:jc w:val="both"/>
        <w:rPr>
          <w:rFonts w:cstheme="minorHAnsi"/>
        </w:rPr>
      </w:pPr>
    </w:p>
    <w:p w14:paraId="40365EA8" w14:textId="2F693DE5" w:rsidR="00677424" w:rsidRDefault="00677424" w:rsidP="000F6998">
      <w:pPr>
        <w:jc w:val="both"/>
        <w:rPr>
          <w:rFonts w:cstheme="minorHAnsi"/>
        </w:rPr>
      </w:pPr>
    </w:p>
    <w:p w14:paraId="7378523B" w14:textId="6B15C4AA" w:rsidR="005A4333" w:rsidRDefault="005A4333" w:rsidP="000F6998">
      <w:pPr>
        <w:jc w:val="both"/>
        <w:rPr>
          <w:rFonts w:cstheme="minorHAnsi"/>
        </w:rPr>
      </w:pPr>
    </w:p>
    <w:p w14:paraId="3D26A3C5" w14:textId="00DFC427" w:rsidR="005A4333" w:rsidRDefault="005A4333" w:rsidP="000F6998">
      <w:pPr>
        <w:jc w:val="both"/>
        <w:rPr>
          <w:rFonts w:cstheme="minorHAnsi"/>
        </w:rPr>
      </w:pPr>
    </w:p>
    <w:p w14:paraId="2374C9D6" w14:textId="77777777" w:rsidR="005A4333" w:rsidRDefault="005A4333" w:rsidP="000F6998">
      <w:pPr>
        <w:jc w:val="both"/>
        <w:rPr>
          <w:rFonts w:cstheme="minorHAnsi"/>
        </w:rPr>
      </w:pPr>
    </w:p>
    <w:p w14:paraId="6838CD15" w14:textId="77777777" w:rsidR="00570EEF" w:rsidRPr="00570EEF" w:rsidRDefault="00570EEF" w:rsidP="000F6998">
      <w:pPr>
        <w:keepNext/>
        <w:keepLines/>
        <w:numPr>
          <w:ilvl w:val="0"/>
          <w:numId w:val="51"/>
        </w:numPr>
        <w:spacing w:before="240" w:after="0"/>
        <w:jc w:val="both"/>
        <w:outlineLvl w:val="0"/>
        <w:rPr>
          <w:rFonts w:asciiTheme="majorHAnsi" w:eastAsiaTheme="majorEastAsia" w:hAnsiTheme="majorHAnsi" w:cstheme="majorBidi"/>
          <w:color w:val="2E74B5" w:themeColor="accent1" w:themeShade="BF"/>
          <w:sz w:val="32"/>
          <w:szCs w:val="32"/>
          <w:lang w:val="en-GB"/>
        </w:rPr>
      </w:pPr>
      <w:bookmarkStart w:id="117" w:name="_Toc125714736"/>
      <w:r w:rsidRPr="00570EEF">
        <w:rPr>
          <w:rFonts w:asciiTheme="majorHAnsi" w:eastAsiaTheme="majorEastAsia" w:hAnsiTheme="majorHAnsi" w:cstheme="majorBidi"/>
          <w:color w:val="2E74B5" w:themeColor="accent1" w:themeShade="BF"/>
          <w:sz w:val="32"/>
          <w:szCs w:val="32"/>
          <w:lang w:val="en-GB"/>
        </w:rPr>
        <w:t>Consultation and incorporation of feedback</w:t>
      </w:r>
      <w:bookmarkEnd w:id="117"/>
    </w:p>
    <w:p w14:paraId="66207CD0" w14:textId="77777777" w:rsidR="00570EEF" w:rsidRPr="00570EEF" w:rsidRDefault="00570EEF" w:rsidP="000F6998">
      <w:pPr>
        <w:keepNext/>
        <w:keepLines/>
        <w:spacing w:before="40" w:after="0"/>
        <w:jc w:val="both"/>
        <w:outlineLvl w:val="1"/>
        <w:rPr>
          <w:rFonts w:asciiTheme="majorHAnsi" w:eastAsiaTheme="majorEastAsia" w:hAnsiTheme="majorHAnsi" w:cstheme="majorBidi"/>
          <w:color w:val="2E74B5" w:themeColor="accent1" w:themeShade="BF"/>
          <w:sz w:val="26"/>
          <w:szCs w:val="26"/>
          <w:lang w:val="en-GB"/>
        </w:rPr>
      </w:pPr>
      <w:bookmarkStart w:id="118" w:name="_Toc125714737"/>
      <w:r w:rsidRPr="00570EEF">
        <w:rPr>
          <w:rFonts w:asciiTheme="majorHAnsi" w:eastAsiaTheme="majorEastAsia" w:hAnsiTheme="majorHAnsi" w:cstheme="majorBidi"/>
          <w:color w:val="2E74B5" w:themeColor="accent1" w:themeShade="BF"/>
          <w:sz w:val="26"/>
          <w:szCs w:val="26"/>
          <w:lang w:val="en-GB"/>
        </w:rPr>
        <w:t>10.1 Purpose and Objectives</w:t>
      </w:r>
      <w:bookmarkEnd w:id="118"/>
    </w:p>
    <w:p w14:paraId="0140281E" w14:textId="2B4CF801" w:rsidR="00B82D69" w:rsidRDefault="00570EEF" w:rsidP="000F6998">
      <w:pPr>
        <w:jc w:val="both"/>
        <w:rPr>
          <w:lang w:val="en-GB"/>
        </w:rPr>
      </w:pPr>
      <w:r w:rsidRPr="00570EEF">
        <w:rPr>
          <w:lang w:val="en-GB"/>
        </w:rPr>
        <w:t xml:space="preserve">The development and implementation of the Review’s recommendations were informed by considered and comprehensive stakeholder consultation. </w:t>
      </w:r>
      <w:r w:rsidR="00B82D69">
        <w:rPr>
          <w:lang w:val="en-GB"/>
        </w:rPr>
        <w:t>Consultation was a key component in developing Option 3. Consultation improved the policy through canvassing varied stakeholder responses to proposed changes and to understand the concerns of business, government and indiv</w:t>
      </w:r>
      <w:r w:rsidR="00CE2316">
        <w:rPr>
          <w:lang w:val="en-GB"/>
        </w:rPr>
        <w:t>i</w:t>
      </w:r>
      <w:r w:rsidR="00B82D69">
        <w:rPr>
          <w:lang w:val="en-GB"/>
        </w:rPr>
        <w:t xml:space="preserve">duals. </w:t>
      </w:r>
    </w:p>
    <w:p w14:paraId="07611DC5" w14:textId="15BFFC56" w:rsidR="00570EEF" w:rsidRDefault="00B82D69" w:rsidP="000F6998">
      <w:pPr>
        <w:jc w:val="both"/>
        <w:rPr>
          <w:lang w:val="en-GB"/>
        </w:rPr>
      </w:pPr>
      <w:r>
        <w:rPr>
          <w:lang w:val="en-GB"/>
        </w:rPr>
        <w:t>In order t</w:t>
      </w:r>
      <w:r w:rsidR="006F02BE">
        <w:rPr>
          <w:lang w:val="en-GB"/>
        </w:rPr>
        <w:t>o fully consider and apply the broad stakeholder views</w:t>
      </w:r>
      <w:r>
        <w:rPr>
          <w:lang w:val="en-GB"/>
        </w:rPr>
        <w:t xml:space="preserve"> implicated by the Review, two phases of consultation were carried out:</w:t>
      </w:r>
    </w:p>
    <w:p w14:paraId="602E0752" w14:textId="2510801B" w:rsidR="00B82D69" w:rsidRPr="00B82D69" w:rsidRDefault="00B82D69" w:rsidP="00B82D69">
      <w:pPr>
        <w:pStyle w:val="ListParagraph"/>
        <w:numPr>
          <w:ilvl w:val="1"/>
          <w:numId w:val="26"/>
        </w:numPr>
        <w:jc w:val="both"/>
        <w:rPr>
          <w:lang w:val="en-GB"/>
        </w:rPr>
      </w:pPr>
      <w:r w:rsidRPr="00B82D69">
        <w:rPr>
          <w:lang w:val="en-GB"/>
        </w:rPr>
        <w:t>Review Consultation</w:t>
      </w:r>
      <w:r>
        <w:rPr>
          <w:lang w:val="en-GB"/>
        </w:rPr>
        <w:t xml:space="preserve"> -</w:t>
      </w:r>
      <w:r w:rsidRPr="00B82D69">
        <w:rPr>
          <w:lang w:val="en-GB"/>
        </w:rPr>
        <w:t xml:space="preserve"> conducted during the Review process; and</w:t>
      </w:r>
    </w:p>
    <w:p w14:paraId="5BA2CFC9" w14:textId="05646D89" w:rsidR="00B82D69" w:rsidRPr="00B82D69" w:rsidRDefault="00B82D69" w:rsidP="00B82D69">
      <w:pPr>
        <w:pStyle w:val="ListParagraph"/>
        <w:numPr>
          <w:ilvl w:val="1"/>
          <w:numId w:val="26"/>
        </w:numPr>
        <w:jc w:val="both"/>
        <w:rPr>
          <w:lang w:val="en-GB"/>
        </w:rPr>
      </w:pPr>
      <w:r>
        <w:rPr>
          <w:lang w:val="en-GB"/>
        </w:rPr>
        <w:t>Implementation Consultation – conducted to inform this IA and further unpack issues from the Review Consultation.</w:t>
      </w:r>
    </w:p>
    <w:p w14:paraId="33BFB8C1" w14:textId="77777777" w:rsidR="00570EEF" w:rsidRPr="00570EEF" w:rsidRDefault="00570EEF" w:rsidP="000F6998">
      <w:pPr>
        <w:keepNext/>
        <w:keepLines/>
        <w:spacing w:before="40" w:after="0"/>
        <w:jc w:val="both"/>
        <w:outlineLvl w:val="1"/>
        <w:rPr>
          <w:rFonts w:asciiTheme="majorHAnsi" w:eastAsiaTheme="majorEastAsia" w:hAnsiTheme="majorHAnsi" w:cstheme="majorBidi"/>
          <w:color w:val="2E74B5" w:themeColor="accent1" w:themeShade="BF"/>
          <w:sz w:val="26"/>
          <w:szCs w:val="26"/>
          <w:lang w:val="en-GB"/>
        </w:rPr>
      </w:pPr>
      <w:bookmarkStart w:id="119" w:name="_Toc125714738"/>
      <w:r w:rsidRPr="00570EEF">
        <w:rPr>
          <w:rFonts w:asciiTheme="majorHAnsi" w:eastAsiaTheme="majorEastAsia" w:hAnsiTheme="majorHAnsi" w:cstheme="majorBidi"/>
          <w:color w:val="2E74B5" w:themeColor="accent1" w:themeShade="BF"/>
          <w:sz w:val="26"/>
          <w:szCs w:val="26"/>
          <w:lang w:val="en-GB"/>
        </w:rPr>
        <w:t>10.2 Review Consultation</w:t>
      </w:r>
      <w:bookmarkEnd w:id="119"/>
    </w:p>
    <w:p w14:paraId="5D1F81B4" w14:textId="1F410E06" w:rsidR="00570EEF" w:rsidRPr="00570EEF" w:rsidRDefault="00570EEF" w:rsidP="000F6998">
      <w:pPr>
        <w:jc w:val="both"/>
        <w:rPr>
          <w:lang w:val="en-GB"/>
        </w:rPr>
      </w:pPr>
      <w:r w:rsidRPr="00570EEF">
        <w:rPr>
          <w:lang w:val="en-GB"/>
        </w:rPr>
        <w:t>The Review consultation occurred in October and November 2021</w:t>
      </w:r>
      <w:r w:rsidR="001C3586">
        <w:rPr>
          <w:lang w:val="en-GB"/>
        </w:rPr>
        <w:t>, and was open to all members of the public.</w:t>
      </w:r>
      <w:r w:rsidRPr="00570EEF">
        <w:rPr>
          <w:lang w:val="en-GB"/>
        </w:rPr>
        <w:t xml:space="preserve"> A media release made by the Minister for Women initially announced the Review consultation to the public. In addition, the Review consultation paper was circulated on social media and emails were sent to key stakeholders</w:t>
      </w:r>
      <w:r w:rsidR="001C3586">
        <w:rPr>
          <w:lang w:val="en-GB"/>
        </w:rPr>
        <w:t xml:space="preserve"> inviting them to provide input</w:t>
      </w:r>
      <w:r w:rsidRPr="00570EEF">
        <w:rPr>
          <w:lang w:val="en-GB"/>
        </w:rPr>
        <w:t xml:space="preserve">. </w:t>
      </w:r>
    </w:p>
    <w:p w14:paraId="1CBFBC12" w14:textId="77777777" w:rsidR="00570EEF" w:rsidRPr="00570EEF" w:rsidRDefault="00570EEF" w:rsidP="000F6998">
      <w:pPr>
        <w:jc w:val="both"/>
        <w:rPr>
          <w:lang w:val="en-GB"/>
        </w:rPr>
      </w:pPr>
      <w:r w:rsidRPr="00570EEF">
        <w:rPr>
          <w:lang w:val="en-GB"/>
        </w:rPr>
        <w:t>A range of stakeholders were convened across five virtual roundtables in November 2021. These roundtables were with a variety of organisations and targeted representatives from the business and not-for-profit sectors, employee organisations, higher education providers, the women’s sector, users of the WGEA data, Australian government and state and territory government and other interested parties.</w:t>
      </w:r>
    </w:p>
    <w:p w14:paraId="029EC4AD" w14:textId="77777777" w:rsidR="00570EEF" w:rsidRPr="00570EEF" w:rsidRDefault="00570EEF" w:rsidP="000F6998">
      <w:pPr>
        <w:jc w:val="both"/>
        <w:rPr>
          <w:lang w:val="en-GB"/>
        </w:rPr>
      </w:pPr>
      <w:r w:rsidRPr="00570EEF">
        <w:rPr>
          <w:lang w:val="en-GB"/>
        </w:rPr>
        <w:t>Stakeholders were invited to respond to a consultation paper which was released on 20 October 2021. The consultation paper invited written responses for 10 questions and 155 submissions were received.</w:t>
      </w:r>
    </w:p>
    <w:p w14:paraId="1FEBD4ED" w14:textId="77777777" w:rsidR="00570EEF" w:rsidRPr="00570EEF" w:rsidRDefault="00570EEF" w:rsidP="000F6998">
      <w:pPr>
        <w:jc w:val="both"/>
        <w:rPr>
          <w:lang w:val="en-GB"/>
        </w:rPr>
      </w:pPr>
      <w:r w:rsidRPr="00570EEF">
        <w:rPr>
          <w:lang w:val="en-GB"/>
        </w:rPr>
        <w:t>Several key themes emerged from consultation which informed the design of the Review recommendations:</w:t>
      </w:r>
    </w:p>
    <w:p w14:paraId="355444CB" w14:textId="77777777" w:rsidR="00570EEF" w:rsidRPr="00570EEF" w:rsidRDefault="00570EEF" w:rsidP="000F6998">
      <w:pPr>
        <w:numPr>
          <w:ilvl w:val="0"/>
          <w:numId w:val="57"/>
        </w:numPr>
        <w:contextualSpacing/>
        <w:jc w:val="both"/>
        <w:rPr>
          <w:lang w:val="en-GB"/>
        </w:rPr>
      </w:pPr>
      <w:r w:rsidRPr="00570EEF">
        <w:rPr>
          <w:lang w:val="en-GB"/>
        </w:rPr>
        <w:t>The Workplace Gender Equality Act and WGEA are only one part of a holistic approach to address gender inequality in the workplace. Governments, employers, and the community all have a role in promoting and improving gender equality in Australian workplaces.</w:t>
      </w:r>
    </w:p>
    <w:p w14:paraId="7CDFEF2B" w14:textId="77777777" w:rsidR="00570EEF" w:rsidRPr="00570EEF" w:rsidRDefault="00570EEF" w:rsidP="000F6998">
      <w:pPr>
        <w:numPr>
          <w:ilvl w:val="0"/>
          <w:numId w:val="57"/>
        </w:numPr>
        <w:contextualSpacing/>
        <w:jc w:val="both"/>
        <w:rPr>
          <w:lang w:val="en-GB"/>
        </w:rPr>
      </w:pPr>
      <w:r w:rsidRPr="00570EEF">
        <w:rPr>
          <w:lang w:val="en-GB"/>
        </w:rPr>
        <w:t>The rate of change on gender equality in workplaces is not happening fast enough.</w:t>
      </w:r>
    </w:p>
    <w:p w14:paraId="35E73324" w14:textId="77777777" w:rsidR="00570EEF" w:rsidRPr="00570EEF" w:rsidRDefault="00570EEF" w:rsidP="000F6998">
      <w:pPr>
        <w:numPr>
          <w:ilvl w:val="0"/>
          <w:numId w:val="57"/>
        </w:numPr>
        <w:contextualSpacing/>
        <w:jc w:val="both"/>
        <w:rPr>
          <w:lang w:val="en-GB"/>
        </w:rPr>
      </w:pPr>
      <w:r w:rsidRPr="00570EEF">
        <w:rPr>
          <w:lang w:val="en-GB"/>
        </w:rPr>
        <w:t>Current compliance mechanisms and reporting standards are not going far enough to hold organisations accountable for progressing gender equality.</w:t>
      </w:r>
    </w:p>
    <w:p w14:paraId="01A1C2ED" w14:textId="77777777" w:rsidR="00570EEF" w:rsidRPr="00570EEF" w:rsidRDefault="00570EEF" w:rsidP="000F6998">
      <w:pPr>
        <w:numPr>
          <w:ilvl w:val="0"/>
          <w:numId w:val="57"/>
        </w:numPr>
        <w:contextualSpacing/>
        <w:jc w:val="both"/>
        <w:rPr>
          <w:lang w:val="en-GB"/>
        </w:rPr>
      </w:pPr>
      <w:r w:rsidRPr="00570EEF">
        <w:rPr>
          <w:lang w:val="en-GB"/>
        </w:rPr>
        <w:t>Increasing women’s workforce participation is vital for economic growth and productivity.</w:t>
      </w:r>
    </w:p>
    <w:p w14:paraId="35BF9F38" w14:textId="77777777" w:rsidR="00570EEF" w:rsidRPr="00570EEF" w:rsidRDefault="00570EEF" w:rsidP="000F6998">
      <w:pPr>
        <w:numPr>
          <w:ilvl w:val="0"/>
          <w:numId w:val="57"/>
        </w:numPr>
        <w:contextualSpacing/>
        <w:jc w:val="both"/>
        <w:rPr>
          <w:lang w:val="en-GB"/>
        </w:rPr>
      </w:pPr>
      <w:r w:rsidRPr="00570EEF">
        <w:rPr>
          <w:lang w:val="en-GB"/>
        </w:rPr>
        <w:t>A number of employers expressed concern about the burden of current reporting obligations to WGEA.</w:t>
      </w:r>
    </w:p>
    <w:p w14:paraId="134BE5C3" w14:textId="77777777" w:rsidR="00570EEF" w:rsidRPr="00570EEF" w:rsidRDefault="00570EEF" w:rsidP="000F6998">
      <w:pPr>
        <w:numPr>
          <w:ilvl w:val="0"/>
          <w:numId w:val="57"/>
        </w:numPr>
        <w:contextualSpacing/>
        <w:jc w:val="both"/>
        <w:rPr>
          <w:lang w:val="en-GB"/>
        </w:rPr>
      </w:pPr>
      <w:r w:rsidRPr="00570EEF">
        <w:rPr>
          <w:lang w:val="en-GB"/>
        </w:rPr>
        <w:t>There are gaps in the dataset that mean the true state of gender equality in the economy is not being reflected, and therefore is not being fully leveraged to drive targeted action. Key gaps include intersectional perspectives from Aboriginal and Torres Strait Islander women, women living with disabilities, culturally and linguistically diverse (CALD) women, and non-binary people.</w:t>
      </w:r>
    </w:p>
    <w:p w14:paraId="61BA348B" w14:textId="77777777" w:rsidR="00570EEF" w:rsidRPr="00570EEF" w:rsidRDefault="00570EEF" w:rsidP="000F6998">
      <w:pPr>
        <w:numPr>
          <w:ilvl w:val="0"/>
          <w:numId w:val="57"/>
        </w:numPr>
        <w:contextualSpacing/>
        <w:jc w:val="both"/>
        <w:rPr>
          <w:lang w:val="en-GB"/>
        </w:rPr>
      </w:pPr>
      <w:r w:rsidRPr="00570EEF">
        <w:rPr>
          <w:lang w:val="en-GB"/>
        </w:rPr>
        <w:t>There was strong agreement that focus on making gender pay gap data transparent at the organisation level (as opposed to just the industry level, which is currently reported by WGEA) will accelerate the pace of change towards closing the gender pay gap.</w:t>
      </w:r>
    </w:p>
    <w:p w14:paraId="3F7E9602" w14:textId="77777777" w:rsidR="00570EEF" w:rsidRPr="00570EEF" w:rsidRDefault="00570EEF" w:rsidP="000F6998">
      <w:pPr>
        <w:jc w:val="both"/>
        <w:rPr>
          <w:lang w:val="en-GB"/>
        </w:rPr>
      </w:pPr>
      <w:r w:rsidRPr="00570EEF">
        <w:rPr>
          <w:lang w:val="en-GB"/>
        </w:rPr>
        <w:t>This feedback informed the recommendations of the Review, which has in turn formed the options considered in this paper.</w:t>
      </w:r>
    </w:p>
    <w:p w14:paraId="764D9893" w14:textId="5D1FFC41" w:rsidR="00570EEF" w:rsidRPr="00570EEF" w:rsidRDefault="00570EEF" w:rsidP="000F6998">
      <w:pPr>
        <w:keepNext/>
        <w:keepLines/>
        <w:spacing w:before="40" w:after="0"/>
        <w:jc w:val="both"/>
        <w:outlineLvl w:val="1"/>
        <w:rPr>
          <w:rFonts w:asciiTheme="majorHAnsi" w:eastAsiaTheme="majorEastAsia" w:hAnsiTheme="majorHAnsi" w:cstheme="majorBidi"/>
          <w:color w:val="2E74B5" w:themeColor="accent1" w:themeShade="BF"/>
          <w:sz w:val="26"/>
          <w:szCs w:val="26"/>
          <w:lang w:val="en-GB"/>
        </w:rPr>
      </w:pPr>
      <w:bookmarkStart w:id="120" w:name="_Toc125714739"/>
      <w:r w:rsidRPr="00570EEF">
        <w:rPr>
          <w:rFonts w:asciiTheme="majorHAnsi" w:eastAsiaTheme="majorEastAsia" w:hAnsiTheme="majorHAnsi" w:cstheme="majorBidi"/>
          <w:color w:val="2E74B5" w:themeColor="accent1" w:themeShade="BF"/>
          <w:sz w:val="26"/>
          <w:szCs w:val="26"/>
          <w:lang w:val="en-GB"/>
        </w:rPr>
        <w:t xml:space="preserve">10.3 </w:t>
      </w:r>
      <w:bookmarkEnd w:id="120"/>
      <w:r w:rsidR="00B82D69">
        <w:rPr>
          <w:rFonts w:asciiTheme="majorHAnsi" w:eastAsiaTheme="majorEastAsia" w:hAnsiTheme="majorHAnsi" w:cstheme="majorBidi"/>
          <w:color w:val="2E74B5" w:themeColor="accent1" w:themeShade="BF"/>
          <w:sz w:val="26"/>
          <w:szCs w:val="26"/>
          <w:lang w:val="en-GB"/>
        </w:rPr>
        <w:t>Implementation Consultation</w:t>
      </w:r>
    </w:p>
    <w:p w14:paraId="19E3350B" w14:textId="77777777" w:rsidR="00570EEF" w:rsidRPr="00570EEF" w:rsidRDefault="00570EEF" w:rsidP="000F6998">
      <w:pPr>
        <w:jc w:val="both"/>
        <w:rPr>
          <w:lang w:val="en-GB"/>
        </w:rPr>
      </w:pPr>
      <w:r w:rsidRPr="00570EEF">
        <w:rPr>
          <w:lang w:val="en-GB"/>
        </w:rPr>
        <w:t xml:space="preserve">Further extensive consultation was undertaken to inform this IA and target key gaps and issues from the Review consultation. The purpose of this additional consultation was to build an in depth understanding of the impacts of these changes on businesses to inform PM&amp;C’s assessment of the preferred option, to ensure sensitive recommendations were considered in more detail, and to ensure relevant stakeholders and industry experts’ views were taken into account when designing implementation. Stakeholders consulted include other Government departments, WGEA, peak business bodies (Peaks), partnerships, UK counterparts and experts. </w:t>
      </w:r>
    </w:p>
    <w:p w14:paraId="3C76A15E" w14:textId="77777777" w:rsidR="00570EEF" w:rsidRPr="00570EEF" w:rsidRDefault="00570EEF" w:rsidP="000F6998">
      <w:pPr>
        <w:jc w:val="both"/>
        <w:rPr>
          <w:lang w:val="en-GB"/>
        </w:rPr>
      </w:pPr>
      <w:r w:rsidRPr="00570EEF">
        <w:rPr>
          <w:rFonts w:cstheme="minorHAnsi"/>
        </w:rPr>
        <w:t xml:space="preserve">Consultation on the implementation of the Review was carried out by OFW over August and September of 2022. The consultation process was executed in two parts: a survey to relevant employers and targeted roundtables. </w:t>
      </w:r>
    </w:p>
    <w:p w14:paraId="2E1959BB" w14:textId="77777777" w:rsidR="00570EEF" w:rsidRPr="00570EEF" w:rsidRDefault="00570EEF" w:rsidP="000F6998">
      <w:pPr>
        <w:ind w:right="874"/>
        <w:jc w:val="both"/>
        <w:rPr>
          <w:rFonts w:cstheme="minorHAnsi"/>
          <w:b/>
        </w:rPr>
      </w:pPr>
      <w:r w:rsidRPr="00570EEF">
        <w:rPr>
          <w:rFonts w:cstheme="minorHAnsi"/>
          <w:b/>
        </w:rPr>
        <w:t>Survey</w:t>
      </w:r>
    </w:p>
    <w:p w14:paraId="1D9438D2" w14:textId="13C243B7" w:rsidR="00570EEF" w:rsidRPr="00F37CD8" w:rsidRDefault="00570EEF" w:rsidP="00F37CD8">
      <w:pPr>
        <w:jc w:val="both"/>
        <w:rPr>
          <w:rFonts w:cstheme="minorHAnsi"/>
        </w:rPr>
      </w:pPr>
      <w:r w:rsidRPr="00570EEF">
        <w:rPr>
          <w:rFonts w:cstheme="minorHAnsi"/>
        </w:rPr>
        <w:t>An Expression of Interest was circulated to over 10,</w:t>
      </w:r>
      <w:r w:rsidR="00F37CD8">
        <w:rPr>
          <w:rFonts w:cstheme="minorHAnsi"/>
        </w:rPr>
        <w:t xml:space="preserve">000 relevant employer reporting </w:t>
      </w:r>
      <w:r w:rsidRPr="00570EEF">
        <w:rPr>
          <w:rFonts w:cstheme="minorHAnsi"/>
        </w:rPr>
        <w:t xml:space="preserve">contacts by WGEA on behalf of OFW and 420 responses were received by OFW and a link to an online survey was circulated to these interested parties. </w:t>
      </w:r>
    </w:p>
    <w:p w14:paraId="5A549A9E" w14:textId="77777777" w:rsidR="00570EEF" w:rsidRPr="00570EEF" w:rsidRDefault="00570EEF" w:rsidP="00F37CD8">
      <w:pPr>
        <w:jc w:val="both"/>
        <w:rPr>
          <w:rFonts w:cstheme="minorHAnsi"/>
        </w:rPr>
      </w:pPr>
      <w:r w:rsidRPr="00570EEF">
        <w:rPr>
          <w:rFonts w:cstheme="minorHAnsi"/>
        </w:rPr>
        <w:t xml:space="preserve">The online survey was completed by a total of 344 respondents. The survey was open for completion from 22 August 2022 to 16 September 2022. </w:t>
      </w:r>
    </w:p>
    <w:p w14:paraId="7ABC806D" w14:textId="77777777" w:rsidR="00570EEF" w:rsidRPr="00570EEF" w:rsidRDefault="00570EEF" w:rsidP="00F37CD8">
      <w:pPr>
        <w:jc w:val="both"/>
        <w:rPr>
          <w:rFonts w:cstheme="minorHAnsi"/>
        </w:rPr>
      </w:pPr>
      <w:r w:rsidRPr="00570EEF">
        <w:rPr>
          <w:rFonts w:cstheme="minorHAnsi"/>
        </w:rPr>
        <w:t xml:space="preserve">The survey was split into three sections where the Review specifically called for further consultation with relevant employers: </w:t>
      </w:r>
    </w:p>
    <w:p w14:paraId="2C97DE6B" w14:textId="77777777" w:rsidR="00570EEF" w:rsidRPr="00570EEF" w:rsidRDefault="00570EEF" w:rsidP="000F6998">
      <w:pPr>
        <w:ind w:right="874"/>
        <w:jc w:val="both"/>
        <w:rPr>
          <w:rFonts w:cstheme="minorHAnsi"/>
          <w:szCs w:val="24"/>
        </w:rPr>
      </w:pPr>
      <w:r w:rsidRPr="00570EEF">
        <w:rPr>
          <w:rFonts w:cstheme="minorHAnsi"/>
          <w:b/>
          <w:szCs w:val="24"/>
        </w:rPr>
        <w:t>Section 1</w:t>
      </w:r>
      <w:r w:rsidRPr="00570EEF">
        <w:rPr>
          <w:rFonts w:cstheme="minorHAnsi"/>
          <w:szCs w:val="24"/>
        </w:rPr>
        <w:t xml:space="preserve"> – Recommendation 2: Publish organisational gender pay gaps</w:t>
      </w:r>
    </w:p>
    <w:p w14:paraId="593C7C6C" w14:textId="77777777" w:rsidR="00570EEF" w:rsidRPr="00570EEF" w:rsidRDefault="00570EEF" w:rsidP="000F6998">
      <w:pPr>
        <w:ind w:right="874"/>
        <w:jc w:val="both"/>
        <w:rPr>
          <w:rFonts w:cstheme="minorHAnsi"/>
          <w:szCs w:val="24"/>
        </w:rPr>
      </w:pPr>
      <w:r w:rsidRPr="00570EEF">
        <w:rPr>
          <w:rFonts w:cstheme="minorHAnsi"/>
          <w:b/>
          <w:szCs w:val="24"/>
        </w:rPr>
        <w:t>Section 2</w:t>
      </w:r>
      <w:r w:rsidRPr="00570EEF">
        <w:rPr>
          <w:rFonts w:cstheme="minorHAnsi"/>
          <w:szCs w:val="24"/>
        </w:rPr>
        <w:t xml:space="preserve"> – Recommendation 3: Strengthen minimum standards</w:t>
      </w:r>
    </w:p>
    <w:p w14:paraId="007E1501" w14:textId="77777777" w:rsidR="00570EEF" w:rsidRPr="00570EEF" w:rsidRDefault="00570EEF" w:rsidP="000F6998">
      <w:pPr>
        <w:ind w:right="874"/>
        <w:jc w:val="both"/>
        <w:rPr>
          <w:rFonts w:cstheme="minorHAnsi"/>
          <w:szCs w:val="24"/>
        </w:rPr>
      </w:pPr>
      <w:r w:rsidRPr="00570EEF">
        <w:rPr>
          <w:rFonts w:cstheme="minorHAnsi"/>
          <w:b/>
          <w:szCs w:val="24"/>
        </w:rPr>
        <w:t>Section 3</w:t>
      </w:r>
      <w:r w:rsidRPr="00570EEF">
        <w:rPr>
          <w:rFonts w:cstheme="minorHAnsi"/>
          <w:szCs w:val="24"/>
        </w:rPr>
        <w:t xml:space="preserve"> – Recommendation 7: including a range </w:t>
      </w:r>
      <w:r w:rsidRPr="00F37CD8">
        <w:rPr>
          <w:rFonts w:cstheme="minorHAnsi"/>
        </w:rPr>
        <w:t>of issues including ANZSCO categories, reporting at a group structure level and timing of rep</w:t>
      </w:r>
      <w:r w:rsidRPr="00570EEF">
        <w:rPr>
          <w:rFonts w:cstheme="minorHAnsi"/>
          <w:szCs w:val="24"/>
        </w:rPr>
        <w:t xml:space="preserve">orting. </w:t>
      </w:r>
    </w:p>
    <w:p w14:paraId="7FF86BB3" w14:textId="77777777" w:rsidR="00570EEF" w:rsidRPr="00570EEF" w:rsidRDefault="00570EEF" w:rsidP="000F6998">
      <w:pPr>
        <w:jc w:val="both"/>
        <w:rPr>
          <w:rFonts w:cstheme="minorHAnsi"/>
        </w:rPr>
      </w:pPr>
      <w:r w:rsidRPr="00570EEF">
        <w:rPr>
          <w:rFonts w:cstheme="minorHAnsi"/>
        </w:rPr>
        <w:t>A summary of survey feedback and full survey results are included at Appendix F.</w:t>
      </w:r>
    </w:p>
    <w:p w14:paraId="7848B5E6" w14:textId="77777777" w:rsidR="00570EEF" w:rsidRPr="00570EEF" w:rsidRDefault="00570EEF" w:rsidP="000F6998">
      <w:pPr>
        <w:ind w:right="874"/>
        <w:jc w:val="both"/>
        <w:rPr>
          <w:rFonts w:cstheme="minorHAnsi"/>
          <w:b/>
        </w:rPr>
      </w:pPr>
      <w:r w:rsidRPr="00570EEF">
        <w:rPr>
          <w:rFonts w:cstheme="minorHAnsi"/>
          <w:b/>
        </w:rPr>
        <w:t>Targeted Roundtables</w:t>
      </w:r>
    </w:p>
    <w:p w14:paraId="1877384F" w14:textId="77777777" w:rsidR="00570EEF" w:rsidRPr="00F37CD8" w:rsidRDefault="00570EEF" w:rsidP="00F37CD8">
      <w:pPr>
        <w:jc w:val="both"/>
        <w:rPr>
          <w:rFonts w:cstheme="minorHAnsi"/>
        </w:rPr>
      </w:pPr>
      <w:r w:rsidRPr="00570EEF">
        <w:rPr>
          <w:rFonts w:cstheme="minorHAnsi"/>
        </w:rPr>
        <w:t xml:space="preserve">Targeted roundtables were conducted with key </w:t>
      </w:r>
      <w:r w:rsidRPr="00F37CD8">
        <w:rPr>
          <w:rFonts w:cstheme="minorHAnsi"/>
        </w:rPr>
        <w:t>stakeholders on recommendations of particular importance/sensitive recommendations. Three targeted consultations roundtables were hosted by OFW:</w:t>
      </w:r>
    </w:p>
    <w:tbl>
      <w:tblPr>
        <w:tblStyle w:val="GridTable5Dark-Accent5"/>
        <w:tblpPr w:leftFromText="180" w:rightFromText="180" w:vertAnchor="text" w:horzAnchor="margin" w:tblpY="78"/>
        <w:tblW w:w="9209" w:type="dxa"/>
        <w:tblLook w:val="04A0" w:firstRow="1" w:lastRow="0" w:firstColumn="1" w:lastColumn="0" w:noHBand="0" w:noVBand="1"/>
      </w:tblPr>
      <w:tblGrid>
        <w:gridCol w:w="1696"/>
        <w:gridCol w:w="1887"/>
        <w:gridCol w:w="5626"/>
      </w:tblGrid>
      <w:tr w:rsidR="00570EEF" w:rsidRPr="00570EEF" w14:paraId="1646F713" w14:textId="77777777" w:rsidTr="007E085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0B7FD00" w14:textId="77777777" w:rsidR="00570EEF" w:rsidRPr="005F2F31" w:rsidRDefault="00570EEF" w:rsidP="005F2F31">
            <w:pPr>
              <w:rPr>
                <w:rFonts w:eastAsia="Times New Roman" w:cstheme="minorHAnsi"/>
                <w:lang w:eastAsia="en-GB"/>
              </w:rPr>
            </w:pPr>
            <w:r w:rsidRPr="005F2F31">
              <w:rPr>
                <w:rFonts w:eastAsia="Times New Roman" w:cstheme="minorHAnsi"/>
                <w:lang w:eastAsia="en-GB"/>
              </w:rPr>
              <w:t>Date</w:t>
            </w:r>
          </w:p>
        </w:tc>
        <w:tc>
          <w:tcPr>
            <w:tcW w:w="1887" w:type="dxa"/>
            <w:vAlign w:val="center"/>
          </w:tcPr>
          <w:p w14:paraId="1D71BBB9" w14:textId="77777777" w:rsidR="00570EEF" w:rsidRPr="005F2F31" w:rsidRDefault="00570EEF" w:rsidP="005F2F31">
            <w:pP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5F2F31">
              <w:rPr>
                <w:rFonts w:eastAsia="Times New Roman" w:cstheme="minorHAnsi"/>
                <w:lang w:eastAsia="en-GB"/>
              </w:rPr>
              <w:t>Roundtable Topic</w:t>
            </w:r>
          </w:p>
        </w:tc>
        <w:tc>
          <w:tcPr>
            <w:tcW w:w="5626" w:type="dxa"/>
            <w:vAlign w:val="center"/>
          </w:tcPr>
          <w:p w14:paraId="2F3B7011" w14:textId="77777777" w:rsidR="00570EEF" w:rsidRPr="005F2F31" w:rsidRDefault="00570EEF" w:rsidP="005F2F31">
            <w:pP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5F2F31">
              <w:rPr>
                <w:rFonts w:eastAsia="Times New Roman" w:cstheme="minorHAnsi"/>
                <w:lang w:eastAsia="en-GB"/>
              </w:rPr>
              <w:t>Stakeholders</w:t>
            </w:r>
          </w:p>
        </w:tc>
      </w:tr>
      <w:tr w:rsidR="00570EEF" w:rsidRPr="00570EEF" w14:paraId="5B3D7091" w14:textId="77777777" w:rsidTr="007E085D">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696" w:type="dxa"/>
          </w:tcPr>
          <w:p w14:paraId="3B813E8A" w14:textId="77777777" w:rsidR="00570EEF" w:rsidRPr="005F2F31" w:rsidRDefault="00570EEF" w:rsidP="000F6998">
            <w:pPr>
              <w:jc w:val="both"/>
              <w:rPr>
                <w:rFonts w:eastAsia="Times New Roman" w:cstheme="minorHAnsi"/>
                <w:lang w:eastAsia="en-GB"/>
              </w:rPr>
            </w:pPr>
            <w:r w:rsidRPr="005F2F31">
              <w:rPr>
                <w:rFonts w:eastAsia="Times New Roman" w:cstheme="minorHAnsi"/>
                <w:lang w:eastAsia="en-GB"/>
              </w:rPr>
              <w:t>19 September 2022</w:t>
            </w:r>
          </w:p>
        </w:tc>
        <w:tc>
          <w:tcPr>
            <w:tcW w:w="1887" w:type="dxa"/>
          </w:tcPr>
          <w:p w14:paraId="6848F52B" w14:textId="77777777" w:rsidR="00570EEF" w:rsidRPr="00570EEF" w:rsidRDefault="00570EEF"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70EEF">
              <w:rPr>
                <w:rFonts w:eastAsia="Times New Roman" w:cstheme="minorHAnsi"/>
                <w:bCs/>
                <w:lang w:eastAsia="en-GB"/>
              </w:rPr>
              <w:t>Collection of data from employees identifying as non-binary (Rec 7.2)</w:t>
            </w:r>
          </w:p>
        </w:tc>
        <w:tc>
          <w:tcPr>
            <w:tcW w:w="5626" w:type="dxa"/>
          </w:tcPr>
          <w:p w14:paraId="51F265EF" w14:textId="77777777" w:rsidR="00570EEF" w:rsidRPr="00570EEF" w:rsidRDefault="00570EEF"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70EEF">
              <w:rPr>
                <w:rFonts w:eastAsia="Times New Roman" w:cstheme="minorHAnsi"/>
                <w:lang w:eastAsia="en-GB"/>
              </w:rPr>
              <w:t>Consultation with organisations and experts that capture voices of non-binary people in Australia.  The Stakeholder List included LGBTQI+ peaks, advocacy organisations as well as some WGEA-reporting employers.</w:t>
            </w:r>
          </w:p>
        </w:tc>
      </w:tr>
      <w:tr w:rsidR="00570EEF" w:rsidRPr="00570EEF" w14:paraId="40D84270" w14:textId="77777777" w:rsidTr="007E085D">
        <w:trPr>
          <w:trHeight w:val="1366"/>
        </w:trPr>
        <w:tc>
          <w:tcPr>
            <w:cnfStyle w:val="001000000000" w:firstRow="0" w:lastRow="0" w:firstColumn="1" w:lastColumn="0" w:oddVBand="0" w:evenVBand="0" w:oddHBand="0" w:evenHBand="0" w:firstRowFirstColumn="0" w:firstRowLastColumn="0" w:lastRowFirstColumn="0" w:lastRowLastColumn="0"/>
            <w:tcW w:w="1696" w:type="dxa"/>
          </w:tcPr>
          <w:p w14:paraId="5F145659" w14:textId="77777777" w:rsidR="00570EEF" w:rsidRPr="005F2F31" w:rsidRDefault="00570EEF" w:rsidP="000F6998">
            <w:pPr>
              <w:jc w:val="both"/>
              <w:rPr>
                <w:rFonts w:eastAsia="Times New Roman" w:cstheme="minorHAnsi"/>
                <w:lang w:eastAsia="en-GB"/>
              </w:rPr>
            </w:pPr>
            <w:r w:rsidRPr="005F2F31">
              <w:rPr>
                <w:rFonts w:eastAsia="Times New Roman" w:cstheme="minorHAnsi"/>
                <w:lang w:eastAsia="en-GB"/>
              </w:rPr>
              <w:t>20 September 2022</w:t>
            </w:r>
          </w:p>
        </w:tc>
        <w:tc>
          <w:tcPr>
            <w:tcW w:w="1887" w:type="dxa"/>
          </w:tcPr>
          <w:p w14:paraId="2A416ED9" w14:textId="77777777" w:rsidR="00570EEF" w:rsidRPr="00570EEF" w:rsidRDefault="00570EEF" w:rsidP="000F699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570EEF">
              <w:rPr>
                <w:rFonts w:eastAsia="Times New Roman" w:cstheme="minorHAnsi"/>
                <w:bCs/>
                <w:lang w:eastAsia="en-GB"/>
              </w:rPr>
              <w:t xml:space="preserve">Peak business bodies </w:t>
            </w:r>
            <w:r w:rsidRPr="00570EEF">
              <w:rPr>
                <w:rFonts w:eastAsia="Times New Roman" w:cstheme="minorHAnsi"/>
                <w:lang w:eastAsia="en-GB"/>
              </w:rPr>
              <w:t>(generally covering the Review, in particular Recs 2 and 3)</w:t>
            </w:r>
          </w:p>
        </w:tc>
        <w:tc>
          <w:tcPr>
            <w:tcW w:w="5626" w:type="dxa"/>
          </w:tcPr>
          <w:p w14:paraId="2B463E7E" w14:textId="77777777" w:rsidR="00570EEF" w:rsidRPr="00570EEF" w:rsidRDefault="00570EEF" w:rsidP="000F6998">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570EEF">
              <w:rPr>
                <w:rFonts w:eastAsia="Times New Roman" w:cstheme="minorHAnsi"/>
                <w:lang w:eastAsia="en-GB"/>
              </w:rPr>
              <w:t>The third roundtable did not address specific recommendations, but rather provided peak business bodies the opportunity to speak to areas of the Review that were of interest or concern. The Australian Industry Group and Business Council of Australia were among those invited to this consultation.</w:t>
            </w:r>
          </w:p>
        </w:tc>
      </w:tr>
      <w:tr w:rsidR="00570EEF" w:rsidRPr="00570EEF" w14:paraId="16514BEF" w14:textId="77777777" w:rsidTr="007E085D">
        <w:trPr>
          <w:cnfStyle w:val="000000100000" w:firstRow="0" w:lastRow="0" w:firstColumn="0" w:lastColumn="0" w:oddVBand="0" w:evenVBand="0" w:oddHBand="1" w:evenHBand="0" w:firstRowFirstColumn="0" w:firstRowLastColumn="0" w:lastRowFirstColumn="0" w:lastRowLastColumn="0"/>
          <w:trHeight w:val="1302"/>
        </w:trPr>
        <w:tc>
          <w:tcPr>
            <w:cnfStyle w:val="001000000000" w:firstRow="0" w:lastRow="0" w:firstColumn="1" w:lastColumn="0" w:oddVBand="0" w:evenVBand="0" w:oddHBand="0" w:evenHBand="0" w:firstRowFirstColumn="0" w:firstRowLastColumn="0" w:lastRowFirstColumn="0" w:lastRowLastColumn="0"/>
            <w:tcW w:w="1696" w:type="dxa"/>
          </w:tcPr>
          <w:p w14:paraId="43799449" w14:textId="77777777" w:rsidR="00570EEF" w:rsidRPr="005F2F31" w:rsidRDefault="00570EEF" w:rsidP="000F6998">
            <w:pPr>
              <w:jc w:val="both"/>
              <w:rPr>
                <w:rFonts w:eastAsia="Times New Roman" w:cstheme="minorHAnsi"/>
                <w:lang w:eastAsia="en-GB"/>
              </w:rPr>
            </w:pPr>
            <w:r w:rsidRPr="005F2F31">
              <w:rPr>
                <w:rFonts w:eastAsia="Times New Roman" w:cstheme="minorHAnsi"/>
                <w:lang w:eastAsia="en-GB"/>
              </w:rPr>
              <w:t>21 September 2022</w:t>
            </w:r>
          </w:p>
        </w:tc>
        <w:tc>
          <w:tcPr>
            <w:tcW w:w="1887" w:type="dxa"/>
          </w:tcPr>
          <w:p w14:paraId="2A3A86F1" w14:textId="77777777" w:rsidR="00570EEF" w:rsidRPr="00570EEF" w:rsidRDefault="00570EEF"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70EEF">
              <w:rPr>
                <w:rFonts w:eastAsia="Times New Roman" w:cstheme="minorHAnsi"/>
                <w:bCs/>
                <w:lang w:eastAsia="en-GB"/>
              </w:rPr>
              <w:t>Partnerships (Rec 7.3(b))</w:t>
            </w:r>
            <w:r w:rsidRPr="00570EEF">
              <w:rPr>
                <w:rFonts w:eastAsia="Times New Roman" w:cstheme="minorHAnsi"/>
                <w:lang w:eastAsia="en-GB"/>
              </w:rPr>
              <w:t xml:space="preserve"> </w:t>
            </w:r>
          </w:p>
        </w:tc>
        <w:tc>
          <w:tcPr>
            <w:tcW w:w="5626" w:type="dxa"/>
          </w:tcPr>
          <w:p w14:paraId="22579DE6" w14:textId="77777777" w:rsidR="00570EEF" w:rsidRPr="00570EEF" w:rsidRDefault="00570EEF" w:rsidP="000F6998">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570EEF">
              <w:rPr>
                <w:rFonts w:eastAsia="Times New Roman" w:cstheme="minorHAnsi"/>
                <w:lang w:eastAsia="en-GB"/>
              </w:rPr>
              <w:t>This discussion with stakeholders was around the challenges and opportunities of partnership structures reporting to WGEA. The stakeholder list included a mix of legal and accounting firms recommended by WGEA and with knowledge of WGEA reporting.</w:t>
            </w:r>
          </w:p>
        </w:tc>
      </w:tr>
    </w:tbl>
    <w:p w14:paraId="47DADF53" w14:textId="77777777" w:rsidR="00570EEF" w:rsidRPr="00570EEF" w:rsidRDefault="00570EEF" w:rsidP="000F6998">
      <w:pPr>
        <w:keepNext/>
        <w:keepLines/>
        <w:spacing w:before="40" w:after="0"/>
        <w:jc w:val="both"/>
        <w:outlineLvl w:val="1"/>
        <w:rPr>
          <w:rFonts w:asciiTheme="majorHAnsi" w:eastAsiaTheme="majorEastAsia" w:hAnsiTheme="majorHAnsi" w:cstheme="majorBidi"/>
          <w:color w:val="2E74B5" w:themeColor="accent1" w:themeShade="BF"/>
          <w:lang w:val="en-GB"/>
        </w:rPr>
      </w:pPr>
    </w:p>
    <w:p w14:paraId="5D6E48DE" w14:textId="77777777" w:rsidR="00F37CD8" w:rsidRDefault="00570EEF" w:rsidP="00F37CD8">
      <w:pPr>
        <w:ind w:right="874"/>
        <w:jc w:val="both"/>
        <w:rPr>
          <w:rFonts w:cstheme="minorHAnsi"/>
        </w:rPr>
      </w:pPr>
      <w:r w:rsidRPr="00570EEF">
        <w:rPr>
          <w:rFonts w:cstheme="minorHAnsi"/>
        </w:rPr>
        <w:t>Copies of the Agendas are at Appendix G.</w:t>
      </w:r>
    </w:p>
    <w:p w14:paraId="15197071" w14:textId="55634C2D" w:rsidR="00570EEF" w:rsidRPr="00570EEF" w:rsidRDefault="00570EEF" w:rsidP="00F37CD8">
      <w:pPr>
        <w:jc w:val="both"/>
        <w:rPr>
          <w:rFonts w:cstheme="minorHAnsi"/>
        </w:rPr>
      </w:pPr>
      <w:r w:rsidRPr="00570EEF">
        <w:rPr>
          <w:rFonts w:cstheme="minorHAnsi"/>
        </w:rPr>
        <w:t xml:space="preserve">Roundtables were designed in order to create an accessible environment for all stakeholders. Roundtables were targeted and efficient and were held virtually, in order to reach a wide range of stakeholders and to ensure flexibility for attendees. All three roundtables were chaired by </w:t>
      </w:r>
      <w:r w:rsidR="00B227EA">
        <w:rPr>
          <w:rFonts w:cstheme="minorHAnsi"/>
        </w:rPr>
        <w:t>a</w:t>
      </w:r>
      <w:r w:rsidRPr="00570EEF">
        <w:rPr>
          <w:rFonts w:cstheme="minorHAnsi"/>
        </w:rPr>
        <w:t xml:space="preserve"> Director</w:t>
      </w:r>
      <w:r w:rsidR="00B227EA">
        <w:rPr>
          <w:rFonts w:cstheme="minorHAnsi"/>
        </w:rPr>
        <w:t xml:space="preserve"> in</w:t>
      </w:r>
      <w:r w:rsidRPr="00570EEF">
        <w:rPr>
          <w:rFonts w:cstheme="minorHAnsi"/>
        </w:rPr>
        <w:t xml:space="preserve"> Women’s Economic Policy, OFW, and were attended by WGEA as an observer. Roundtables were conducted under Chatham House Rules to encourage honest and open discussion. Therefore, de-identified summaries of the key points are provided below. The roundtables were valuable sessions where the OFW was able to draw out more detail regarding stakeholder concerns. There was a generally high level of support for the data collection work WGEA does, particularly through the non-binary and peak body consultation. </w:t>
      </w:r>
    </w:p>
    <w:p w14:paraId="0BFB5FF1" w14:textId="77777777" w:rsidR="00570EEF" w:rsidRPr="00570EEF" w:rsidRDefault="00570EEF" w:rsidP="000F6998">
      <w:pPr>
        <w:keepNext/>
        <w:keepLines/>
        <w:spacing w:before="40" w:after="0"/>
        <w:jc w:val="both"/>
        <w:outlineLvl w:val="1"/>
        <w:rPr>
          <w:rFonts w:asciiTheme="majorHAnsi" w:eastAsiaTheme="majorEastAsia" w:hAnsiTheme="majorHAnsi" w:cstheme="majorBidi"/>
          <w:color w:val="2E74B5" w:themeColor="accent1" w:themeShade="BF"/>
          <w:sz w:val="26"/>
          <w:szCs w:val="26"/>
        </w:rPr>
      </w:pPr>
      <w:bookmarkStart w:id="121" w:name="_Toc125714740"/>
      <w:r w:rsidRPr="00570EEF">
        <w:rPr>
          <w:rFonts w:asciiTheme="majorHAnsi" w:eastAsiaTheme="majorEastAsia" w:hAnsiTheme="majorHAnsi" w:cstheme="majorBidi"/>
          <w:color w:val="2E74B5" w:themeColor="accent1" w:themeShade="BF"/>
          <w:sz w:val="26"/>
          <w:szCs w:val="26"/>
        </w:rPr>
        <w:t>10.4 Principal Views of Stakeholders</w:t>
      </w:r>
      <w:bookmarkEnd w:id="121"/>
      <w:r w:rsidRPr="00570EEF">
        <w:rPr>
          <w:rFonts w:asciiTheme="majorHAnsi" w:eastAsiaTheme="majorEastAsia" w:hAnsiTheme="majorHAnsi" w:cstheme="majorBidi"/>
          <w:color w:val="2E74B5" w:themeColor="accent1" w:themeShade="BF"/>
          <w:sz w:val="26"/>
          <w:szCs w:val="26"/>
        </w:rPr>
        <w:t xml:space="preserve"> </w:t>
      </w:r>
    </w:p>
    <w:p w14:paraId="459C5F91" w14:textId="77777777" w:rsidR="00570EEF" w:rsidRPr="00570EEF" w:rsidRDefault="00570EEF" w:rsidP="000F6998">
      <w:pPr>
        <w:jc w:val="both"/>
        <w:rPr>
          <w:b/>
          <w:bCs/>
        </w:rPr>
      </w:pPr>
      <w:r w:rsidRPr="00570EEF">
        <w:rPr>
          <w:bCs/>
        </w:rPr>
        <w:t>The principal views raised by stakeholders through both the survey and the roundtables are set out below.</w:t>
      </w:r>
    </w:p>
    <w:p w14:paraId="1B0B0E4D" w14:textId="77777777" w:rsidR="00570EEF" w:rsidRPr="00570EEF" w:rsidRDefault="00570EEF" w:rsidP="000F6998">
      <w:pPr>
        <w:jc w:val="both"/>
        <w:rPr>
          <w:b/>
          <w:bCs/>
        </w:rPr>
      </w:pPr>
      <w:r w:rsidRPr="00570EEF">
        <w:rPr>
          <w:b/>
          <w:bCs/>
        </w:rPr>
        <w:t>Survey</w:t>
      </w:r>
    </w:p>
    <w:p w14:paraId="12306489" w14:textId="77777777" w:rsidR="00570EEF" w:rsidRPr="00570EEF" w:rsidRDefault="00570EEF" w:rsidP="000F6998">
      <w:pPr>
        <w:numPr>
          <w:ilvl w:val="0"/>
          <w:numId w:val="54"/>
        </w:numPr>
        <w:contextualSpacing/>
        <w:jc w:val="both"/>
        <w:rPr>
          <w:bCs/>
        </w:rPr>
      </w:pPr>
      <w:r w:rsidRPr="00570EEF">
        <w:rPr>
          <w:bCs/>
        </w:rPr>
        <w:t>Publish the Organisational Gender Pay Gap (Recommendation 2 – Option 3)</w:t>
      </w:r>
    </w:p>
    <w:p w14:paraId="658D96F6" w14:textId="77777777" w:rsidR="00570EEF" w:rsidRPr="00570EEF" w:rsidRDefault="00570EEF" w:rsidP="000F6998">
      <w:pPr>
        <w:numPr>
          <w:ilvl w:val="1"/>
          <w:numId w:val="54"/>
        </w:numPr>
        <w:contextualSpacing/>
        <w:jc w:val="both"/>
        <w:rPr>
          <w:bCs/>
        </w:rPr>
      </w:pPr>
      <w:r w:rsidRPr="00570EEF">
        <w:rPr>
          <w:bCs/>
        </w:rPr>
        <w:t>Overall employers were supportive of the publication of the organisational gender pay gap.</w:t>
      </w:r>
    </w:p>
    <w:p w14:paraId="03E5483E" w14:textId="77777777" w:rsidR="00570EEF" w:rsidRPr="00570EEF" w:rsidRDefault="00570EEF" w:rsidP="000F6998">
      <w:pPr>
        <w:numPr>
          <w:ilvl w:val="1"/>
          <w:numId w:val="54"/>
        </w:numPr>
        <w:contextualSpacing/>
        <w:jc w:val="both"/>
        <w:rPr>
          <w:bCs/>
        </w:rPr>
      </w:pPr>
      <w:r w:rsidRPr="00570EEF">
        <w:rPr>
          <w:bCs/>
        </w:rPr>
        <w:t>Employers expressed a strong desire to be able to provide narrative alongside the publication of their organisational gender pay gap and the provision of information explaining the gender pay gap by WGEA.</w:t>
      </w:r>
    </w:p>
    <w:p w14:paraId="0E112315" w14:textId="77777777" w:rsidR="00570EEF" w:rsidRPr="00570EEF" w:rsidRDefault="00570EEF" w:rsidP="000F6998">
      <w:pPr>
        <w:numPr>
          <w:ilvl w:val="0"/>
          <w:numId w:val="54"/>
        </w:numPr>
        <w:contextualSpacing/>
        <w:jc w:val="both"/>
        <w:rPr>
          <w:bCs/>
        </w:rPr>
      </w:pPr>
      <w:r w:rsidRPr="00570EEF">
        <w:rPr>
          <w:bCs/>
        </w:rPr>
        <w:t>Bridge the ‘Action Gap’ with New Gender Equality Standards (Recommendation 3 – Option 3)</w:t>
      </w:r>
    </w:p>
    <w:p w14:paraId="427B84B7" w14:textId="77777777" w:rsidR="00570EEF" w:rsidRPr="00570EEF" w:rsidRDefault="00570EEF" w:rsidP="000F6998">
      <w:pPr>
        <w:numPr>
          <w:ilvl w:val="1"/>
          <w:numId w:val="54"/>
        </w:numPr>
        <w:contextualSpacing/>
        <w:jc w:val="both"/>
        <w:rPr>
          <w:bCs/>
        </w:rPr>
      </w:pPr>
      <w:r w:rsidRPr="00570EEF">
        <w:rPr>
          <w:bCs/>
        </w:rPr>
        <w:t>Stakeholders provided mixed feedback in response to whether employers would develop measurable and genuine targets; some expressed interest in developing more specific and useful targets for their organisation whilst others expressed concern about the burden of this task.</w:t>
      </w:r>
    </w:p>
    <w:p w14:paraId="179F4124" w14:textId="77777777" w:rsidR="00570EEF" w:rsidRPr="00570EEF" w:rsidRDefault="00570EEF" w:rsidP="000F6998">
      <w:pPr>
        <w:numPr>
          <w:ilvl w:val="1"/>
          <w:numId w:val="54"/>
        </w:numPr>
        <w:contextualSpacing/>
        <w:jc w:val="both"/>
        <w:rPr>
          <w:bCs/>
        </w:rPr>
      </w:pPr>
      <w:r w:rsidRPr="00570EEF">
        <w:rPr>
          <w:bCs/>
        </w:rPr>
        <w:t>Organisations were eager to obtain further information and guidance from WGEA on how to develop and progress targets.</w:t>
      </w:r>
    </w:p>
    <w:p w14:paraId="5392C1B1" w14:textId="77777777" w:rsidR="00570EEF" w:rsidRPr="00570EEF" w:rsidRDefault="00570EEF" w:rsidP="000F6998">
      <w:pPr>
        <w:numPr>
          <w:ilvl w:val="0"/>
          <w:numId w:val="54"/>
        </w:numPr>
        <w:contextualSpacing/>
        <w:jc w:val="both"/>
        <w:rPr>
          <w:bCs/>
        </w:rPr>
      </w:pPr>
      <w:r w:rsidRPr="00570EEF">
        <w:rPr>
          <w:bCs/>
        </w:rPr>
        <w:t>Refine the Gender Equality Indicators (Recommendation 7 – Option 3)</w:t>
      </w:r>
    </w:p>
    <w:p w14:paraId="401D854F" w14:textId="77777777" w:rsidR="00570EEF" w:rsidRPr="00570EEF" w:rsidRDefault="00570EEF" w:rsidP="000F6998">
      <w:pPr>
        <w:numPr>
          <w:ilvl w:val="1"/>
          <w:numId w:val="54"/>
        </w:numPr>
        <w:contextualSpacing/>
        <w:jc w:val="both"/>
        <w:rPr>
          <w:bCs/>
        </w:rPr>
      </w:pPr>
      <w:r w:rsidRPr="00570EEF">
        <w:rPr>
          <w:bCs/>
        </w:rPr>
        <w:t>Organisations were generally concerned about the increased burden required to report at ANZSCO level 4 but a majority also indicted that they were well placed to report on manager categories at an entity level.</w:t>
      </w:r>
    </w:p>
    <w:p w14:paraId="478FF1A7" w14:textId="77777777" w:rsidR="00570EEF" w:rsidRPr="00570EEF" w:rsidRDefault="00570EEF" w:rsidP="000F6998">
      <w:pPr>
        <w:numPr>
          <w:ilvl w:val="1"/>
          <w:numId w:val="54"/>
        </w:numPr>
        <w:contextualSpacing/>
        <w:jc w:val="both"/>
        <w:rPr>
          <w:bCs/>
        </w:rPr>
      </w:pPr>
      <w:r w:rsidRPr="00570EEF">
        <w:rPr>
          <w:bCs/>
        </w:rPr>
        <w:t>Organisations had mixed views on the reporting date with some expressing a preference for the calendar or financial year and others preferring the current 31 March reporting period.</w:t>
      </w:r>
    </w:p>
    <w:p w14:paraId="30DF9B64" w14:textId="77777777" w:rsidR="005A4333" w:rsidRDefault="005A4333" w:rsidP="000F6998">
      <w:pPr>
        <w:jc w:val="both"/>
        <w:rPr>
          <w:b/>
          <w:bCs/>
        </w:rPr>
      </w:pPr>
    </w:p>
    <w:p w14:paraId="78367838" w14:textId="6B54D797" w:rsidR="00570EEF" w:rsidRPr="00570EEF" w:rsidRDefault="00570EEF" w:rsidP="000F6998">
      <w:pPr>
        <w:jc w:val="both"/>
        <w:rPr>
          <w:b/>
          <w:bCs/>
        </w:rPr>
      </w:pPr>
      <w:r w:rsidRPr="00570EEF">
        <w:rPr>
          <w:b/>
          <w:bCs/>
        </w:rPr>
        <w:t>Roundtables</w:t>
      </w:r>
    </w:p>
    <w:p w14:paraId="5CAEF367" w14:textId="77777777" w:rsidR="00570EEF" w:rsidRPr="00570EEF" w:rsidRDefault="00570EEF" w:rsidP="000F6998">
      <w:pPr>
        <w:numPr>
          <w:ilvl w:val="0"/>
          <w:numId w:val="54"/>
        </w:numPr>
        <w:contextualSpacing/>
        <w:jc w:val="both"/>
      </w:pPr>
      <w:r w:rsidRPr="00570EEF">
        <w:t>Collection</w:t>
      </w:r>
      <w:r w:rsidRPr="00570EEF">
        <w:rPr>
          <w:bCs/>
        </w:rPr>
        <w:t xml:space="preserve"> of data from employees identifying as non-binary</w:t>
      </w:r>
      <w:r w:rsidRPr="00570EEF">
        <w:t xml:space="preserve"> (Recommendation 7.2 of the Review – Option 3) </w:t>
      </w:r>
    </w:p>
    <w:p w14:paraId="3EBCA862" w14:textId="77777777" w:rsidR="00570EEF" w:rsidRPr="00570EEF" w:rsidRDefault="00570EEF" w:rsidP="000F6998">
      <w:pPr>
        <w:numPr>
          <w:ilvl w:val="1"/>
          <w:numId w:val="54"/>
        </w:numPr>
        <w:contextualSpacing/>
        <w:jc w:val="both"/>
      </w:pPr>
      <w:r w:rsidRPr="00570EEF">
        <w:t>Businesses are at different stages of readiness in terms of collecting and reporting non-binary employee data. It may be useful to have a runway (through a few years of voluntary reporting ahead of mandatory reporting) to allow businesses to develop this capability. Multinationals in particular often use international HR systems that are developed in other countries and will need time to make country-level updates;</w:t>
      </w:r>
    </w:p>
    <w:p w14:paraId="66949C01" w14:textId="77777777" w:rsidR="00570EEF" w:rsidRPr="00570EEF" w:rsidRDefault="00570EEF" w:rsidP="000F6998">
      <w:pPr>
        <w:numPr>
          <w:ilvl w:val="1"/>
          <w:numId w:val="54"/>
        </w:numPr>
        <w:contextualSpacing/>
        <w:jc w:val="both"/>
      </w:pPr>
      <w:r w:rsidRPr="00570EEF">
        <w:t>A staged approach will help businesses to ensure data is pulled from internal systems and provided to WGEA in the right format. Despite there being a variety of HR systems and databases, there was a general willingness from stakeholders to work to get WGEA standardised data;</w:t>
      </w:r>
    </w:p>
    <w:p w14:paraId="6E31BB7C" w14:textId="77777777" w:rsidR="00570EEF" w:rsidRPr="00570EEF" w:rsidRDefault="00570EEF" w:rsidP="000F6998">
      <w:pPr>
        <w:numPr>
          <w:ilvl w:val="1"/>
          <w:numId w:val="54"/>
        </w:numPr>
        <w:contextualSpacing/>
        <w:jc w:val="both"/>
      </w:pPr>
      <w:r w:rsidRPr="00570EEF">
        <w:t>A variety of methods are currently employed by businesses in order to collect gender data from employees. The success of data collection is often closely tied to the workplace culture of a business;</w:t>
      </w:r>
    </w:p>
    <w:p w14:paraId="04F27E2F" w14:textId="02A50E04" w:rsidR="00570EEF" w:rsidRDefault="00570EEF" w:rsidP="000F6998">
      <w:pPr>
        <w:numPr>
          <w:ilvl w:val="1"/>
          <w:numId w:val="54"/>
        </w:numPr>
        <w:contextualSpacing/>
        <w:jc w:val="both"/>
      </w:pPr>
      <w:r w:rsidRPr="00570EEF">
        <w:t xml:space="preserve">Cultural safety, and resources around improving cultural safety at work, are key to the discussion on non-binary employee data. A staged approach will better allow for dissemination of resources to support the safety of non-binary employees. </w:t>
      </w:r>
    </w:p>
    <w:p w14:paraId="11175FA3" w14:textId="77777777" w:rsidR="00325DE5" w:rsidRPr="00570EEF" w:rsidRDefault="00325DE5" w:rsidP="00325DE5">
      <w:pPr>
        <w:ind w:left="1440"/>
        <w:contextualSpacing/>
        <w:jc w:val="both"/>
      </w:pPr>
    </w:p>
    <w:p w14:paraId="65DF878C" w14:textId="77777777" w:rsidR="00570EEF" w:rsidRPr="00570EEF" w:rsidRDefault="00570EEF" w:rsidP="000F6998">
      <w:pPr>
        <w:numPr>
          <w:ilvl w:val="0"/>
          <w:numId w:val="54"/>
        </w:numPr>
        <w:contextualSpacing/>
        <w:jc w:val="both"/>
      </w:pPr>
      <w:r w:rsidRPr="00570EEF">
        <w:t xml:space="preserve">Peak business bodies roundtable (generally covering the Review, in particular Recommendations 2 and 3 – Option 3) </w:t>
      </w:r>
    </w:p>
    <w:p w14:paraId="4B5FE1B9" w14:textId="77777777" w:rsidR="00570EEF" w:rsidRPr="00570EEF" w:rsidRDefault="00570EEF" w:rsidP="000F6998">
      <w:pPr>
        <w:numPr>
          <w:ilvl w:val="1"/>
          <w:numId w:val="54"/>
        </w:numPr>
        <w:contextualSpacing/>
        <w:jc w:val="both"/>
      </w:pPr>
      <w:r w:rsidRPr="00570EEF">
        <w:t>A number of Peaks are aware of WGEA’s current resources and circulate them to their members;</w:t>
      </w:r>
    </w:p>
    <w:p w14:paraId="38634435" w14:textId="77777777" w:rsidR="00570EEF" w:rsidRPr="00570EEF" w:rsidRDefault="00570EEF" w:rsidP="000F6998">
      <w:pPr>
        <w:numPr>
          <w:ilvl w:val="1"/>
          <w:numId w:val="54"/>
        </w:numPr>
        <w:contextualSpacing/>
        <w:jc w:val="both"/>
      </w:pPr>
      <w:r w:rsidRPr="00570EEF">
        <w:t>Peaks expressed support for publishing organisational gender pay gaps (Recommendation 2 – Option 3) but underlined that an education campaign (so people better understand what the gender pay gap is) will be important to its success;</w:t>
      </w:r>
    </w:p>
    <w:p w14:paraId="533C8277" w14:textId="77777777" w:rsidR="00570EEF" w:rsidRPr="00570EEF" w:rsidRDefault="00570EEF" w:rsidP="000F6998">
      <w:pPr>
        <w:numPr>
          <w:ilvl w:val="1"/>
          <w:numId w:val="54"/>
        </w:numPr>
        <w:contextualSpacing/>
        <w:jc w:val="both"/>
      </w:pPr>
      <w:r w:rsidRPr="00570EEF">
        <w:t>Some Peaks considered that businesses being able to publish an explanatory statement alongside organisations’ pay gaps would be helpful;</w:t>
      </w:r>
    </w:p>
    <w:p w14:paraId="5365E792" w14:textId="77777777" w:rsidR="00570EEF" w:rsidRPr="00570EEF" w:rsidRDefault="00570EEF" w:rsidP="000F6998">
      <w:pPr>
        <w:numPr>
          <w:ilvl w:val="1"/>
          <w:numId w:val="54"/>
        </w:numPr>
        <w:contextualSpacing/>
        <w:jc w:val="both"/>
      </w:pPr>
      <w:r w:rsidRPr="00570EEF">
        <w:t>There was general support for the setting and measuring of targets (Recommendation 3 – Option 3);</w:t>
      </w:r>
    </w:p>
    <w:p w14:paraId="0771ABCD" w14:textId="77777777" w:rsidR="00570EEF" w:rsidRPr="00570EEF" w:rsidRDefault="00570EEF" w:rsidP="000F6998">
      <w:pPr>
        <w:numPr>
          <w:ilvl w:val="2"/>
          <w:numId w:val="54"/>
        </w:numPr>
        <w:contextualSpacing/>
        <w:jc w:val="both"/>
      </w:pPr>
      <w:r w:rsidRPr="00570EEF">
        <w:t>Peaks pointed out that different businesses would benefit from different types of targets;</w:t>
      </w:r>
    </w:p>
    <w:p w14:paraId="2ED89032" w14:textId="77777777" w:rsidR="00570EEF" w:rsidRPr="00570EEF" w:rsidRDefault="00570EEF" w:rsidP="000F6998">
      <w:pPr>
        <w:numPr>
          <w:ilvl w:val="2"/>
          <w:numId w:val="54"/>
        </w:numPr>
        <w:contextualSpacing/>
        <w:jc w:val="both"/>
      </w:pPr>
      <w:r w:rsidRPr="00570EEF">
        <w:t xml:space="preserve">A number of Peaks felt that successful targets were not too prescriptive and when successful, often tied targets to organisations’ broader strategies. Some stakeholders stated that longer term targets would be better than year on year targets; </w:t>
      </w:r>
    </w:p>
    <w:p w14:paraId="452094E5" w14:textId="3DAD03D1" w:rsidR="00570EEF" w:rsidRDefault="00570EEF" w:rsidP="00325DE5">
      <w:pPr>
        <w:numPr>
          <w:ilvl w:val="2"/>
          <w:numId w:val="54"/>
        </w:numPr>
        <w:spacing w:after="360"/>
        <w:ind w:left="2154" w:hanging="357"/>
        <w:contextualSpacing/>
        <w:jc w:val="both"/>
      </w:pPr>
      <w:r w:rsidRPr="00570EEF">
        <w:t>There was interest in further resources from WGEA on developing targets and interest in an increased role for WGEA to work directly with employers to ensure the success of targets</w:t>
      </w:r>
      <w:r w:rsidR="00BE3AEC">
        <w:t>.</w:t>
      </w:r>
    </w:p>
    <w:p w14:paraId="1651311F" w14:textId="77777777" w:rsidR="00325DE5" w:rsidRPr="00570EEF" w:rsidRDefault="00325DE5" w:rsidP="00325DE5">
      <w:pPr>
        <w:spacing w:after="360"/>
        <w:ind w:left="2154"/>
        <w:contextualSpacing/>
        <w:jc w:val="both"/>
      </w:pPr>
    </w:p>
    <w:p w14:paraId="3E1CB88A" w14:textId="77777777" w:rsidR="00570EEF" w:rsidRPr="00570EEF" w:rsidRDefault="00570EEF" w:rsidP="00325DE5">
      <w:pPr>
        <w:numPr>
          <w:ilvl w:val="0"/>
          <w:numId w:val="54"/>
        </w:numPr>
        <w:spacing w:before="480"/>
        <w:ind w:left="714" w:hanging="357"/>
        <w:contextualSpacing/>
        <w:jc w:val="both"/>
      </w:pPr>
      <w:r w:rsidRPr="00570EEF">
        <w:t xml:space="preserve">Partnerships roundtable (Recommendation 7.3(b) – Option 3) </w:t>
      </w:r>
    </w:p>
    <w:p w14:paraId="6EE067E9" w14:textId="77777777" w:rsidR="00570EEF" w:rsidRPr="00570EEF" w:rsidRDefault="00570EEF" w:rsidP="000F6998">
      <w:pPr>
        <w:numPr>
          <w:ilvl w:val="1"/>
          <w:numId w:val="54"/>
        </w:numPr>
        <w:contextualSpacing/>
        <w:jc w:val="both"/>
      </w:pPr>
      <w:r w:rsidRPr="00570EEF">
        <w:t>Some partnerships already voluntarily report as much data as they can to WGEA, others do not;</w:t>
      </w:r>
    </w:p>
    <w:p w14:paraId="31FF576C" w14:textId="77777777" w:rsidR="00570EEF" w:rsidRPr="00570EEF" w:rsidRDefault="00570EEF" w:rsidP="000F6998">
      <w:pPr>
        <w:numPr>
          <w:ilvl w:val="1"/>
          <w:numId w:val="54"/>
        </w:numPr>
        <w:contextualSpacing/>
        <w:jc w:val="both"/>
      </w:pPr>
      <w:r w:rsidRPr="00570EEF">
        <w:t>Stakeholders were concerned about the ability for partnership structures to report in the same way as employees currently do due to the large variety of partnership structures and differences in the roles of partners and employees;</w:t>
      </w:r>
    </w:p>
    <w:p w14:paraId="2BC994CA" w14:textId="77777777" w:rsidR="00570EEF" w:rsidRPr="00570EEF" w:rsidRDefault="00570EEF" w:rsidP="000F6998">
      <w:pPr>
        <w:numPr>
          <w:ilvl w:val="1"/>
          <w:numId w:val="54"/>
        </w:numPr>
        <w:contextualSpacing/>
        <w:jc w:val="both"/>
      </w:pPr>
      <w:r w:rsidRPr="00570EEF">
        <w:t>Stakeholders were keen to underline that the most value from WGEA’s data analysis would be drawn from a like-for-like comparison, but questioned how a like-for-like comparison could be achieved;</w:t>
      </w:r>
    </w:p>
    <w:p w14:paraId="6F5DD8F4" w14:textId="77777777" w:rsidR="00570EEF" w:rsidRPr="00570EEF" w:rsidRDefault="00570EEF" w:rsidP="000F6998">
      <w:pPr>
        <w:numPr>
          <w:ilvl w:val="1"/>
          <w:numId w:val="54"/>
        </w:numPr>
        <w:contextualSpacing/>
        <w:jc w:val="both"/>
      </w:pPr>
      <w:r w:rsidRPr="00570EEF">
        <w:t>One complexity that was raised was that partners do not receive a salary in the same way employees do, and take on significantly more personal financial risk than employees do. Their remuneration is drawn from a number of different sources and is often dependant on the size and success of their practice. Additionally, take home profits can be linked to economic trends and therefore year on year trends may not be demonstrative of actual gender pay gaps;</w:t>
      </w:r>
    </w:p>
    <w:p w14:paraId="7E590518" w14:textId="77777777" w:rsidR="00570EEF" w:rsidRPr="00570EEF" w:rsidRDefault="00570EEF" w:rsidP="000F6998">
      <w:pPr>
        <w:numPr>
          <w:ilvl w:val="1"/>
          <w:numId w:val="54"/>
        </w:numPr>
        <w:contextualSpacing/>
        <w:jc w:val="both"/>
      </w:pPr>
      <w:r w:rsidRPr="00570EEF">
        <w:t>A number of partnerships do already calculate their gender pay gap, set targets (some publicly) and have broader D&amp;I strategies;</w:t>
      </w:r>
    </w:p>
    <w:p w14:paraId="38255EAF" w14:textId="7099E6F1" w:rsidR="00570EEF" w:rsidRDefault="00570EEF" w:rsidP="000F6998">
      <w:pPr>
        <w:numPr>
          <w:ilvl w:val="1"/>
          <w:numId w:val="54"/>
        </w:numPr>
        <w:contextualSpacing/>
        <w:jc w:val="both"/>
      </w:pPr>
      <w:r w:rsidRPr="00570EEF">
        <w:t xml:space="preserve">Despite the many complexities and challenges, stakeholders were amenable to further discussions and expressed a preference to work closely with Government and WGEA through the development of partnership reporting. </w:t>
      </w:r>
    </w:p>
    <w:p w14:paraId="5B3DAA41" w14:textId="77777777" w:rsidR="00B82D69" w:rsidRPr="00570EEF" w:rsidRDefault="00B82D69" w:rsidP="00B82D69">
      <w:pPr>
        <w:ind w:left="1440"/>
        <w:contextualSpacing/>
        <w:jc w:val="both"/>
      </w:pPr>
    </w:p>
    <w:p w14:paraId="0CAE27E2" w14:textId="7AE82928" w:rsidR="00570EEF" w:rsidRPr="00570EEF" w:rsidRDefault="00570EEF" w:rsidP="000F6998">
      <w:pPr>
        <w:keepNext/>
        <w:keepLines/>
        <w:spacing w:before="40" w:after="0"/>
        <w:jc w:val="both"/>
        <w:outlineLvl w:val="1"/>
        <w:rPr>
          <w:rFonts w:asciiTheme="majorHAnsi" w:eastAsiaTheme="majorEastAsia" w:hAnsiTheme="majorHAnsi" w:cstheme="majorBidi"/>
          <w:color w:val="2E74B5" w:themeColor="accent1" w:themeShade="BF"/>
          <w:sz w:val="26"/>
          <w:szCs w:val="26"/>
          <w:lang w:val="en-GB"/>
        </w:rPr>
      </w:pPr>
      <w:bookmarkStart w:id="122" w:name="_Toc125714741"/>
      <w:r w:rsidRPr="00570EEF">
        <w:rPr>
          <w:rFonts w:asciiTheme="majorHAnsi" w:eastAsiaTheme="majorEastAsia" w:hAnsiTheme="majorHAnsi" w:cstheme="majorBidi"/>
          <w:color w:val="2E74B5" w:themeColor="accent1" w:themeShade="BF"/>
          <w:sz w:val="26"/>
          <w:szCs w:val="26"/>
          <w:lang w:val="en-GB"/>
        </w:rPr>
        <w:t>10.5 Implementation of Stakeholder Views</w:t>
      </w:r>
      <w:bookmarkEnd w:id="122"/>
      <w:r w:rsidRPr="00570EEF">
        <w:rPr>
          <w:rFonts w:asciiTheme="majorHAnsi" w:eastAsiaTheme="majorEastAsia" w:hAnsiTheme="majorHAnsi" w:cstheme="majorBidi"/>
          <w:color w:val="2E74B5" w:themeColor="accent1" w:themeShade="BF"/>
          <w:sz w:val="26"/>
          <w:szCs w:val="26"/>
          <w:lang w:val="en-GB"/>
        </w:rPr>
        <w:t xml:space="preserve"> </w:t>
      </w:r>
    </w:p>
    <w:p w14:paraId="103CC772" w14:textId="4C6BACF2" w:rsidR="00570EEF" w:rsidRPr="00570EEF" w:rsidRDefault="00570EEF" w:rsidP="000F6998">
      <w:pPr>
        <w:jc w:val="both"/>
        <w:rPr>
          <w:rFonts w:cstheme="minorHAnsi"/>
          <w:bCs/>
        </w:rPr>
      </w:pPr>
      <w:r w:rsidRPr="00570EEF">
        <w:rPr>
          <w:rFonts w:cstheme="minorHAnsi"/>
          <w:bCs/>
        </w:rPr>
        <w:t>The preferred policy option</w:t>
      </w:r>
      <w:r w:rsidR="00B82D69">
        <w:rPr>
          <w:rFonts w:cstheme="minorHAnsi"/>
          <w:bCs/>
        </w:rPr>
        <w:t>, Option 3,</w:t>
      </w:r>
      <w:r w:rsidRPr="00570EEF">
        <w:rPr>
          <w:rFonts w:cstheme="minorHAnsi"/>
          <w:bCs/>
        </w:rPr>
        <w:t xml:space="preserve"> has been modified to take into account stakeholder views, however, not all stakeholder feedback has been implemented and is being addressed through ongoing consultation </w:t>
      </w:r>
      <w:r w:rsidR="00D26E54">
        <w:rPr>
          <w:rFonts w:cstheme="minorHAnsi"/>
          <w:bCs/>
        </w:rPr>
        <w:t xml:space="preserve">outlined </w:t>
      </w:r>
      <w:r w:rsidRPr="00570EEF">
        <w:rPr>
          <w:rFonts w:cstheme="minorHAnsi"/>
          <w:bCs/>
        </w:rPr>
        <w:t>below.</w:t>
      </w:r>
    </w:p>
    <w:p w14:paraId="06BC18B0" w14:textId="77777777" w:rsidR="00570EEF" w:rsidRPr="00570EEF" w:rsidRDefault="00570EEF" w:rsidP="000F6998">
      <w:pPr>
        <w:jc w:val="both"/>
        <w:rPr>
          <w:rFonts w:cstheme="minorHAnsi"/>
          <w:bCs/>
        </w:rPr>
      </w:pPr>
      <w:r w:rsidRPr="00570EEF">
        <w:rPr>
          <w:rFonts w:cstheme="minorHAnsi"/>
          <w:b/>
          <w:bCs/>
        </w:rPr>
        <w:t>Stakeholder feedback not implemented</w:t>
      </w:r>
    </w:p>
    <w:p w14:paraId="790BDB38" w14:textId="3E2B1465" w:rsidR="00570EEF" w:rsidRPr="00570EEF" w:rsidRDefault="00570EEF" w:rsidP="000F6998">
      <w:pPr>
        <w:jc w:val="both"/>
        <w:rPr>
          <w:rFonts w:cstheme="minorHAnsi"/>
          <w:bCs/>
        </w:rPr>
      </w:pPr>
      <w:r w:rsidRPr="00570EEF">
        <w:rPr>
          <w:rFonts w:cstheme="minorHAnsi"/>
          <w:bCs/>
        </w:rPr>
        <w:t xml:space="preserve">There was some interest in WGEA publishing </w:t>
      </w:r>
      <w:r w:rsidR="00BE3AEC">
        <w:rPr>
          <w:rFonts w:cstheme="minorHAnsi"/>
          <w:bCs/>
        </w:rPr>
        <w:t xml:space="preserve">a </w:t>
      </w:r>
      <w:r w:rsidRPr="00570EEF">
        <w:rPr>
          <w:rFonts w:cstheme="minorHAnsi"/>
          <w:bCs/>
        </w:rPr>
        <w:t>narrative from an employer alongside the employer’s gender pay gap. This</w:t>
      </w:r>
      <w:r w:rsidR="00BE3AEC">
        <w:rPr>
          <w:rFonts w:cstheme="minorHAnsi"/>
          <w:bCs/>
        </w:rPr>
        <w:t xml:space="preserve"> will not be implemented because it</w:t>
      </w:r>
      <w:r w:rsidRPr="00570EEF">
        <w:rPr>
          <w:rFonts w:cstheme="minorHAnsi"/>
          <w:bCs/>
        </w:rPr>
        <w:t xml:space="preserve"> would require too much management and administration from WGEA. Employers, however, will be able to publish narrative on their own websites and social media with the organisational gender pay gap and comment on the actions being taken to reduce it</w:t>
      </w:r>
      <w:r w:rsidR="00D26E54">
        <w:rPr>
          <w:rFonts w:cstheme="minorHAnsi"/>
          <w:bCs/>
        </w:rPr>
        <w:t>.</w:t>
      </w:r>
    </w:p>
    <w:p w14:paraId="56E5F7E4" w14:textId="31783D99" w:rsidR="00570EEF" w:rsidRPr="00570EEF" w:rsidRDefault="00BE3AEC" w:rsidP="000F6998">
      <w:pPr>
        <w:jc w:val="both"/>
        <w:rPr>
          <w:rFonts w:cstheme="minorHAnsi"/>
          <w:bCs/>
        </w:rPr>
      </w:pPr>
      <w:r>
        <w:rPr>
          <w:rFonts w:cstheme="minorHAnsi"/>
          <w:bCs/>
        </w:rPr>
        <w:t>Some business stakeholders suggested that the WGEA reporting periods should change to either the calendar year or financial year. T</w:t>
      </w:r>
      <w:r w:rsidR="00570EEF" w:rsidRPr="00570EEF">
        <w:rPr>
          <w:rFonts w:cstheme="minorHAnsi"/>
          <w:bCs/>
        </w:rPr>
        <w:t>he reporting periods for private business</w:t>
      </w:r>
      <w:r>
        <w:rPr>
          <w:rFonts w:cstheme="minorHAnsi"/>
          <w:bCs/>
        </w:rPr>
        <w:t>, however,</w:t>
      </w:r>
      <w:r w:rsidR="00570EEF" w:rsidRPr="00570EEF">
        <w:rPr>
          <w:rFonts w:cstheme="minorHAnsi"/>
          <w:bCs/>
        </w:rPr>
        <w:t xml:space="preserve"> will not change,</w:t>
      </w:r>
      <w:r w:rsidR="00ED6718">
        <w:rPr>
          <w:rFonts w:cstheme="minorHAnsi"/>
          <w:bCs/>
        </w:rPr>
        <w:t xml:space="preserve"> </w:t>
      </w:r>
      <w:r>
        <w:rPr>
          <w:rFonts w:cstheme="minorHAnsi"/>
          <w:bCs/>
        </w:rPr>
        <w:t>and will continue to conclude on</w:t>
      </w:r>
      <w:r w:rsidR="00570EEF" w:rsidRPr="00570EEF">
        <w:rPr>
          <w:rFonts w:cstheme="minorHAnsi"/>
          <w:bCs/>
        </w:rPr>
        <w:t xml:space="preserve"> 31</w:t>
      </w:r>
      <w:r w:rsidR="00D26E54">
        <w:rPr>
          <w:rFonts w:cstheme="minorHAnsi"/>
          <w:bCs/>
        </w:rPr>
        <w:t> </w:t>
      </w:r>
      <w:r w:rsidR="00570EEF" w:rsidRPr="00570EEF">
        <w:rPr>
          <w:rFonts w:cstheme="minorHAnsi"/>
          <w:bCs/>
        </w:rPr>
        <w:t>March annually. This date is legislated and it is not within the policy authority of Review implementation to alter this date. This could be an issue revisited at the five year review.</w:t>
      </w:r>
    </w:p>
    <w:p w14:paraId="6C449C5B" w14:textId="77777777" w:rsidR="00BE3AEC" w:rsidRDefault="00BE3AEC" w:rsidP="000F6998">
      <w:pPr>
        <w:jc w:val="both"/>
        <w:rPr>
          <w:b/>
        </w:rPr>
      </w:pPr>
      <w:r>
        <w:rPr>
          <w:b/>
        </w:rPr>
        <w:t>Stakeholder feedback implemented</w:t>
      </w:r>
    </w:p>
    <w:p w14:paraId="1077248D" w14:textId="3332F0F6" w:rsidR="00BE3AEC" w:rsidRPr="00C65F93" w:rsidRDefault="00BE3AEC" w:rsidP="000F6998">
      <w:pPr>
        <w:jc w:val="both"/>
        <w:rPr>
          <w:lang w:eastAsia="en-AU"/>
        </w:rPr>
      </w:pPr>
      <w:r>
        <w:t>To implement stakeholder feedback on the implementation of m</w:t>
      </w:r>
      <w:r w:rsidR="00570EEF" w:rsidRPr="00C65F93">
        <w:t>easurable and genuine targets (Recommendation 3.1b)</w:t>
      </w:r>
      <w:bookmarkStart w:id="123" w:name="_Hlk125114379"/>
      <w:r w:rsidR="005A4333">
        <w:t xml:space="preserve"> </w:t>
      </w:r>
      <w:r w:rsidR="00570EEF" w:rsidRPr="00570EEF">
        <w:t xml:space="preserve">WGEA will </w:t>
      </w:r>
      <w:r w:rsidR="00570EEF" w:rsidRPr="00570EEF">
        <w:rPr>
          <w:lang w:eastAsia="en-AU"/>
        </w:rPr>
        <w:t>provide a list</w:t>
      </w:r>
      <w:r>
        <w:rPr>
          <w:lang w:eastAsia="en-AU"/>
        </w:rPr>
        <w:t>,</w:t>
      </w:r>
      <w:r w:rsidR="00570EEF" w:rsidRPr="00570EEF">
        <w:rPr>
          <w:lang w:eastAsia="en-AU"/>
        </w:rPr>
        <w:t xml:space="preserve"> </w:t>
      </w:r>
      <w:r w:rsidR="00D26E54">
        <w:rPr>
          <w:lang w:eastAsia="en-AU"/>
        </w:rPr>
        <w:t>or menu</w:t>
      </w:r>
      <w:r>
        <w:rPr>
          <w:lang w:eastAsia="en-AU"/>
        </w:rPr>
        <w:t>,</w:t>
      </w:r>
      <w:r w:rsidR="00D26E54">
        <w:rPr>
          <w:lang w:eastAsia="en-AU"/>
        </w:rPr>
        <w:t xml:space="preserve"> </w:t>
      </w:r>
      <w:r w:rsidR="00570EEF" w:rsidRPr="00570EEF">
        <w:rPr>
          <w:lang w:eastAsia="en-AU"/>
        </w:rPr>
        <w:t xml:space="preserve">of options for targets against the GEIs from which employers can choose. </w:t>
      </w:r>
      <w:r>
        <w:rPr>
          <w:lang w:eastAsia="en-AU"/>
        </w:rPr>
        <w:t xml:space="preserve">These targets will range in duration from one to three years. </w:t>
      </w:r>
      <w:r w:rsidR="00570EEF" w:rsidRPr="00570EEF">
        <w:rPr>
          <w:lang w:eastAsia="en-AU"/>
        </w:rPr>
        <w:t>WGEA will conduct consultation with large employers on</w:t>
      </w:r>
      <w:r>
        <w:rPr>
          <w:lang w:eastAsia="en-AU"/>
        </w:rPr>
        <w:t xml:space="preserve"> the development of</w:t>
      </w:r>
      <w:r w:rsidR="00570EEF" w:rsidRPr="00570EEF">
        <w:rPr>
          <w:lang w:eastAsia="en-AU"/>
        </w:rPr>
        <w:t xml:space="preserve"> targets with the view to consider and incorporate employer-suggested targets into the list of options.</w:t>
      </w:r>
      <w:bookmarkEnd w:id="123"/>
      <w:r w:rsidR="00570EEF" w:rsidRPr="00570EEF">
        <w:rPr>
          <w:lang w:eastAsia="en-AU"/>
        </w:rPr>
        <w:t xml:space="preserve"> </w:t>
      </w:r>
      <w:r>
        <w:rPr>
          <w:lang w:eastAsia="en-AU"/>
        </w:rPr>
        <w:t>This implements stakeholder feedback that noted the varied applicability of targets to different businesses. In addition, the varied length of target duration fulfils stakeholder feedback from Peaks that indicated longer term targets would be better.</w:t>
      </w:r>
    </w:p>
    <w:p w14:paraId="1A5856AC" w14:textId="77777777" w:rsidR="00570EEF" w:rsidRPr="00570EEF" w:rsidRDefault="00570EEF" w:rsidP="000F6998">
      <w:pPr>
        <w:keepNext/>
        <w:keepLines/>
        <w:spacing w:before="40" w:after="0"/>
        <w:jc w:val="both"/>
        <w:outlineLvl w:val="1"/>
        <w:rPr>
          <w:rFonts w:asciiTheme="majorHAnsi" w:eastAsiaTheme="majorEastAsia" w:hAnsiTheme="majorHAnsi" w:cstheme="majorBidi"/>
          <w:color w:val="2E74B5" w:themeColor="accent1" w:themeShade="BF"/>
          <w:sz w:val="26"/>
          <w:szCs w:val="26"/>
          <w:lang w:val="en-GB"/>
        </w:rPr>
      </w:pPr>
      <w:bookmarkStart w:id="124" w:name="_Toc125714742"/>
      <w:r w:rsidRPr="00570EEF">
        <w:rPr>
          <w:rFonts w:asciiTheme="majorHAnsi" w:eastAsiaTheme="majorEastAsia" w:hAnsiTheme="majorHAnsi" w:cstheme="majorBidi"/>
          <w:color w:val="2E74B5" w:themeColor="accent1" w:themeShade="BF"/>
          <w:sz w:val="26"/>
          <w:szCs w:val="26"/>
          <w:lang w:val="en-GB"/>
        </w:rPr>
        <w:t>10.6 Ongoing Consultation</w:t>
      </w:r>
      <w:bookmarkEnd w:id="124"/>
    </w:p>
    <w:p w14:paraId="4A01CDD7" w14:textId="2BCDAB37" w:rsidR="00570EEF" w:rsidRPr="00570EEF" w:rsidRDefault="007F5D77" w:rsidP="000F6998">
      <w:pPr>
        <w:jc w:val="both"/>
        <w:rPr>
          <w:lang w:val="en-GB"/>
        </w:rPr>
      </w:pPr>
      <w:r>
        <w:t>The following recommendations will not be implemented, however, f</w:t>
      </w:r>
      <w:r w:rsidR="00D26E54">
        <w:t>ollowing passage of the legislation</w:t>
      </w:r>
      <w:r w:rsidR="00570EEF" w:rsidRPr="00570EEF">
        <w:t>, consultation will continue, to ensure effective implementation and robust regulation on a number of recommendations, including regarding the following matters</w:t>
      </w:r>
      <w:r>
        <w:t>.</w:t>
      </w:r>
    </w:p>
    <w:p w14:paraId="2806DB9D" w14:textId="77777777" w:rsidR="005A4333" w:rsidRDefault="005A4333" w:rsidP="000F6998">
      <w:pPr>
        <w:jc w:val="both"/>
        <w:rPr>
          <w:b/>
          <w:lang w:val="en-GB"/>
        </w:rPr>
      </w:pPr>
    </w:p>
    <w:p w14:paraId="0ABB7E9E" w14:textId="656D2A91" w:rsidR="00570EEF" w:rsidRPr="00570EEF" w:rsidRDefault="00570EEF" w:rsidP="000F6998">
      <w:pPr>
        <w:jc w:val="both"/>
        <w:rPr>
          <w:b/>
          <w:lang w:val="en-GB"/>
        </w:rPr>
      </w:pPr>
      <w:r w:rsidRPr="00570EEF">
        <w:rPr>
          <w:b/>
          <w:lang w:val="en-GB"/>
        </w:rPr>
        <w:t>ANZSCO Reporting (Recommendation 7.3(a))</w:t>
      </w:r>
    </w:p>
    <w:p w14:paraId="3DD8B801" w14:textId="03A29D7F" w:rsidR="004D59AE" w:rsidRDefault="00A71CFB" w:rsidP="000F6998">
      <w:pPr>
        <w:jc w:val="both"/>
        <w:rPr>
          <w:rFonts w:cstheme="minorHAnsi"/>
        </w:rPr>
      </w:pPr>
      <w:r>
        <w:rPr>
          <w:rFonts w:cstheme="minorHAnsi"/>
        </w:rPr>
        <w:t xml:space="preserve">Stakeholders expressed concern </w:t>
      </w:r>
      <w:r w:rsidR="008A6E1C">
        <w:rPr>
          <w:rFonts w:cstheme="minorHAnsi"/>
        </w:rPr>
        <w:t>regarding the requirement to report to WGEA at ANZSCO level 4 for non-managers. Many employers viewed this as an increased burden but also acknowledged that they were well placed to report at this level. Further, t</w:t>
      </w:r>
      <w:r w:rsidR="004D59AE" w:rsidRPr="004D59AE">
        <w:rPr>
          <w:rFonts w:cstheme="minorHAnsi"/>
        </w:rPr>
        <w:t xml:space="preserve">he ANZSCO classification system is being reviewed and a new version will be released in late 2024. </w:t>
      </w:r>
      <w:r w:rsidR="008A6E1C">
        <w:rPr>
          <w:rFonts w:cstheme="minorHAnsi"/>
        </w:rPr>
        <w:t>Therefore, s</w:t>
      </w:r>
      <w:r w:rsidR="004D59AE" w:rsidRPr="004D59AE">
        <w:rPr>
          <w:rFonts w:cstheme="minorHAnsi"/>
        </w:rPr>
        <w:t>ystemic changes to reporting such that employers would need to provide data with level 4 of ANZSCO will not be implemented. Internal engagement will continue within the OFW regarding the amendments to the ANZSCO reporting levels, which are being carried out by the Women’s Economic Policy Branch.</w:t>
      </w:r>
    </w:p>
    <w:p w14:paraId="49EF0C5F" w14:textId="78786572" w:rsidR="00570EEF" w:rsidRPr="00570EEF" w:rsidRDefault="00570EEF" w:rsidP="000F6998">
      <w:pPr>
        <w:jc w:val="both"/>
        <w:rPr>
          <w:b/>
          <w:lang w:val="en-GB"/>
        </w:rPr>
      </w:pPr>
      <w:r w:rsidRPr="00570EEF">
        <w:rPr>
          <w:b/>
          <w:lang w:val="en-GB"/>
        </w:rPr>
        <w:t>Partnership data (Recommendation 7.3(b))</w:t>
      </w:r>
    </w:p>
    <w:p w14:paraId="6378349D" w14:textId="5D269BF7" w:rsidR="007F5D77" w:rsidRDefault="007F5D77" w:rsidP="000F6998">
      <w:pPr>
        <w:jc w:val="both"/>
        <w:rPr>
          <w:lang w:val="en-GB"/>
        </w:rPr>
      </w:pPr>
      <w:r>
        <w:rPr>
          <w:lang w:val="en-GB"/>
        </w:rPr>
        <w:t xml:space="preserve">Some partnerships indicated that </w:t>
      </w:r>
      <w:r w:rsidRPr="00570EEF">
        <w:t xml:space="preserve">the ability to report in the same way as employees currently do </w:t>
      </w:r>
      <w:r>
        <w:t>is difficult</w:t>
      </w:r>
      <w:r w:rsidR="008A6E1C">
        <w:t>,</w:t>
      </w:r>
      <w:r>
        <w:t xml:space="preserve"> </w:t>
      </w:r>
      <w:r w:rsidRPr="00570EEF">
        <w:t xml:space="preserve">due to the large variety of partnership structures and differences in the </w:t>
      </w:r>
      <w:r>
        <w:t>roles of partners and employees. Conversely, other partnerships already voluntarily report to WGEA. To manage these stakeholder complexities, the decision was made to engage in further consultation.</w:t>
      </w:r>
      <w:r w:rsidR="00A71CFB">
        <w:t xml:space="preserve"> Therefore, Recommendation 7.3(b) will not be implemented under Option 3 and </w:t>
      </w:r>
    </w:p>
    <w:p w14:paraId="72BA6C21" w14:textId="1BE96AF2" w:rsidR="00570EEF" w:rsidRDefault="00677424" w:rsidP="000F6998">
      <w:pPr>
        <w:jc w:val="both"/>
        <w:rPr>
          <w:lang w:val="en-GB"/>
        </w:rPr>
      </w:pPr>
      <w:r>
        <w:rPr>
          <w:lang w:val="en-GB"/>
        </w:rPr>
        <w:t>F</w:t>
      </w:r>
      <w:r w:rsidR="00570EEF" w:rsidRPr="00570EEF">
        <w:rPr>
          <w:lang w:val="en-GB"/>
        </w:rPr>
        <w:t>urther research</w:t>
      </w:r>
      <w:r w:rsidR="00A71CFB">
        <w:rPr>
          <w:lang w:val="en-GB"/>
        </w:rPr>
        <w:t xml:space="preserve"> and</w:t>
      </w:r>
      <w:r w:rsidR="00570EEF" w:rsidRPr="00570EEF">
        <w:rPr>
          <w:lang w:val="en-GB"/>
        </w:rPr>
        <w:t xml:space="preserve"> </w:t>
      </w:r>
      <w:r w:rsidR="00A71CFB">
        <w:rPr>
          <w:lang w:val="en-GB"/>
        </w:rPr>
        <w:t xml:space="preserve">engagement </w:t>
      </w:r>
      <w:r w:rsidR="00570EEF" w:rsidRPr="00570EEF">
        <w:rPr>
          <w:lang w:val="en-GB"/>
        </w:rPr>
        <w:t xml:space="preserve">with partnerships </w:t>
      </w:r>
      <w:r w:rsidR="00A71CFB">
        <w:rPr>
          <w:lang w:val="en-GB"/>
        </w:rPr>
        <w:t xml:space="preserve">will </w:t>
      </w:r>
      <w:r w:rsidR="00570EEF" w:rsidRPr="00570EEF">
        <w:rPr>
          <w:lang w:val="en-GB"/>
        </w:rPr>
        <w:t xml:space="preserve">progress this discussion. The OFW will continue to consult with key stakeholders regarding the best way to capture gender data in the partnership space. </w:t>
      </w:r>
    </w:p>
    <w:p w14:paraId="67AF4BF6" w14:textId="77777777" w:rsidR="00BE3AEC" w:rsidRPr="00570EEF" w:rsidRDefault="00BE3AEC" w:rsidP="00BE3AEC">
      <w:pPr>
        <w:jc w:val="both"/>
        <w:rPr>
          <w:rFonts w:cstheme="minorHAnsi"/>
          <w:b/>
        </w:rPr>
      </w:pPr>
      <w:r w:rsidRPr="00570EEF">
        <w:rPr>
          <w:rFonts w:cstheme="minorHAnsi"/>
          <w:b/>
        </w:rPr>
        <w:t>Collection of data from employees identifying as non-binary (Recommendation 7.2)</w:t>
      </w:r>
    </w:p>
    <w:p w14:paraId="4B0213BA" w14:textId="77777777" w:rsidR="00BE3AEC" w:rsidRPr="00570EEF" w:rsidRDefault="00BE3AEC" w:rsidP="00BE3AEC">
      <w:pPr>
        <w:jc w:val="both"/>
        <w:rPr>
          <w:rFonts w:cstheme="minorHAnsi"/>
        </w:rPr>
      </w:pPr>
      <w:r w:rsidRPr="00570EEF">
        <w:rPr>
          <w:rFonts w:cstheme="minorHAnsi"/>
        </w:rPr>
        <w:t xml:space="preserve">Businesses indicated that they are at different stages of readiness in terms of collecting and reporting non-binary employee data. </w:t>
      </w:r>
    </w:p>
    <w:p w14:paraId="3557AE9E" w14:textId="77777777" w:rsidR="005A4333" w:rsidRDefault="00BE3AEC" w:rsidP="000F6998">
      <w:pPr>
        <w:jc w:val="both"/>
      </w:pPr>
      <w:r w:rsidRPr="00570EEF">
        <w:t xml:space="preserve">This feedback was considered </w:t>
      </w:r>
      <w:r>
        <w:t>and it was determined that further investigation was required for implementation.</w:t>
      </w:r>
    </w:p>
    <w:p w14:paraId="74D32319" w14:textId="4E307DD2" w:rsidR="00570EEF" w:rsidRPr="00570EEF" w:rsidRDefault="00570EEF" w:rsidP="000F6998">
      <w:pPr>
        <w:jc w:val="both"/>
        <w:rPr>
          <w:b/>
          <w:lang w:val="en-GB"/>
        </w:rPr>
      </w:pPr>
      <w:r w:rsidRPr="00570EEF">
        <w:rPr>
          <w:b/>
          <w:lang w:val="en-GB"/>
        </w:rPr>
        <w:t>Five Year Review (Recommendation 10)</w:t>
      </w:r>
    </w:p>
    <w:p w14:paraId="62F672B0" w14:textId="77777777" w:rsidR="00570EEF" w:rsidRPr="00570EEF" w:rsidRDefault="00570EEF" w:rsidP="000F6998">
      <w:pPr>
        <w:jc w:val="both"/>
      </w:pPr>
      <w:r w:rsidRPr="00570EEF">
        <w:t>Recommendation 10 of the Review which states that the Act be reviewed again five years following legislative change.</w:t>
      </w:r>
    </w:p>
    <w:p w14:paraId="7EF1564E" w14:textId="26FCFDF6" w:rsidR="00570EEF" w:rsidRPr="00570EEF" w:rsidRDefault="00570EEF" w:rsidP="000F6998">
      <w:pPr>
        <w:jc w:val="both"/>
        <w:rPr>
          <w:rFonts w:asciiTheme="majorHAnsi" w:eastAsiaTheme="majorEastAsia" w:hAnsiTheme="majorHAnsi" w:cstheme="majorBidi"/>
          <w:color w:val="2E74B5" w:themeColor="accent1" w:themeShade="BF"/>
          <w:sz w:val="32"/>
          <w:szCs w:val="32"/>
          <w:lang w:val="en-GB"/>
        </w:rPr>
        <w:sectPr w:rsidR="00570EEF" w:rsidRPr="00570EEF" w:rsidSect="00CA51F5">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0"/>
          <w:cols w:space="708"/>
          <w:docGrid w:linePitch="360"/>
        </w:sectPr>
      </w:pPr>
    </w:p>
    <w:p w14:paraId="5CFEE57B" w14:textId="10E04F92" w:rsidR="00570EEF" w:rsidRPr="00477CCC" w:rsidRDefault="00570EEF" w:rsidP="000F6998">
      <w:pPr>
        <w:keepNext/>
        <w:keepLines/>
        <w:numPr>
          <w:ilvl w:val="0"/>
          <w:numId w:val="51"/>
        </w:numPr>
        <w:spacing w:before="240" w:after="0"/>
        <w:jc w:val="both"/>
        <w:outlineLvl w:val="0"/>
        <w:rPr>
          <w:rFonts w:asciiTheme="majorHAnsi" w:eastAsiaTheme="majorEastAsia" w:hAnsiTheme="majorHAnsi" w:cstheme="majorBidi"/>
          <w:color w:val="2E74B5" w:themeColor="accent1" w:themeShade="BF"/>
          <w:sz w:val="32"/>
          <w:szCs w:val="32"/>
          <w:lang w:val="en-GB"/>
        </w:rPr>
      </w:pPr>
      <w:r w:rsidRPr="00570EEF">
        <w:rPr>
          <w:rFonts w:asciiTheme="majorHAnsi" w:eastAsiaTheme="majorEastAsia" w:hAnsiTheme="majorHAnsi" w:cstheme="majorBidi"/>
          <w:color w:val="2E74B5" w:themeColor="accent1" w:themeShade="BF"/>
          <w:sz w:val="32"/>
          <w:szCs w:val="32"/>
          <w:lang w:val="en-GB"/>
        </w:rPr>
        <w:t xml:space="preserve"> </w:t>
      </w:r>
      <w:bookmarkStart w:id="125" w:name="_Toc125714743"/>
      <w:r w:rsidRPr="00570EEF">
        <w:rPr>
          <w:rFonts w:asciiTheme="majorHAnsi" w:eastAsiaTheme="majorEastAsia" w:hAnsiTheme="majorHAnsi" w:cstheme="majorBidi"/>
          <w:color w:val="2E74B5" w:themeColor="accent1" w:themeShade="BF"/>
          <w:sz w:val="32"/>
          <w:szCs w:val="32"/>
          <w:lang w:val="en-GB"/>
        </w:rPr>
        <w:t>Preferred Option</w:t>
      </w:r>
      <w:bookmarkEnd w:id="125"/>
      <w:r w:rsidRPr="00570EEF">
        <w:rPr>
          <w:rFonts w:asciiTheme="majorHAnsi" w:eastAsiaTheme="majorEastAsia" w:hAnsiTheme="majorHAnsi" w:cstheme="majorBidi"/>
          <w:color w:val="2E74B5" w:themeColor="accent1" w:themeShade="BF"/>
          <w:sz w:val="32"/>
          <w:szCs w:val="32"/>
          <w:lang w:val="en-GB"/>
        </w:rPr>
        <w:t xml:space="preserve"> </w:t>
      </w:r>
    </w:p>
    <w:tbl>
      <w:tblPr>
        <w:tblStyle w:val="GridTable5Dark-Accent5"/>
        <w:tblpPr w:leftFromText="180" w:rightFromText="180" w:vertAnchor="text" w:horzAnchor="margin" w:tblpXSpec="center" w:tblpY="1903"/>
        <w:tblW w:w="5107" w:type="pct"/>
        <w:tblLook w:val="04A0" w:firstRow="1" w:lastRow="0" w:firstColumn="1" w:lastColumn="0" w:noHBand="0" w:noVBand="1"/>
      </w:tblPr>
      <w:tblGrid>
        <w:gridCol w:w="1554"/>
        <w:gridCol w:w="2415"/>
        <w:gridCol w:w="5240"/>
      </w:tblGrid>
      <w:tr w:rsidR="00FD20BC" w:rsidRPr="00570EEF" w14:paraId="72A589CA" w14:textId="77777777" w:rsidTr="005F2F31">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44" w:type="pct"/>
          </w:tcPr>
          <w:p w14:paraId="55BAC917" w14:textId="77777777" w:rsidR="00FD20BC" w:rsidRPr="00570EEF" w:rsidRDefault="00FD20BC" w:rsidP="000F6998">
            <w:pPr>
              <w:spacing w:after="160" w:line="264" w:lineRule="auto"/>
              <w:jc w:val="both"/>
              <w:rPr>
                <w:rFonts w:cstheme="minorHAnsi"/>
              </w:rPr>
            </w:pPr>
            <w:r w:rsidRPr="00570EEF">
              <w:rPr>
                <w:rFonts w:cstheme="minorHAnsi"/>
              </w:rPr>
              <w:t>Element of the Problem</w:t>
            </w:r>
          </w:p>
        </w:tc>
        <w:tc>
          <w:tcPr>
            <w:tcW w:w="1311" w:type="pct"/>
          </w:tcPr>
          <w:p w14:paraId="79C15BC2" w14:textId="77777777" w:rsidR="00FD20BC" w:rsidRPr="00570EEF" w:rsidRDefault="00FD20BC" w:rsidP="000F6998">
            <w:pPr>
              <w:spacing w:after="160" w:line="264"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570EEF">
              <w:rPr>
                <w:rFonts w:cstheme="minorHAnsi"/>
              </w:rPr>
              <w:t>Policy Objective</w:t>
            </w:r>
          </w:p>
        </w:tc>
        <w:tc>
          <w:tcPr>
            <w:tcW w:w="2844" w:type="pct"/>
          </w:tcPr>
          <w:p w14:paraId="09EA0A9B" w14:textId="77777777" w:rsidR="00FD20BC" w:rsidRPr="00570EEF" w:rsidRDefault="00FD20BC" w:rsidP="000F6998">
            <w:pPr>
              <w:spacing w:after="160" w:line="264"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570EEF">
              <w:rPr>
                <w:rFonts w:cstheme="minorHAnsi"/>
              </w:rPr>
              <w:t>Why Option 3?</w:t>
            </w:r>
          </w:p>
        </w:tc>
      </w:tr>
      <w:tr w:rsidR="00FD20BC" w:rsidRPr="00570EEF" w14:paraId="667E7A51" w14:textId="77777777" w:rsidTr="005F2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 w:type="pct"/>
          </w:tcPr>
          <w:p w14:paraId="53A3EE09" w14:textId="77777777" w:rsidR="00FD20BC" w:rsidRPr="00570EEF" w:rsidRDefault="00FD20BC" w:rsidP="000F6998">
            <w:pPr>
              <w:spacing w:after="160" w:line="264" w:lineRule="auto"/>
              <w:jc w:val="both"/>
              <w:rPr>
                <w:rFonts w:cstheme="minorHAnsi"/>
              </w:rPr>
            </w:pPr>
            <w:r w:rsidRPr="00570EEF">
              <w:rPr>
                <w:rFonts w:cstheme="minorHAnsi"/>
              </w:rPr>
              <w:t>Gaps exist in the current dataset</w:t>
            </w:r>
          </w:p>
        </w:tc>
        <w:tc>
          <w:tcPr>
            <w:tcW w:w="1311" w:type="pct"/>
          </w:tcPr>
          <w:p w14:paraId="52EFBF96" w14:textId="77777777" w:rsidR="00FD20BC" w:rsidRPr="00570EEF" w:rsidRDefault="00FD20BC" w:rsidP="000F6998">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0EEF">
              <w:rPr>
                <w:rFonts w:cstheme="minorHAnsi"/>
              </w:rPr>
              <w:t>WGEA is a government agency, therefore Government action is required to enhance the data available to WGEA.</w:t>
            </w:r>
          </w:p>
        </w:tc>
        <w:tc>
          <w:tcPr>
            <w:tcW w:w="2844" w:type="pct"/>
          </w:tcPr>
          <w:p w14:paraId="5642170E" w14:textId="3499E57F" w:rsidR="00FD20BC" w:rsidRPr="00570EEF" w:rsidRDefault="00FD20BC" w:rsidP="000F6998">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0EEF">
              <w:rPr>
                <w:rFonts w:cstheme="minorHAnsi"/>
              </w:rPr>
              <w:t>The implementation of recommendations 3 and 7 will expand WGEA’s dataset and enable WGEA to produce a more sophisticated and complete analysis of th</w:t>
            </w:r>
            <w:r w:rsidR="00325DE5">
              <w:rPr>
                <w:rFonts w:cstheme="minorHAnsi"/>
              </w:rPr>
              <w:t xml:space="preserve">e gender pay gap. </w:t>
            </w:r>
          </w:p>
          <w:p w14:paraId="59040541" w14:textId="2F7B9602" w:rsidR="00FD20BC" w:rsidRPr="00570EEF" w:rsidRDefault="00FD20BC" w:rsidP="000F6998">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0EEF">
              <w:rPr>
                <w:rFonts w:cstheme="minorHAnsi"/>
              </w:rPr>
              <w:t xml:space="preserve">New gender equality standards (Rec 3) will require employers to report on targets against three out of six GEIs and strengthen the accountability employers have to their </w:t>
            </w:r>
            <w:r w:rsidR="00325DE5">
              <w:rPr>
                <w:rFonts w:cstheme="minorHAnsi"/>
              </w:rPr>
              <w:t>employees and governing bodies.</w:t>
            </w:r>
          </w:p>
          <w:p w14:paraId="0A4A7BDD" w14:textId="77777777" w:rsidR="00FD20BC" w:rsidRPr="00570EEF" w:rsidRDefault="00FD20BC" w:rsidP="000F6998">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0EEF">
              <w:rPr>
                <w:rFonts w:cstheme="minorHAnsi"/>
              </w:rPr>
              <w:t>Refining the GEIs (Rec 7) will expand the information that is to be mandatorily reported to WGEA to include non-binary data, age, primary workplace location, superannuation payments whilst on parental leave and the remuneration of CEOs/Secretaries. WGEA will then be able to use this information to further pursue gender equality.</w:t>
            </w:r>
          </w:p>
        </w:tc>
      </w:tr>
      <w:tr w:rsidR="00FD20BC" w:rsidRPr="00570EEF" w14:paraId="3B41892A" w14:textId="77777777" w:rsidTr="005F2F31">
        <w:tc>
          <w:tcPr>
            <w:cnfStyle w:val="001000000000" w:firstRow="0" w:lastRow="0" w:firstColumn="1" w:lastColumn="0" w:oddVBand="0" w:evenVBand="0" w:oddHBand="0" w:evenHBand="0" w:firstRowFirstColumn="0" w:firstRowLastColumn="0" w:lastRowFirstColumn="0" w:lastRowLastColumn="0"/>
            <w:tcW w:w="844" w:type="pct"/>
          </w:tcPr>
          <w:p w14:paraId="1D2755A3" w14:textId="77777777" w:rsidR="00FD20BC" w:rsidRPr="00570EEF" w:rsidRDefault="00FD20BC" w:rsidP="000F6998">
            <w:pPr>
              <w:spacing w:after="160" w:line="264" w:lineRule="auto"/>
              <w:jc w:val="both"/>
              <w:rPr>
                <w:rFonts w:cstheme="minorHAnsi"/>
              </w:rPr>
            </w:pPr>
            <w:r w:rsidRPr="00570EEF">
              <w:rPr>
                <w:rFonts w:cstheme="minorHAnsi"/>
              </w:rPr>
              <w:t>Reporting is burdensome on business</w:t>
            </w:r>
          </w:p>
        </w:tc>
        <w:tc>
          <w:tcPr>
            <w:tcW w:w="1311" w:type="pct"/>
          </w:tcPr>
          <w:p w14:paraId="090D0A63" w14:textId="77777777" w:rsidR="00FD20BC" w:rsidRPr="00570EEF" w:rsidRDefault="00FD20BC" w:rsidP="000F6998">
            <w:pPr>
              <w:spacing w:after="160" w:line="264"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0EEF">
              <w:rPr>
                <w:rFonts w:cstheme="minorHAnsi"/>
              </w:rPr>
              <w:t>Ensuring a healthy economy is a key Government priority and interrelated with healthy businesses.</w:t>
            </w:r>
          </w:p>
        </w:tc>
        <w:tc>
          <w:tcPr>
            <w:tcW w:w="2844" w:type="pct"/>
          </w:tcPr>
          <w:p w14:paraId="545425F8" w14:textId="77777777" w:rsidR="00FD20BC" w:rsidRPr="00570EEF" w:rsidRDefault="00FD20BC" w:rsidP="000F6998">
            <w:pPr>
              <w:spacing w:after="160" w:line="264"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570EEF">
              <w:rPr>
                <w:rFonts w:cstheme="minorHAnsi"/>
              </w:rPr>
              <w:t xml:space="preserve">Reducing the burden on businesses (Rec 4) will enable employers to spend more time and resources on cultural change within an organisation to further improve gender equality. This could also lead to higher productivity and profits for businesses. </w:t>
            </w:r>
          </w:p>
        </w:tc>
      </w:tr>
      <w:tr w:rsidR="00FD20BC" w:rsidRPr="00570EEF" w14:paraId="28474D4A" w14:textId="77777777" w:rsidTr="005F2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4" w:type="pct"/>
          </w:tcPr>
          <w:p w14:paraId="5C37E394" w14:textId="77777777" w:rsidR="00FD20BC" w:rsidRPr="00570EEF" w:rsidRDefault="00FD20BC" w:rsidP="000F6998">
            <w:pPr>
              <w:spacing w:after="160" w:line="264" w:lineRule="auto"/>
              <w:jc w:val="both"/>
              <w:rPr>
                <w:rFonts w:cstheme="minorHAnsi"/>
              </w:rPr>
            </w:pPr>
            <w:r w:rsidRPr="00570EEF">
              <w:rPr>
                <w:rFonts w:cstheme="minorHAnsi"/>
              </w:rPr>
              <w:t>Current regulation is not ambitious enough to drive change in gender inequality</w:t>
            </w:r>
          </w:p>
        </w:tc>
        <w:tc>
          <w:tcPr>
            <w:tcW w:w="1311" w:type="pct"/>
          </w:tcPr>
          <w:p w14:paraId="67227E01" w14:textId="77777777" w:rsidR="00FD20BC" w:rsidRPr="00570EEF" w:rsidRDefault="00FD20BC" w:rsidP="000F6998">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0EEF">
              <w:rPr>
                <w:rFonts w:cstheme="minorHAnsi"/>
              </w:rPr>
              <w:t>The Government has committed to escalating gender equality and accelerating closure of the gender pay gap.</w:t>
            </w:r>
          </w:p>
        </w:tc>
        <w:tc>
          <w:tcPr>
            <w:tcW w:w="2844" w:type="pct"/>
          </w:tcPr>
          <w:p w14:paraId="51D41472" w14:textId="33B11F7F" w:rsidR="00FD20BC" w:rsidRPr="00570EEF" w:rsidRDefault="00FD20BC" w:rsidP="000F6998">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0EEF">
              <w:rPr>
                <w:rFonts w:cstheme="minorHAnsi"/>
              </w:rPr>
              <w:t>The current approach of publishing aggregate industry gender pay gaps is not creating the transparency, accountability and insights necessary to close the gender pay gap fast enough. Enabling WGEA to publish the organisational gender pay gap (Rec 2), will increase transparency across industr</w:t>
            </w:r>
            <w:r w:rsidR="00325DE5">
              <w:rPr>
                <w:rFonts w:cstheme="minorHAnsi"/>
              </w:rPr>
              <w:t xml:space="preserve">ies and drive cultural change. </w:t>
            </w:r>
          </w:p>
          <w:p w14:paraId="50214B01" w14:textId="77777777" w:rsidR="00FD20BC" w:rsidRPr="00570EEF" w:rsidRDefault="00FD20BC" w:rsidP="000F6998">
            <w:pPr>
              <w:spacing w:after="160" w:line="264"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70EEF">
              <w:rPr>
                <w:rFonts w:cstheme="minorHAnsi"/>
              </w:rPr>
              <w:t xml:space="preserve">New gender equality standards (Rec 3) that require employers to report on targets against three out of six GEIs will also further drive change through increased accountability on employers. </w:t>
            </w:r>
          </w:p>
        </w:tc>
      </w:tr>
    </w:tbl>
    <w:p w14:paraId="2E9166C2" w14:textId="0889FC26" w:rsidR="00570EEF" w:rsidRPr="00FD20BC" w:rsidRDefault="00570EEF" w:rsidP="000F6998">
      <w:pPr>
        <w:spacing w:before="240"/>
        <w:jc w:val="both"/>
        <w:rPr>
          <w:lang w:val="en-GB"/>
        </w:rPr>
      </w:pPr>
      <w:r w:rsidRPr="00570EEF">
        <w:rPr>
          <w:lang w:val="en-GB"/>
        </w:rPr>
        <w:t xml:space="preserve">Option 3 is the preferred option </w:t>
      </w:r>
      <w:r w:rsidR="00D26E54">
        <w:rPr>
          <w:lang w:val="en-GB"/>
        </w:rPr>
        <w:t>and</w:t>
      </w:r>
      <w:r w:rsidRPr="00570EEF">
        <w:rPr>
          <w:lang w:val="en-GB"/>
        </w:rPr>
        <w:t xml:space="preserve"> implements recommendations 2, 3, 4 and 7 of the Review</w:t>
      </w:r>
      <w:r w:rsidR="00D26E54">
        <w:rPr>
          <w:lang w:val="en-GB"/>
        </w:rPr>
        <w:t>. Implementing these recommendations</w:t>
      </w:r>
      <w:r w:rsidRPr="00570EEF">
        <w:rPr>
          <w:lang w:val="en-GB"/>
        </w:rPr>
        <w:t xml:space="preserve"> addresses all three elements of the problem; it will fill gaps in the current dataset, reduce the reporting burdens on businesses and is more ambitious so will drive </w:t>
      </w:r>
      <w:r w:rsidR="00D26E54">
        <w:rPr>
          <w:lang w:val="en-GB"/>
        </w:rPr>
        <w:t>a faster</w:t>
      </w:r>
      <w:r w:rsidRPr="00570EEF">
        <w:rPr>
          <w:lang w:val="en-GB"/>
        </w:rPr>
        <w:t xml:space="preserve"> rate of change in reducing gender inequality. Therefore, this option has the highest ne</w:t>
      </w:r>
      <w:r w:rsidR="00FD20BC">
        <w:rPr>
          <w:lang w:val="en-GB"/>
        </w:rPr>
        <w:t>t benefit.</w:t>
      </w:r>
    </w:p>
    <w:p w14:paraId="3E18CB84" w14:textId="77777777" w:rsidR="00477CCC" w:rsidRDefault="00477CCC" w:rsidP="000F6998">
      <w:pPr>
        <w:spacing w:line="264" w:lineRule="auto"/>
        <w:ind w:right="874"/>
        <w:jc w:val="both"/>
        <w:rPr>
          <w:rFonts w:cstheme="minorHAnsi"/>
          <w:b/>
        </w:rPr>
      </w:pPr>
    </w:p>
    <w:p w14:paraId="17847421" w14:textId="77777777" w:rsidR="00B314BD" w:rsidRDefault="00B314BD" w:rsidP="000F6998">
      <w:pPr>
        <w:spacing w:line="264" w:lineRule="auto"/>
        <w:ind w:right="874"/>
        <w:jc w:val="both"/>
        <w:rPr>
          <w:rFonts w:cstheme="minorHAnsi"/>
          <w:b/>
        </w:rPr>
      </w:pPr>
    </w:p>
    <w:p w14:paraId="323CC8AE" w14:textId="77777777" w:rsidR="005F2F31" w:rsidRDefault="005F2F31" w:rsidP="000F6998">
      <w:pPr>
        <w:spacing w:line="264" w:lineRule="auto"/>
        <w:ind w:right="874"/>
        <w:jc w:val="both"/>
        <w:rPr>
          <w:rFonts w:cstheme="minorHAnsi"/>
          <w:b/>
        </w:rPr>
      </w:pPr>
    </w:p>
    <w:p w14:paraId="1B1FECFB" w14:textId="535A8E96" w:rsidR="00570EEF" w:rsidRPr="00570EEF" w:rsidRDefault="00570EEF" w:rsidP="000F6998">
      <w:pPr>
        <w:spacing w:line="264" w:lineRule="auto"/>
        <w:ind w:right="874"/>
        <w:jc w:val="both"/>
        <w:rPr>
          <w:rFonts w:cstheme="minorHAnsi"/>
          <w:b/>
        </w:rPr>
      </w:pPr>
      <w:r w:rsidRPr="00570EEF">
        <w:rPr>
          <w:rFonts w:cstheme="minorHAnsi"/>
          <w:b/>
        </w:rPr>
        <w:t>Limitations of Option 1</w:t>
      </w:r>
    </w:p>
    <w:p w14:paraId="32D31E1E" w14:textId="77777777" w:rsidR="00570EEF" w:rsidRPr="00570EEF" w:rsidRDefault="00570EEF" w:rsidP="000F6998">
      <w:pPr>
        <w:jc w:val="both"/>
        <w:rPr>
          <w:lang w:val="en-GB"/>
        </w:rPr>
      </w:pPr>
      <w:r w:rsidRPr="00570EEF">
        <w:rPr>
          <w:lang w:val="en-GB"/>
        </w:rPr>
        <w:t xml:space="preserve">Option 1 does not implement any recommendations of the Review and does not address any elements of the problem: </w:t>
      </w:r>
    </w:p>
    <w:p w14:paraId="683742EE" w14:textId="77777777" w:rsidR="00570EEF" w:rsidRPr="00570EEF" w:rsidRDefault="00570EEF" w:rsidP="000F6998">
      <w:pPr>
        <w:numPr>
          <w:ilvl w:val="0"/>
          <w:numId w:val="55"/>
        </w:numPr>
        <w:contextualSpacing/>
        <w:jc w:val="both"/>
        <w:rPr>
          <w:lang w:val="en-GB"/>
        </w:rPr>
      </w:pPr>
      <w:r w:rsidRPr="00570EEF">
        <w:rPr>
          <w:lang w:val="en-GB"/>
        </w:rPr>
        <w:t>it does not offer any avenues to reduce the gaps in the current data set;</w:t>
      </w:r>
    </w:p>
    <w:p w14:paraId="2B0FA317" w14:textId="77777777" w:rsidR="00570EEF" w:rsidRPr="00570EEF" w:rsidRDefault="00570EEF" w:rsidP="000F6998">
      <w:pPr>
        <w:numPr>
          <w:ilvl w:val="0"/>
          <w:numId w:val="55"/>
        </w:numPr>
        <w:contextualSpacing/>
        <w:jc w:val="both"/>
        <w:rPr>
          <w:lang w:val="en-GB"/>
        </w:rPr>
      </w:pPr>
      <w:r w:rsidRPr="00570EEF">
        <w:rPr>
          <w:lang w:val="en-GB"/>
        </w:rPr>
        <w:t>it does not reduce reporting burdens on business; and</w:t>
      </w:r>
    </w:p>
    <w:p w14:paraId="11F08226" w14:textId="77777777" w:rsidR="00570EEF" w:rsidRPr="00570EEF" w:rsidRDefault="00570EEF" w:rsidP="000F6998">
      <w:pPr>
        <w:numPr>
          <w:ilvl w:val="0"/>
          <w:numId w:val="55"/>
        </w:numPr>
        <w:contextualSpacing/>
        <w:jc w:val="both"/>
        <w:rPr>
          <w:lang w:val="en-GB"/>
        </w:rPr>
      </w:pPr>
      <w:r w:rsidRPr="00570EEF">
        <w:rPr>
          <w:lang w:val="en-GB"/>
        </w:rPr>
        <w:t>it is not driving changes in gender equality at a fast enough rate.</w:t>
      </w:r>
    </w:p>
    <w:p w14:paraId="52BDA8A5" w14:textId="309AE00C" w:rsidR="00570EEF" w:rsidRPr="00570EEF" w:rsidRDefault="00570EEF" w:rsidP="000F6998">
      <w:pPr>
        <w:jc w:val="both"/>
        <w:rPr>
          <w:lang w:val="en-GB"/>
        </w:rPr>
      </w:pPr>
      <w:r w:rsidRPr="00570EEF">
        <w:rPr>
          <w:lang w:val="en-GB"/>
        </w:rPr>
        <w:t>Elements 1 and 3 of the problem, in particular, are preventing Government from creating an impact in a timely manner. The slow rate of change is resulting in costs to individuals, to medium and large businesses</w:t>
      </w:r>
      <w:r w:rsidR="00D26E54">
        <w:rPr>
          <w:lang w:val="en-GB"/>
        </w:rPr>
        <w:t>,</w:t>
      </w:r>
      <w:r w:rsidRPr="00570EEF">
        <w:rPr>
          <w:lang w:val="en-GB"/>
        </w:rPr>
        <w:t xml:space="preserve"> community organisations</w:t>
      </w:r>
      <w:r w:rsidR="00D26E54">
        <w:rPr>
          <w:lang w:val="en-GB"/>
        </w:rPr>
        <w:t>,</w:t>
      </w:r>
      <w:r w:rsidRPr="00570EEF">
        <w:rPr>
          <w:lang w:val="en-GB"/>
        </w:rPr>
        <w:t xml:space="preserve"> and to Government.  </w:t>
      </w:r>
    </w:p>
    <w:p w14:paraId="50FBAEA9" w14:textId="77777777" w:rsidR="00570EEF" w:rsidRPr="00570EEF" w:rsidRDefault="00570EEF" w:rsidP="000F6998">
      <w:pPr>
        <w:jc w:val="both"/>
        <w:rPr>
          <w:lang w:val="en-GB"/>
        </w:rPr>
      </w:pPr>
      <w:r w:rsidRPr="00570EEF">
        <w:rPr>
          <w:lang w:val="en-GB"/>
        </w:rPr>
        <w:t>In addition, the estimated regulatory costs for Option 1 are high at an estimated $8,747,746.</w:t>
      </w:r>
    </w:p>
    <w:p w14:paraId="626878BC" w14:textId="77777777" w:rsidR="00570EEF" w:rsidRPr="00570EEF" w:rsidRDefault="00570EEF" w:rsidP="000F6998">
      <w:pPr>
        <w:spacing w:line="264" w:lineRule="auto"/>
        <w:ind w:right="874"/>
        <w:jc w:val="both"/>
        <w:rPr>
          <w:rFonts w:cstheme="minorHAnsi"/>
          <w:b/>
        </w:rPr>
      </w:pPr>
      <w:r w:rsidRPr="00570EEF">
        <w:rPr>
          <w:rFonts w:cstheme="minorHAnsi"/>
          <w:b/>
        </w:rPr>
        <w:t>Limitations of Option 2</w:t>
      </w:r>
    </w:p>
    <w:p w14:paraId="5CECC15A" w14:textId="3D13038E" w:rsidR="00570EEF" w:rsidRPr="00570EEF" w:rsidRDefault="00570EEF" w:rsidP="000F6998">
      <w:pPr>
        <w:spacing w:line="264" w:lineRule="auto"/>
        <w:ind w:right="874"/>
        <w:jc w:val="both"/>
        <w:rPr>
          <w:rFonts w:cstheme="minorHAnsi"/>
        </w:rPr>
      </w:pPr>
      <w:r w:rsidRPr="00570EEF">
        <w:rPr>
          <w:rFonts w:cstheme="minorHAnsi"/>
        </w:rPr>
        <w:t xml:space="preserve">Option 2 only implements Recommendation 4 of the Review, reducing burden on business, </w:t>
      </w:r>
      <w:r w:rsidR="00D26E54">
        <w:rPr>
          <w:rFonts w:cstheme="minorHAnsi"/>
        </w:rPr>
        <w:t>but</w:t>
      </w:r>
      <w:r w:rsidRPr="00570EEF">
        <w:rPr>
          <w:rFonts w:cstheme="minorHAnsi"/>
        </w:rPr>
        <w:t xml:space="preserve"> only addresses element 2 of the problem. </w:t>
      </w:r>
    </w:p>
    <w:p w14:paraId="01C2799C" w14:textId="1D7C235F" w:rsidR="00570EEF" w:rsidRPr="00570EEF" w:rsidRDefault="00570EEF" w:rsidP="000F6998">
      <w:pPr>
        <w:spacing w:line="264" w:lineRule="auto"/>
        <w:ind w:right="874"/>
        <w:jc w:val="both"/>
        <w:rPr>
          <w:rFonts w:cstheme="minorHAnsi"/>
        </w:rPr>
      </w:pPr>
      <w:r w:rsidRPr="00570EEF">
        <w:rPr>
          <w:rFonts w:cstheme="minorHAnsi"/>
        </w:rPr>
        <w:t>Elements 1 (gaps in the data set) and 3 (driving change in gender equality) are not addressed by Option 2 and will therefore remain unchanged and could worsen over time.</w:t>
      </w:r>
    </w:p>
    <w:p w14:paraId="1CBFF5F8" w14:textId="3E65C39C" w:rsidR="00570EEF" w:rsidRPr="00570EEF" w:rsidRDefault="00570EEF" w:rsidP="000F6998">
      <w:pPr>
        <w:spacing w:line="264" w:lineRule="auto"/>
        <w:ind w:right="874"/>
        <w:jc w:val="both"/>
        <w:rPr>
          <w:rFonts w:cstheme="minorHAnsi"/>
        </w:rPr>
      </w:pPr>
      <w:r w:rsidRPr="00570EEF">
        <w:rPr>
          <w:rFonts w:cstheme="minorHAnsi"/>
        </w:rPr>
        <w:t>Businesses will benefit from reduced reporting burdens, however, depending on the size of the business the scale of the benefits will likely vary. The estimated regulatory costs for Option 2 is a cost reduction of approximately $2.1 million. Therefore, this option is the most economical, however, it merely reduces burdens rather than pursuing clear positive change towards gender equality which would be attended to by addressing elements 1 and</w:t>
      </w:r>
      <w:r w:rsidR="00D26E54">
        <w:rPr>
          <w:rFonts w:cstheme="minorHAnsi"/>
        </w:rPr>
        <w:t> </w:t>
      </w:r>
      <w:r w:rsidRPr="00570EEF">
        <w:rPr>
          <w:rFonts w:cstheme="minorHAnsi"/>
        </w:rPr>
        <w:t>3 of the problem.</w:t>
      </w:r>
    </w:p>
    <w:p w14:paraId="0B4BE997" w14:textId="77777777" w:rsidR="00570EEF" w:rsidRPr="00570EEF" w:rsidRDefault="00570EEF" w:rsidP="000F6998">
      <w:pPr>
        <w:spacing w:line="264" w:lineRule="auto"/>
        <w:ind w:right="874"/>
        <w:jc w:val="both"/>
        <w:rPr>
          <w:rFonts w:cstheme="minorHAnsi"/>
        </w:rPr>
      </w:pPr>
      <w:r w:rsidRPr="00570EEF">
        <w:rPr>
          <w:rFonts w:cstheme="minorHAnsi"/>
          <w:b/>
        </w:rPr>
        <w:t>Recommendation: Option 3</w:t>
      </w:r>
    </w:p>
    <w:p w14:paraId="7A4CFCB3" w14:textId="77777777" w:rsidR="00570EEF" w:rsidRPr="00570EEF" w:rsidRDefault="00570EEF" w:rsidP="000F6998">
      <w:pPr>
        <w:jc w:val="both"/>
        <w:rPr>
          <w:lang w:val="en-GB"/>
        </w:rPr>
      </w:pPr>
      <w:r w:rsidRPr="00570EEF">
        <w:rPr>
          <w:lang w:val="en-GB"/>
        </w:rPr>
        <w:t xml:space="preserve">The overall impacts, costs, and benefits of each of the options informed the recommendation of Option 3. This included consideration of the consultation feedback, as indicated above, and the regulatory costs of the options within the context of the number of elements of the problem they address. </w:t>
      </w:r>
    </w:p>
    <w:p w14:paraId="76875DBA" w14:textId="658E40CF" w:rsidR="00570EEF" w:rsidRPr="00570EEF" w:rsidRDefault="00570EEF" w:rsidP="000F6998">
      <w:pPr>
        <w:jc w:val="both"/>
        <w:rPr>
          <w:lang w:val="en-GB"/>
        </w:rPr>
      </w:pPr>
      <w:r w:rsidRPr="00570EEF">
        <w:rPr>
          <w:lang w:val="en-GB"/>
        </w:rPr>
        <w:t>Option 2, whilst being the most cost effective option, only addresses one element of the problem and therefore will not achieve the full benefits available so will continue to carry the cost burden of gender inequality. Option 3 costs approximately $</w:t>
      </w:r>
      <w:r w:rsidR="00A11174">
        <w:rPr>
          <w:lang w:val="en-GB"/>
        </w:rPr>
        <w:t>8.6 million per annum (a cost reduction of approximately $124,709 from the regulatory costs of Option 1)</w:t>
      </w:r>
      <w:r w:rsidRPr="00570EEF">
        <w:rPr>
          <w:lang w:val="en-GB"/>
        </w:rPr>
        <w:t>, but unlike Option 2, it addresses all three elements of the problem. Specifically, it will drive strong economic and social benefits, including higher wages, increased productivity and greater wellbeing. It therefore, offers the best value for money in the long term, will achieve the Government’s policy objectives, and have the most impact.</w:t>
      </w:r>
    </w:p>
    <w:p w14:paraId="4223AEC4" w14:textId="610E182E" w:rsidR="00570EEF" w:rsidRPr="00570EEF" w:rsidRDefault="00570EEF" w:rsidP="000F6998">
      <w:pPr>
        <w:spacing w:after="120"/>
        <w:jc w:val="both"/>
        <w:rPr>
          <w:rFonts w:asciiTheme="majorHAnsi" w:eastAsiaTheme="majorEastAsia" w:hAnsiTheme="majorHAnsi" w:cstheme="majorBidi"/>
          <w:color w:val="2E74B5" w:themeColor="accent1" w:themeShade="BF"/>
          <w:sz w:val="32"/>
          <w:szCs w:val="32"/>
          <w:lang w:val="en-GB"/>
        </w:rPr>
      </w:pPr>
      <w:r w:rsidRPr="00570EEF">
        <w:t xml:space="preserve">Although it is the best option from those considered, Option 3 is not without risks, as discussed in Section 9. The risk profile associated with this preferred Option 3, and mitigations, are summarised in the following section. </w:t>
      </w:r>
      <w:r w:rsidRPr="00570EEF">
        <w:rPr>
          <w:rFonts w:asciiTheme="majorHAnsi" w:eastAsiaTheme="majorEastAsia" w:hAnsiTheme="majorHAnsi" w:cstheme="majorBidi"/>
          <w:color w:val="2E74B5" w:themeColor="accent1" w:themeShade="BF"/>
          <w:sz w:val="32"/>
          <w:szCs w:val="32"/>
          <w:lang w:val="en-GB"/>
        </w:rPr>
        <w:t xml:space="preserve"> </w:t>
      </w:r>
    </w:p>
    <w:p w14:paraId="6DF47B54" w14:textId="77777777" w:rsidR="00570EEF" w:rsidRPr="00570EEF" w:rsidRDefault="00570EEF" w:rsidP="000F6998">
      <w:pPr>
        <w:jc w:val="both"/>
        <w:rPr>
          <w:rFonts w:asciiTheme="majorHAnsi" w:eastAsiaTheme="majorEastAsia" w:hAnsiTheme="majorHAnsi" w:cstheme="majorBidi"/>
          <w:color w:val="2E74B5" w:themeColor="accent1" w:themeShade="BF"/>
          <w:sz w:val="32"/>
          <w:szCs w:val="32"/>
          <w:lang w:val="en-GB"/>
        </w:rPr>
      </w:pPr>
      <w:r w:rsidRPr="00570EEF">
        <w:rPr>
          <w:rFonts w:asciiTheme="majorHAnsi" w:eastAsiaTheme="majorEastAsia" w:hAnsiTheme="majorHAnsi" w:cstheme="majorBidi"/>
          <w:color w:val="2E74B5" w:themeColor="accent1" w:themeShade="BF"/>
          <w:sz w:val="32"/>
          <w:szCs w:val="32"/>
          <w:lang w:val="en-GB"/>
        </w:rPr>
        <w:br w:type="page"/>
      </w:r>
    </w:p>
    <w:p w14:paraId="572C3575" w14:textId="77777777" w:rsidR="00570EEF" w:rsidRPr="00570EEF" w:rsidRDefault="00570EEF" w:rsidP="000F6998">
      <w:pPr>
        <w:keepNext/>
        <w:keepLines/>
        <w:numPr>
          <w:ilvl w:val="0"/>
          <w:numId w:val="53"/>
        </w:numPr>
        <w:spacing w:before="240" w:after="0"/>
        <w:jc w:val="both"/>
        <w:outlineLvl w:val="0"/>
        <w:rPr>
          <w:rFonts w:asciiTheme="majorHAnsi" w:eastAsiaTheme="majorEastAsia" w:hAnsiTheme="majorHAnsi" w:cstheme="majorBidi"/>
          <w:color w:val="2E74B5" w:themeColor="accent1" w:themeShade="BF"/>
          <w:sz w:val="32"/>
          <w:szCs w:val="32"/>
          <w:lang w:val="en-GB"/>
        </w:rPr>
      </w:pPr>
      <w:bookmarkStart w:id="126" w:name="_Toc125714744"/>
      <w:r w:rsidRPr="00570EEF">
        <w:rPr>
          <w:rFonts w:asciiTheme="majorHAnsi" w:eastAsiaTheme="majorEastAsia" w:hAnsiTheme="majorHAnsi" w:cstheme="majorBidi"/>
          <w:color w:val="2E74B5" w:themeColor="accent1" w:themeShade="BF"/>
          <w:sz w:val="32"/>
          <w:szCs w:val="32"/>
          <w:lang w:val="en-GB"/>
        </w:rPr>
        <w:t>Implementation Design &amp; Evaluation of Option 3</w:t>
      </w:r>
      <w:bookmarkEnd w:id="126"/>
    </w:p>
    <w:p w14:paraId="560BB1BA" w14:textId="77777777" w:rsidR="00570EEF" w:rsidRPr="00570EEF" w:rsidRDefault="00570EEF" w:rsidP="000F6998">
      <w:pPr>
        <w:spacing w:before="240"/>
        <w:jc w:val="both"/>
      </w:pPr>
      <w:r w:rsidRPr="00570EEF">
        <w:t>Option 3 will be the most effective at addressing the Government’s objectives of:</w:t>
      </w:r>
    </w:p>
    <w:p w14:paraId="19AE1FD0" w14:textId="77777777" w:rsidR="00570EEF" w:rsidRPr="00570EEF" w:rsidRDefault="00570EEF" w:rsidP="000F6998">
      <w:pPr>
        <w:numPr>
          <w:ilvl w:val="0"/>
          <w:numId w:val="58"/>
        </w:numPr>
        <w:contextualSpacing/>
        <w:jc w:val="both"/>
      </w:pPr>
      <w:r w:rsidRPr="00570EEF">
        <w:t>WGEA is a government agency, therefore Government action is required to enhance the data available to WGEA.</w:t>
      </w:r>
    </w:p>
    <w:p w14:paraId="48072FFA" w14:textId="77777777" w:rsidR="00570EEF" w:rsidRPr="00570EEF" w:rsidRDefault="00570EEF" w:rsidP="000F6998">
      <w:pPr>
        <w:numPr>
          <w:ilvl w:val="0"/>
          <w:numId w:val="58"/>
        </w:numPr>
        <w:contextualSpacing/>
        <w:jc w:val="both"/>
      </w:pPr>
      <w:r w:rsidRPr="00570EEF">
        <w:rPr>
          <w:rFonts w:cstheme="minorHAnsi"/>
        </w:rPr>
        <w:t>Ensuring a healthy economy is a key Government priority and interrelated with healthy businesses.</w:t>
      </w:r>
    </w:p>
    <w:p w14:paraId="56C85340" w14:textId="77777777" w:rsidR="00570EEF" w:rsidRPr="00570EEF" w:rsidRDefault="00570EEF" w:rsidP="000F6998">
      <w:pPr>
        <w:numPr>
          <w:ilvl w:val="0"/>
          <w:numId w:val="58"/>
        </w:numPr>
        <w:contextualSpacing/>
        <w:jc w:val="both"/>
      </w:pPr>
      <w:r w:rsidRPr="00570EEF">
        <w:rPr>
          <w:rFonts w:cstheme="minorHAnsi"/>
        </w:rPr>
        <w:t>The Government has committed to escalating gender equality and accelerating closure of the gender pay gap.</w:t>
      </w:r>
    </w:p>
    <w:p w14:paraId="5E2E9863" w14:textId="77777777" w:rsidR="00570EEF" w:rsidRPr="00570EEF" w:rsidRDefault="00570EEF" w:rsidP="000F6998">
      <w:pPr>
        <w:jc w:val="both"/>
      </w:pPr>
      <w:r w:rsidRPr="00570EEF">
        <w:t xml:space="preserve">This will be achieved by addressing the three problem elements that are inhibiting this process: the gaps in the current WGEA dataset, the reporting burdens on businesses, and making the current regulations more ambitious. </w:t>
      </w:r>
    </w:p>
    <w:p w14:paraId="0111A494" w14:textId="693E0028" w:rsidR="006C5ED8" w:rsidRDefault="00570EEF" w:rsidP="006C5ED8">
      <w:pPr>
        <w:keepNext/>
        <w:keepLines/>
        <w:numPr>
          <w:ilvl w:val="1"/>
          <w:numId w:val="52"/>
        </w:numPr>
        <w:spacing w:before="40" w:after="0"/>
        <w:jc w:val="both"/>
        <w:outlineLvl w:val="1"/>
        <w:rPr>
          <w:rFonts w:asciiTheme="majorHAnsi" w:eastAsiaTheme="majorEastAsia" w:hAnsiTheme="majorHAnsi" w:cstheme="majorBidi"/>
          <w:color w:val="2E74B5" w:themeColor="accent1" w:themeShade="BF"/>
          <w:sz w:val="26"/>
          <w:szCs w:val="26"/>
        </w:rPr>
      </w:pPr>
      <w:bookmarkStart w:id="127" w:name="_Toc125714745"/>
      <w:r w:rsidRPr="00570EEF">
        <w:rPr>
          <w:rFonts w:asciiTheme="majorHAnsi" w:eastAsiaTheme="majorEastAsia" w:hAnsiTheme="majorHAnsi" w:cstheme="majorBidi"/>
          <w:color w:val="2E74B5" w:themeColor="accent1" w:themeShade="BF"/>
          <w:sz w:val="26"/>
          <w:szCs w:val="26"/>
        </w:rPr>
        <w:t>Implementation Approach</w:t>
      </w:r>
      <w:bookmarkEnd w:id="127"/>
    </w:p>
    <w:p w14:paraId="1E1794BA" w14:textId="00D3E4A8" w:rsidR="006C5ED8" w:rsidRPr="005A4333" w:rsidRDefault="006C5ED8" w:rsidP="005A4333">
      <w:pPr>
        <w:spacing w:before="240" w:line="240" w:lineRule="auto"/>
        <w:rPr>
          <w:rFonts w:asciiTheme="majorHAnsi" w:eastAsiaTheme="majorEastAsia" w:hAnsiTheme="majorHAnsi" w:cstheme="majorBidi"/>
          <w:color w:val="2E74B5" w:themeColor="accent1" w:themeShade="BF"/>
          <w:sz w:val="26"/>
          <w:szCs w:val="26"/>
        </w:rPr>
      </w:pPr>
      <w:r w:rsidRPr="005A4333">
        <w:rPr>
          <w:rFonts w:ascii="Calibri" w:eastAsia="Times New Roman" w:hAnsi="Calibri" w:cs="Calibri"/>
          <w:bCs/>
          <w:lang w:eastAsia="en-AU"/>
        </w:rPr>
        <w:t>The</w:t>
      </w:r>
      <w:r w:rsidRPr="006C5ED8">
        <w:rPr>
          <w:rFonts w:ascii="Calibri" w:eastAsia="Times New Roman" w:hAnsi="Calibri" w:cs="Calibri"/>
          <w:lang w:eastAsia="en-AU"/>
        </w:rPr>
        <w:t xml:space="preserve"> legislation will be introduced in two parts:</w:t>
      </w:r>
    </w:p>
    <w:p w14:paraId="58014F42" w14:textId="343987B2" w:rsidR="006C5ED8" w:rsidRPr="006C5ED8" w:rsidRDefault="006C5ED8" w:rsidP="006C5ED8">
      <w:pPr>
        <w:spacing w:line="240" w:lineRule="auto"/>
        <w:rPr>
          <w:rFonts w:ascii="Calibri" w:eastAsia="Times New Roman" w:hAnsi="Calibri" w:cs="Calibri"/>
          <w:lang w:eastAsia="en-AU"/>
        </w:rPr>
      </w:pPr>
      <w:r w:rsidRPr="006C5ED8">
        <w:rPr>
          <w:rFonts w:ascii="Calibri" w:eastAsia="Times New Roman" w:hAnsi="Calibri" w:cs="Calibri"/>
          <w:bCs/>
          <w:lang w:eastAsia="en-AU"/>
        </w:rPr>
        <w:t>Part 1: Implementation of recommendations 2, 4, 7.1 and 7.3c.</w:t>
      </w:r>
    </w:p>
    <w:p w14:paraId="651E7180" w14:textId="6247DB7D" w:rsidR="00C65F93" w:rsidRDefault="006C5ED8" w:rsidP="006C5ED8">
      <w:pPr>
        <w:keepNext/>
        <w:keepLines/>
        <w:spacing w:before="40" w:after="0"/>
        <w:jc w:val="both"/>
        <w:outlineLvl w:val="1"/>
        <w:rPr>
          <w:b/>
        </w:rPr>
      </w:pPr>
      <w:r w:rsidRPr="006C5ED8">
        <w:rPr>
          <w:rFonts w:ascii="Calibri" w:eastAsia="Times New Roman" w:hAnsi="Calibri" w:cs="Calibri"/>
          <w:bCs/>
          <w:lang w:eastAsia="en-AU"/>
        </w:rPr>
        <w:t>Part 2: Implementation of recommendation 3</w:t>
      </w:r>
      <w:r>
        <w:rPr>
          <w:rFonts w:ascii="Calibri" w:eastAsia="Times New Roman" w:hAnsi="Calibri" w:cs="Calibri"/>
          <w:bCs/>
          <w:lang w:eastAsia="en-AU"/>
        </w:rPr>
        <w:t xml:space="preserve"> (</w:t>
      </w:r>
      <w:r w:rsidR="00F36A7E">
        <w:rPr>
          <w:rFonts w:ascii="Calibri" w:eastAsia="Times New Roman" w:hAnsi="Calibri" w:cs="Calibri"/>
          <w:bCs/>
          <w:lang w:eastAsia="en-AU"/>
        </w:rPr>
        <w:t xml:space="preserve">anticipated </w:t>
      </w:r>
      <w:r>
        <w:rPr>
          <w:rFonts w:ascii="Calibri" w:eastAsia="Times New Roman" w:hAnsi="Calibri" w:cs="Calibri"/>
          <w:bCs/>
          <w:lang w:eastAsia="en-AU"/>
        </w:rPr>
        <w:t>legislative timing to be confirmed).</w:t>
      </w:r>
    </w:p>
    <w:p w14:paraId="29F02B9F" w14:textId="77777777" w:rsidR="005A4333" w:rsidRDefault="005A4333" w:rsidP="000F6998">
      <w:pPr>
        <w:jc w:val="both"/>
        <w:rPr>
          <w:b/>
        </w:rPr>
      </w:pPr>
    </w:p>
    <w:p w14:paraId="57612F86" w14:textId="603D4796" w:rsidR="00A11174" w:rsidRDefault="006C5ED8" w:rsidP="000F6998">
      <w:pPr>
        <w:jc w:val="both"/>
        <w:rPr>
          <w:b/>
        </w:rPr>
      </w:pPr>
      <w:r>
        <w:rPr>
          <w:b/>
        </w:rPr>
        <w:t xml:space="preserve">Part 1: </w:t>
      </w:r>
      <w:r w:rsidR="00A11174">
        <w:rPr>
          <w:b/>
        </w:rPr>
        <w:t>Critical Path</w:t>
      </w:r>
    </w:p>
    <w:p w14:paraId="6B8FFD84" w14:textId="08E710FE" w:rsidR="00CE3D39" w:rsidRDefault="00435621" w:rsidP="000F6998">
      <w:pPr>
        <w:jc w:val="both"/>
      </w:pPr>
      <w:r w:rsidRPr="00435621">
        <w:t>There</w:t>
      </w:r>
      <w:r>
        <w:t xml:space="preserve"> are a number of administrative dates that need to be achieved to ensure passage of the legislation and implementation of Option 3.</w:t>
      </w:r>
    </w:p>
    <w:tbl>
      <w:tblPr>
        <w:tblStyle w:val="GridTable5Dark-Accent5"/>
        <w:tblW w:w="5000" w:type="pct"/>
        <w:tblLook w:val="04A0" w:firstRow="1" w:lastRow="0" w:firstColumn="1" w:lastColumn="0" w:noHBand="0" w:noVBand="1"/>
      </w:tblPr>
      <w:tblGrid>
        <w:gridCol w:w="2829"/>
        <w:gridCol w:w="6187"/>
      </w:tblGrid>
      <w:tr w:rsidR="00BD0D22" w14:paraId="29324C12" w14:textId="77777777" w:rsidTr="00BD0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63C7A4D0" w14:textId="78294F53" w:rsidR="00BD0D22" w:rsidRDefault="00BD0D22" w:rsidP="00BD0D22">
            <w:pPr>
              <w:jc w:val="both"/>
            </w:pPr>
            <w:r>
              <w:t>Parliamentary Sitting Week</w:t>
            </w:r>
          </w:p>
        </w:tc>
        <w:tc>
          <w:tcPr>
            <w:tcW w:w="3431" w:type="pct"/>
          </w:tcPr>
          <w:p w14:paraId="7D0AB1E6" w14:textId="66E348B0" w:rsidR="00BD0D22" w:rsidRDefault="00BD0D22" w:rsidP="000F6998">
            <w:pPr>
              <w:jc w:val="both"/>
              <w:cnfStyle w:val="100000000000" w:firstRow="1" w:lastRow="0" w:firstColumn="0" w:lastColumn="0" w:oddVBand="0" w:evenVBand="0" w:oddHBand="0" w:evenHBand="0" w:firstRowFirstColumn="0" w:firstRowLastColumn="0" w:lastRowFirstColumn="0" w:lastRowLastColumn="0"/>
            </w:pPr>
            <w:r>
              <w:t>Event</w:t>
            </w:r>
          </w:p>
        </w:tc>
      </w:tr>
      <w:tr w:rsidR="00BD0D22" w14:paraId="3F1E9021" w14:textId="77777777" w:rsidTr="00BD0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vMerge w:val="restart"/>
          </w:tcPr>
          <w:p w14:paraId="76052341" w14:textId="77777777" w:rsidR="00BD0D22" w:rsidRDefault="00BD0D22" w:rsidP="00BD0D22">
            <w:pPr>
              <w:jc w:val="both"/>
            </w:pPr>
            <w:r>
              <w:t>Week 1</w:t>
            </w:r>
          </w:p>
          <w:p w14:paraId="469ADE43" w14:textId="2B6AD839" w:rsidR="00BD0D22" w:rsidRDefault="00BD0D22" w:rsidP="00BD0D22">
            <w:pPr>
              <w:jc w:val="both"/>
            </w:pPr>
          </w:p>
        </w:tc>
        <w:tc>
          <w:tcPr>
            <w:tcW w:w="3431" w:type="pct"/>
          </w:tcPr>
          <w:p w14:paraId="3E4D86A8" w14:textId="2497245A" w:rsidR="00BD0D22" w:rsidRDefault="00BD0D22" w:rsidP="000F6998">
            <w:pPr>
              <w:jc w:val="both"/>
              <w:cnfStyle w:val="000000100000" w:firstRow="0" w:lastRow="0" w:firstColumn="0" w:lastColumn="0" w:oddVBand="0" w:evenVBand="0" w:oddHBand="1" w:evenHBand="0" w:firstRowFirstColumn="0" w:firstRowLastColumn="0" w:lastRowFirstColumn="0" w:lastRowLastColumn="0"/>
            </w:pPr>
            <w:r>
              <w:t>OPC registers and tables 2013 Instrument</w:t>
            </w:r>
          </w:p>
        </w:tc>
      </w:tr>
      <w:tr w:rsidR="00BD0D22" w14:paraId="0324FD2F" w14:textId="77777777" w:rsidTr="00BD0D22">
        <w:tc>
          <w:tcPr>
            <w:cnfStyle w:val="001000000000" w:firstRow="0" w:lastRow="0" w:firstColumn="1" w:lastColumn="0" w:oddVBand="0" w:evenVBand="0" w:oddHBand="0" w:evenHBand="0" w:firstRowFirstColumn="0" w:firstRowLastColumn="0" w:lastRowFirstColumn="0" w:lastRowLastColumn="0"/>
            <w:tcW w:w="1569" w:type="pct"/>
            <w:vMerge/>
          </w:tcPr>
          <w:p w14:paraId="099D04CA" w14:textId="43A4959E" w:rsidR="00BD0D22" w:rsidRDefault="00BD0D22" w:rsidP="00BD0D22">
            <w:pPr>
              <w:jc w:val="both"/>
            </w:pPr>
          </w:p>
        </w:tc>
        <w:tc>
          <w:tcPr>
            <w:tcW w:w="3431" w:type="pct"/>
          </w:tcPr>
          <w:p w14:paraId="67CD8056" w14:textId="5FB7D861" w:rsidR="00BD0D22" w:rsidRDefault="00BD0D22" w:rsidP="000F6998">
            <w:pPr>
              <w:jc w:val="both"/>
              <w:cnfStyle w:val="000000000000" w:firstRow="0" w:lastRow="0" w:firstColumn="0" w:lastColumn="0" w:oddVBand="0" w:evenVBand="0" w:oddHBand="0" w:evenHBand="0" w:firstRowFirstColumn="0" w:firstRowLastColumn="0" w:lastRowFirstColumn="0" w:lastRowLastColumn="0"/>
            </w:pPr>
            <w:r>
              <w:t>Bill Introduced in the Senate</w:t>
            </w:r>
          </w:p>
        </w:tc>
      </w:tr>
      <w:tr w:rsidR="00BD0D22" w14:paraId="1A270A30" w14:textId="77777777" w:rsidTr="00BD0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tcPr>
          <w:p w14:paraId="3D11B09E" w14:textId="6B8F3652" w:rsidR="00BD0D22" w:rsidRDefault="00BD0D22" w:rsidP="000F6998">
            <w:pPr>
              <w:jc w:val="both"/>
            </w:pPr>
            <w:r>
              <w:t>Week 2</w:t>
            </w:r>
          </w:p>
        </w:tc>
        <w:tc>
          <w:tcPr>
            <w:tcW w:w="3431" w:type="pct"/>
          </w:tcPr>
          <w:p w14:paraId="6AB16E3F" w14:textId="77F55E11" w:rsidR="00BD0D22" w:rsidRDefault="00BD0D22" w:rsidP="000F6998">
            <w:pPr>
              <w:jc w:val="both"/>
              <w:cnfStyle w:val="000000100000" w:firstRow="0" w:lastRow="0" w:firstColumn="0" w:lastColumn="0" w:oddVBand="0" w:evenVBand="0" w:oddHBand="1" w:evenHBand="0" w:firstRowFirstColumn="0" w:firstRowLastColumn="0" w:lastRowFirstColumn="0" w:lastRowLastColumn="0"/>
            </w:pPr>
            <w:r>
              <w:t>Bill may be referred to Committee</w:t>
            </w:r>
          </w:p>
        </w:tc>
      </w:tr>
      <w:tr w:rsidR="00BD0D22" w14:paraId="77A266F1" w14:textId="77777777" w:rsidTr="00BD0D22">
        <w:tc>
          <w:tcPr>
            <w:cnfStyle w:val="001000000000" w:firstRow="0" w:lastRow="0" w:firstColumn="1" w:lastColumn="0" w:oddVBand="0" w:evenVBand="0" w:oddHBand="0" w:evenHBand="0" w:firstRowFirstColumn="0" w:firstRowLastColumn="0" w:lastRowFirstColumn="0" w:lastRowLastColumn="0"/>
            <w:tcW w:w="1569" w:type="pct"/>
          </w:tcPr>
          <w:p w14:paraId="66BE9BE4" w14:textId="63A7F9BA" w:rsidR="00BD0D22" w:rsidRDefault="00BD0D22" w:rsidP="000F6998">
            <w:pPr>
              <w:jc w:val="both"/>
            </w:pPr>
            <w:r>
              <w:t>Week 3</w:t>
            </w:r>
          </w:p>
        </w:tc>
        <w:tc>
          <w:tcPr>
            <w:tcW w:w="3431" w:type="pct"/>
          </w:tcPr>
          <w:p w14:paraId="396F6C78" w14:textId="583A2448" w:rsidR="00BD0D22" w:rsidRDefault="00BD0D22" w:rsidP="000F6998">
            <w:pPr>
              <w:jc w:val="both"/>
              <w:cnfStyle w:val="000000000000" w:firstRow="0" w:lastRow="0" w:firstColumn="0" w:lastColumn="0" w:oddVBand="0" w:evenVBand="0" w:oddHBand="0" w:evenHBand="0" w:firstRowFirstColumn="0" w:firstRowLastColumn="0" w:lastRowFirstColumn="0" w:lastRowLastColumn="0"/>
            </w:pPr>
            <w:r>
              <w:t>Bill passes Senate</w:t>
            </w:r>
          </w:p>
        </w:tc>
      </w:tr>
      <w:tr w:rsidR="00BD0D22" w14:paraId="298A4B9F" w14:textId="77777777" w:rsidTr="00BD0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vMerge w:val="restart"/>
          </w:tcPr>
          <w:p w14:paraId="68388019" w14:textId="77777777" w:rsidR="00BD0D22" w:rsidRDefault="00BD0D22" w:rsidP="000F6998">
            <w:pPr>
              <w:jc w:val="both"/>
            </w:pPr>
            <w:r>
              <w:t>Week 4</w:t>
            </w:r>
          </w:p>
          <w:p w14:paraId="5A972163" w14:textId="2631A928" w:rsidR="00BD0D22" w:rsidRDefault="00BD0D22" w:rsidP="000F6998">
            <w:pPr>
              <w:jc w:val="both"/>
            </w:pPr>
          </w:p>
          <w:p w14:paraId="565E3CBA" w14:textId="5FA3B3B2" w:rsidR="00BD0D22" w:rsidRDefault="00BD0D22" w:rsidP="000F6998">
            <w:pPr>
              <w:jc w:val="both"/>
            </w:pPr>
          </w:p>
        </w:tc>
        <w:tc>
          <w:tcPr>
            <w:tcW w:w="3431" w:type="pct"/>
          </w:tcPr>
          <w:p w14:paraId="784C7DFD" w14:textId="02E6B6A6" w:rsidR="00BD0D22" w:rsidRDefault="00BD0D22" w:rsidP="000F6998">
            <w:pPr>
              <w:jc w:val="both"/>
              <w:cnfStyle w:val="000000100000" w:firstRow="0" w:lastRow="0" w:firstColumn="0" w:lastColumn="0" w:oddVBand="0" w:evenVBand="0" w:oddHBand="1" w:evenHBand="0" w:firstRowFirstColumn="0" w:firstRowLastColumn="0" w:lastRowFirstColumn="0" w:lastRowLastColumn="0"/>
            </w:pPr>
            <w:r>
              <w:t>Bill Introduced to the House and passes the House</w:t>
            </w:r>
          </w:p>
        </w:tc>
      </w:tr>
      <w:tr w:rsidR="00BD0D22" w14:paraId="0D3B6435" w14:textId="77777777" w:rsidTr="00BD0D22">
        <w:tc>
          <w:tcPr>
            <w:cnfStyle w:val="001000000000" w:firstRow="0" w:lastRow="0" w:firstColumn="1" w:lastColumn="0" w:oddVBand="0" w:evenVBand="0" w:oddHBand="0" w:evenHBand="0" w:firstRowFirstColumn="0" w:firstRowLastColumn="0" w:lastRowFirstColumn="0" w:lastRowLastColumn="0"/>
            <w:tcW w:w="1569" w:type="pct"/>
            <w:vMerge/>
          </w:tcPr>
          <w:p w14:paraId="4E6425A1" w14:textId="2CB2BFE6" w:rsidR="00BD0D22" w:rsidRDefault="00BD0D22" w:rsidP="000F6998">
            <w:pPr>
              <w:jc w:val="both"/>
            </w:pPr>
          </w:p>
        </w:tc>
        <w:tc>
          <w:tcPr>
            <w:tcW w:w="3431" w:type="pct"/>
          </w:tcPr>
          <w:p w14:paraId="7304764D" w14:textId="37776055" w:rsidR="00BD0D22" w:rsidRDefault="00BD0D22" w:rsidP="000F6998">
            <w:pPr>
              <w:jc w:val="both"/>
              <w:cnfStyle w:val="000000000000" w:firstRow="0" w:lastRow="0" w:firstColumn="0" w:lastColumn="0" w:oddVBand="0" w:evenVBand="0" w:oddHBand="0" w:evenHBand="0" w:firstRowFirstColumn="0" w:firstRowLastColumn="0" w:lastRowFirstColumn="0" w:lastRowLastColumn="0"/>
            </w:pPr>
            <w:r>
              <w:t>Bill obtains Royal Assent</w:t>
            </w:r>
          </w:p>
        </w:tc>
      </w:tr>
      <w:tr w:rsidR="00BD0D22" w14:paraId="2C001BBF" w14:textId="77777777" w:rsidTr="00BD0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vMerge/>
          </w:tcPr>
          <w:p w14:paraId="6EB93653" w14:textId="5A7389A7" w:rsidR="00BD0D22" w:rsidRDefault="00BD0D22" w:rsidP="000F6998">
            <w:pPr>
              <w:jc w:val="both"/>
            </w:pPr>
          </w:p>
        </w:tc>
        <w:tc>
          <w:tcPr>
            <w:tcW w:w="3431" w:type="pct"/>
          </w:tcPr>
          <w:p w14:paraId="5265F1F5" w14:textId="11A00FA5" w:rsidR="00BD0D22" w:rsidRDefault="00BD0D22" w:rsidP="000F6998">
            <w:pPr>
              <w:jc w:val="both"/>
              <w:cnfStyle w:val="000000100000" w:firstRow="0" w:lastRow="0" w:firstColumn="0" w:lastColumn="0" w:oddVBand="0" w:evenVBand="0" w:oddHBand="1" w:evenHBand="0" w:firstRowFirstColumn="0" w:firstRowLastColumn="0" w:lastRowFirstColumn="0" w:lastRowLastColumn="0"/>
            </w:pPr>
            <w:r>
              <w:t>OPC registers and tables the 2014 Instrument</w:t>
            </w:r>
          </w:p>
        </w:tc>
      </w:tr>
    </w:tbl>
    <w:p w14:paraId="46AAFAAF" w14:textId="77777777" w:rsidR="00EE1270" w:rsidRDefault="00EE1270" w:rsidP="000F6998">
      <w:pPr>
        <w:jc w:val="both"/>
      </w:pPr>
    </w:p>
    <w:p w14:paraId="014CF901" w14:textId="2230D6BE" w:rsidR="00AF55C4" w:rsidRDefault="00435621" w:rsidP="000F6998">
      <w:pPr>
        <w:jc w:val="both"/>
      </w:pPr>
      <w:r>
        <w:t>Following passage of the legislation</w:t>
      </w:r>
      <w:r w:rsidRPr="00570EEF">
        <w:t xml:space="preserve">, </w:t>
      </w:r>
      <w:r w:rsidR="00EE1270">
        <w:t>i</w:t>
      </w:r>
      <w:r>
        <w:t>t is estimated that the recommendations under Option 3 will come into force as per the below table.</w:t>
      </w:r>
      <w:r w:rsidR="00EE1270">
        <w:t xml:space="preserve"> This includes the </w:t>
      </w:r>
      <w:r w:rsidR="00EE1270" w:rsidRPr="00570EEF">
        <w:t xml:space="preserve">public sector </w:t>
      </w:r>
      <w:r w:rsidR="00EE1270">
        <w:t xml:space="preserve">reporting cycle which commenced 1 January 2023 following </w:t>
      </w:r>
      <w:r w:rsidR="00EE1270" w:rsidRPr="00570EEF">
        <w:t xml:space="preserve">the </w:t>
      </w:r>
      <w:r w:rsidR="00EE1270">
        <w:t xml:space="preserve">passage of the </w:t>
      </w:r>
      <w:r w:rsidR="00EE1270" w:rsidRPr="00570EEF">
        <w:t>Respect@Work Bill on 28 November 2022</w:t>
      </w:r>
      <w:r w:rsidR="00EE1270">
        <w:t>.</w:t>
      </w:r>
    </w:p>
    <w:tbl>
      <w:tblPr>
        <w:tblStyle w:val="GridTable5Dark-Accent52"/>
        <w:tblW w:w="5000" w:type="pct"/>
        <w:tblLook w:val="04A0" w:firstRow="1" w:lastRow="0" w:firstColumn="1" w:lastColumn="0" w:noHBand="0" w:noVBand="1"/>
      </w:tblPr>
      <w:tblGrid>
        <w:gridCol w:w="580"/>
        <w:gridCol w:w="1825"/>
        <w:gridCol w:w="1560"/>
        <w:gridCol w:w="5051"/>
      </w:tblGrid>
      <w:tr w:rsidR="00680833" w:rsidRPr="00680833" w14:paraId="70748B45" w14:textId="77777777" w:rsidTr="00D32FA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22" w:type="pct"/>
          </w:tcPr>
          <w:p w14:paraId="149FE2AD" w14:textId="77777777" w:rsidR="00680833" w:rsidRPr="00680833" w:rsidRDefault="00680833" w:rsidP="00680833">
            <w:pPr>
              <w:spacing w:before="60" w:after="60"/>
              <w:rPr>
                <w:rFonts w:eastAsia="Times New Roman" w:cstheme="minorHAnsi"/>
                <w:sz w:val="20"/>
                <w:szCs w:val="20"/>
                <w:lang w:eastAsia="en-AU"/>
              </w:rPr>
            </w:pPr>
            <w:r w:rsidRPr="00680833">
              <w:rPr>
                <w:rFonts w:eastAsia="Times New Roman" w:cstheme="minorHAnsi"/>
                <w:sz w:val="20"/>
                <w:szCs w:val="20"/>
                <w:lang w:eastAsia="en-AU"/>
              </w:rPr>
              <w:t>Rec</w:t>
            </w:r>
          </w:p>
        </w:tc>
        <w:tc>
          <w:tcPr>
            <w:tcW w:w="1877" w:type="pct"/>
            <w:gridSpan w:val="2"/>
          </w:tcPr>
          <w:p w14:paraId="54C7B60D" w14:textId="77777777" w:rsidR="00680833" w:rsidRPr="00680833" w:rsidRDefault="00680833" w:rsidP="00680833">
            <w:pPr>
              <w:spacing w:before="60" w:after="60"/>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Description</w:t>
            </w:r>
          </w:p>
        </w:tc>
        <w:tc>
          <w:tcPr>
            <w:tcW w:w="2802" w:type="pct"/>
          </w:tcPr>
          <w:p w14:paraId="0C9FFB33" w14:textId="54F67C22" w:rsidR="00680833" w:rsidRPr="00680833" w:rsidRDefault="00680833" w:rsidP="00680833">
            <w:pPr>
              <w:spacing w:before="60" w:after="60"/>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Pr>
                <w:rFonts w:eastAsia="Times New Roman" w:cstheme="minorHAnsi"/>
                <w:sz w:val="20"/>
                <w:szCs w:val="20"/>
                <w:lang w:eastAsia="en-AU"/>
              </w:rPr>
              <w:t>Implementation of R</w:t>
            </w:r>
            <w:r w:rsidRPr="00680833">
              <w:rPr>
                <w:rFonts w:eastAsia="Times New Roman" w:cstheme="minorHAnsi"/>
                <w:sz w:val="20"/>
                <w:szCs w:val="20"/>
                <w:lang w:eastAsia="en-AU"/>
              </w:rPr>
              <w:t>ecommendations</w:t>
            </w:r>
          </w:p>
        </w:tc>
      </w:tr>
      <w:tr w:rsidR="00680833" w:rsidRPr="00680833" w14:paraId="080C718E" w14:textId="77777777" w:rsidTr="00D32F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 w:type="pct"/>
            <w:vMerge w:val="restart"/>
          </w:tcPr>
          <w:p w14:paraId="0F367B4D" w14:textId="77777777" w:rsidR="00680833" w:rsidRPr="00680833" w:rsidRDefault="00680833" w:rsidP="00680833">
            <w:pPr>
              <w:spacing w:before="60" w:after="60"/>
              <w:rPr>
                <w:rFonts w:eastAsia="Times New Roman" w:cstheme="minorHAnsi"/>
                <w:sz w:val="20"/>
                <w:szCs w:val="20"/>
                <w:lang w:eastAsia="en-AU"/>
              </w:rPr>
            </w:pPr>
            <w:r w:rsidRPr="00680833">
              <w:rPr>
                <w:rFonts w:eastAsia="Times New Roman" w:cstheme="minorHAnsi"/>
                <w:sz w:val="20"/>
                <w:szCs w:val="20"/>
                <w:lang w:eastAsia="en-AU"/>
              </w:rPr>
              <w:t>2</w:t>
            </w:r>
          </w:p>
          <w:p w14:paraId="3824F36B" w14:textId="77777777" w:rsidR="00680833" w:rsidRPr="00680833" w:rsidRDefault="00680833" w:rsidP="00680833">
            <w:pPr>
              <w:spacing w:before="60" w:after="60"/>
              <w:rPr>
                <w:rFonts w:eastAsia="Times New Roman" w:cstheme="minorHAnsi"/>
                <w:sz w:val="20"/>
                <w:szCs w:val="20"/>
                <w:lang w:eastAsia="en-AU"/>
              </w:rPr>
            </w:pPr>
          </w:p>
        </w:tc>
        <w:tc>
          <w:tcPr>
            <w:tcW w:w="1012" w:type="pct"/>
            <w:vMerge w:val="restart"/>
          </w:tcPr>
          <w:p w14:paraId="7C9B1D6B" w14:textId="1B672DE7" w:rsidR="00680833" w:rsidRPr="00680833" w:rsidRDefault="00680833" w:rsidP="0068083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Publishing</w:t>
            </w:r>
            <w:r w:rsidR="00AF55C4">
              <w:rPr>
                <w:rFonts w:eastAsia="Times New Roman" w:cstheme="minorHAnsi"/>
                <w:sz w:val="20"/>
                <w:szCs w:val="20"/>
                <w:lang w:eastAsia="en-AU"/>
              </w:rPr>
              <w:t xml:space="preserve"> the</w:t>
            </w:r>
            <w:r w:rsidRPr="00680833">
              <w:rPr>
                <w:rFonts w:eastAsia="Times New Roman" w:cstheme="minorHAnsi"/>
                <w:sz w:val="20"/>
                <w:szCs w:val="20"/>
                <w:lang w:eastAsia="en-AU"/>
              </w:rPr>
              <w:t xml:space="preserve"> Organisational Gender Pay Gap </w:t>
            </w:r>
          </w:p>
        </w:tc>
        <w:tc>
          <w:tcPr>
            <w:tcW w:w="865" w:type="pct"/>
          </w:tcPr>
          <w:p w14:paraId="65C491FF" w14:textId="77777777" w:rsidR="00680833" w:rsidRPr="00680833" w:rsidRDefault="00680833" w:rsidP="0068083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Private Sector</w:t>
            </w:r>
          </w:p>
        </w:tc>
        <w:tc>
          <w:tcPr>
            <w:tcW w:w="2802" w:type="pct"/>
          </w:tcPr>
          <w:p w14:paraId="49EF9AA4" w14:textId="1F6FDC21" w:rsidR="00680833" w:rsidRPr="00680833" w:rsidRDefault="00AF55C4" w:rsidP="004D0539">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Pr>
                <w:rFonts w:eastAsia="Times New Roman" w:cstheme="minorHAnsi"/>
                <w:sz w:val="20"/>
                <w:szCs w:val="20"/>
                <w:lang w:eastAsia="en-AU"/>
              </w:rPr>
              <w:t>Recommendation applied for publication using</w:t>
            </w:r>
            <w:r w:rsidR="00680833" w:rsidRPr="00680833">
              <w:rPr>
                <w:rFonts w:eastAsia="Times New Roman" w:cstheme="minorHAnsi"/>
                <w:sz w:val="20"/>
                <w:szCs w:val="20"/>
                <w:lang w:eastAsia="en-AU"/>
              </w:rPr>
              <w:t xml:space="preserve"> 2022-20</w:t>
            </w:r>
            <w:r w:rsidR="00680833">
              <w:rPr>
                <w:rFonts w:eastAsia="Times New Roman" w:cstheme="minorHAnsi"/>
                <w:sz w:val="20"/>
                <w:szCs w:val="20"/>
                <w:lang w:eastAsia="en-AU"/>
              </w:rPr>
              <w:t>23 data.</w:t>
            </w:r>
          </w:p>
        </w:tc>
      </w:tr>
      <w:tr w:rsidR="00D32FA9" w:rsidRPr="00680833" w14:paraId="5D481E7F" w14:textId="77777777" w:rsidTr="00D32FA9">
        <w:trPr>
          <w:trHeight w:val="20"/>
        </w:trPr>
        <w:tc>
          <w:tcPr>
            <w:cnfStyle w:val="001000000000" w:firstRow="0" w:lastRow="0" w:firstColumn="1" w:lastColumn="0" w:oddVBand="0" w:evenVBand="0" w:oddHBand="0" w:evenHBand="0" w:firstRowFirstColumn="0" w:firstRowLastColumn="0" w:lastRowFirstColumn="0" w:lastRowLastColumn="0"/>
            <w:tcW w:w="322" w:type="pct"/>
            <w:vMerge/>
          </w:tcPr>
          <w:p w14:paraId="606CFE3F" w14:textId="77777777" w:rsidR="00680833" w:rsidRPr="00680833" w:rsidRDefault="00680833" w:rsidP="00680833">
            <w:pPr>
              <w:spacing w:before="60" w:after="60"/>
              <w:rPr>
                <w:rFonts w:eastAsia="Times New Roman" w:cstheme="minorHAnsi"/>
                <w:sz w:val="20"/>
                <w:szCs w:val="20"/>
                <w:lang w:eastAsia="en-AU"/>
              </w:rPr>
            </w:pPr>
          </w:p>
        </w:tc>
        <w:tc>
          <w:tcPr>
            <w:tcW w:w="1012" w:type="pct"/>
            <w:vMerge/>
          </w:tcPr>
          <w:p w14:paraId="5062906D" w14:textId="77777777" w:rsidR="00680833" w:rsidRPr="00680833" w:rsidRDefault="00680833" w:rsidP="0068083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865" w:type="pct"/>
          </w:tcPr>
          <w:p w14:paraId="704B81C2" w14:textId="77777777" w:rsidR="00680833" w:rsidRPr="00680833" w:rsidRDefault="00680833" w:rsidP="0068083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Public Sector</w:t>
            </w:r>
          </w:p>
        </w:tc>
        <w:tc>
          <w:tcPr>
            <w:tcW w:w="2802" w:type="pct"/>
          </w:tcPr>
          <w:p w14:paraId="1BBDD95A" w14:textId="74216871" w:rsidR="00680833" w:rsidRPr="00680833" w:rsidRDefault="00AF55C4" w:rsidP="00AF55C4">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Pr>
                <w:rFonts w:eastAsia="Times New Roman" w:cstheme="minorHAnsi"/>
                <w:sz w:val="20"/>
                <w:szCs w:val="20"/>
                <w:lang w:eastAsia="en-AU"/>
              </w:rPr>
              <w:t xml:space="preserve">Recommendation applied for publication </w:t>
            </w:r>
            <w:r w:rsidR="00680833" w:rsidRPr="00680833">
              <w:rPr>
                <w:rFonts w:eastAsia="Times New Roman" w:cstheme="minorHAnsi"/>
                <w:sz w:val="20"/>
                <w:szCs w:val="20"/>
                <w:lang w:eastAsia="en-AU"/>
              </w:rPr>
              <w:t xml:space="preserve">in </w:t>
            </w:r>
            <w:r>
              <w:rPr>
                <w:rFonts w:eastAsia="Times New Roman" w:cstheme="minorHAnsi"/>
                <w:sz w:val="20"/>
                <w:szCs w:val="20"/>
                <w:lang w:eastAsia="en-AU"/>
              </w:rPr>
              <w:t>2024 using 2023 data.</w:t>
            </w:r>
          </w:p>
        </w:tc>
      </w:tr>
      <w:tr w:rsidR="00680833" w:rsidRPr="00680833" w14:paraId="0D50FDC1" w14:textId="77777777" w:rsidTr="00D32F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 w:type="pct"/>
            <w:vMerge w:val="restart"/>
          </w:tcPr>
          <w:p w14:paraId="32C6CEF2" w14:textId="3E249D5D" w:rsidR="00680833" w:rsidRPr="00680833" w:rsidRDefault="00AF55C4" w:rsidP="00680833">
            <w:pPr>
              <w:spacing w:before="60" w:after="60"/>
              <w:rPr>
                <w:rFonts w:eastAsia="Times New Roman" w:cstheme="minorHAnsi"/>
                <w:sz w:val="20"/>
                <w:szCs w:val="20"/>
                <w:lang w:eastAsia="en-AU"/>
              </w:rPr>
            </w:pPr>
            <w:r>
              <w:rPr>
                <w:rFonts w:eastAsia="Times New Roman" w:cstheme="minorHAnsi"/>
                <w:sz w:val="20"/>
                <w:szCs w:val="20"/>
                <w:lang w:eastAsia="en-AU"/>
              </w:rPr>
              <w:t>3</w:t>
            </w:r>
          </w:p>
        </w:tc>
        <w:tc>
          <w:tcPr>
            <w:tcW w:w="1012" w:type="pct"/>
            <w:vMerge w:val="restart"/>
          </w:tcPr>
          <w:p w14:paraId="0FFDE778" w14:textId="0E28583B" w:rsidR="00680833" w:rsidRPr="00680833" w:rsidRDefault="00AF55C4" w:rsidP="0068083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Pr>
                <w:rFonts w:eastAsia="Times New Roman" w:cstheme="minorHAnsi"/>
                <w:sz w:val="20"/>
                <w:szCs w:val="20"/>
                <w:lang w:eastAsia="en-AU"/>
              </w:rPr>
              <w:t>Bridge the ‘action gap’ with new gender equality standards</w:t>
            </w:r>
          </w:p>
        </w:tc>
        <w:tc>
          <w:tcPr>
            <w:tcW w:w="865" w:type="pct"/>
          </w:tcPr>
          <w:p w14:paraId="1AA599FF" w14:textId="77777777" w:rsidR="00680833" w:rsidRPr="00680833" w:rsidRDefault="00680833" w:rsidP="0068083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Private Sector</w:t>
            </w:r>
          </w:p>
        </w:tc>
        <w:tc>
          <w:tcPr>
            <w:tcW w:w="2802" w:type="pct"/>
          </w:tcPr>
          <w:p w14:paraId="63C1651D" w14:textId="27113F78" w:rsidR="00680833" w:rsidRPr="00680833" w:rsidRDefault="00AF55C4" w:rsidP="0068083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Recommendation a</w:t>
            </w:r>
            <w:r>
              <w:rPr>
                <w:rFonts w:eastAsia="Times New Roman" w:cstheme="minorHAnsi"/>
                <w:sz w:val="20"/>
                <w:szCs w:val="20"/>
                <w:lang w:eastAsia="en-AU"/>
              </w:rPr>
              <w:t>pplied for reporting period</w:t>
            </w:r>
            <w:r w:rsidRPr="00680833">
              <w:rPr>
                <w:rFonts w:eastAsia="Times New Roman" w:cstheme="minorHAnsi"/>
                <w:sz w:val="20"/>
                <w:szCs w:val="20"/>
                <w:lang w:eastAsia="en-AU"/>
              </w:rPr>
              <w:t xml:space="preserve"> </w:t>
            </w:r>
            <w:r>
              <w:rPr>
                <w:rFonts w:eastAsia="Times New Roman" w:cstheme="minorHAnsi"/>
                <w:sz w:val="20"/>
                <w:szCs w:val="20"/>
                <w:lang w:eastAsia="en-AU"/>
              </w:rPr>
              <w:t xml:space="preserve">commencing </w:t>
            </w:r>
            <w:r w:rsidR="00680833" w:rsidRPr="00680833">
              <w:rPr>
                <w:rFonts w:eastAsia="Times New Roman" w:cstheme="minorHAnsi"/>
                <w:b/>
                <w:sz w:val="20"/>
                <w:szCs w:val="20"/>
                <w:lang w:eastAsia="en-AU"/>
              </w:rPr>
              <w:t>1 April 2023</w:t>
            </w:r>
          </w:p>
        </w:tc>
      </w:tr>
      <w:tr w:rsidR="00D32FA9" w:rsidRPr="00680833" w14:paraId="7E5B5DD5" w14:textId="77777777" w:rsidTr="00D32FA9">
        <w:trPr>
          <w:trHeight w:val="590"/>
        </w:trPr>
        <w:tc>
          <w:tcPr>
            <w:cnfStyle w:val="001000000000" w:firstRow="0" w:lastRow="0" w:firstColumn="1" w:lastColumn="0" w:oddVBand="0" w:evenVBand="0" w:oddHBand="0" w:evenHBand="0" w:firstRowFirstColumn="0" w:firstRowLastColumn="0" w:lastRowFirstColumn="0" w:lastRowLastColumn="0"/>
            <w:tcW w:w="322" w:type="pct"/>
            <w:vMerge/>
          </w:tcPr>
          <w:p w14:paraId="77237E05" w14:textId="77777777" w:rsidR="00680833" w:rsidRPr="00680833" w:rsidRDefault="00680833" w:rsidP="00680833">
            <w:pPr>
              <w:spacing w:before="60" w:after="60"/>
              <w:rPr>
                <w:rFonts w:eastAsia="Times New Roman" w:cstheme="minorHAnsi"/>
                <w:sz w:val="20"/>
                <w:szCs w:val="20"/>
                <w:lang w:eastAsia="en-AU"/>
              </w:rPr>
            </w:pPr>
          </w:p>
        </w:tc>
        <w:tc>
          <w:tcPr>
            <w:tcW w:w="1012" w:type="pct"/>
            <w:vMerge/>
          </w:tcPr>
          <w:p w14:paraId="27A68CC4" w14:textId="77777777" w:rsidR="00680833" w:rsidRPr="00680833" w:rsidRDefault="00680833" w:rsidP="0068083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865" w:type="pct"/>
          </w:tcPr>
          <w:p w14:paraId="3B72F3ED" w14:textId="77777777" w:rsidR="00680833" w:rsidRPr="00680833" w:rsidRDefault="00680833" w:rsidP="0068083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Public Sector</w:t>
            </w:r>
          </w:p>
        </w:tc>
        <w:tc>
          <w:tcPr>
            <w:tcW w:w="2802" w:type="pct"/>
          </w:tcPr>
          <w:p w14:paraId="440491D4" w14:textId="75C52E6A" w:rsidR="00680833" w:rsidRPr="00680833" w:rsidRDefault="00AF55C4" w:rsidP="0068083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Recommendation a</w:t>
            </w:r>
            <w:r>
              <w:rPr>
                <w:rFonts w:eastAsia="Times New Roman" w:cstheme="minorHAnsi"/>
                <w:sz w:val="20"/>
                <w:szCs w:val="20"/>
                <w:lang w:eastAsia="en-AU"/>
              </w:rPr>
              <w:t>pplied for reporting period</w:t>
            </w:r>
            <w:r w:rsidRPr="00680833">
              <w:rPr>
                <w:rFonts w:eastAsia="Times New Roman" w:cstheme="minorHAnsi"/>
                <w:sz w:val="20"/>
                <w:szCs w:val="20"/>
                <w:lang w:eastAsia="en-AU"/>
              </w:rPr>
              <w:t xml:space="preserve"> </w:t>
            </w:r>
            <w:r>
              <w:rPr>
                <w:rFonts w:eastAsia="Times New Roman" w:cstheme="minorHAnsi"/>
                <w:sz w:val="20"/>
                <w:szCs w:val="20"/>
                <w:lang w:eastAsia="en-AU"/>
              </w:rPr>
              <w:t xml:space="preserve">commencing </w:t>
            </w:r>
            <w:r w:rsidR="00680833" w:rsidRPr="00680833">
              <w:rPr>
                <w:rFonts w:eastAsia="Times New Roman" w:cstheme="minorHAnsi"/>
                <w:b/>
                <w:sz w:val="20"/>
                <w:szCs w:val="20"/>
                <w:lang w:eastAsia="en-AU"/>
              </w:rPr>
              <w:t>1 January 2024</w:t>
            </w:r>
          </w:p>
        </w:tc>
      </w:tr>
      <w:tr w:rsidR="00680833" w:rsidRPr="00680833" w14:paraId="6D500746" w14:textId="77777777" w:rsidTr="00D32F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 w:type="pct"/>
            <w:vMerge w:val="restart"/>
          </w:tcPr>
          <w:p w14:paraId="7AF0AD94" w14:textId="0A2019A8" w:rsidR="00680833" w:rsidRPr="00680833" w:rsidRDefault="00AF55C4" w:rsidP="00680833">
            <w:pPr>
              <w:spacing w:before="60" w:after="60"/>
              <w:rPr>
                <w:rFonts w:eastAsia="Times New Roman" w:cstheme="minorHAnsi"/>
                <w:sz w:val="20"/>
                <w:szCs w:val="20"/>
                <w:lang w:eastAsia="en-AU"/>
              </w:rPr>
            </w:pPr>
            <w:r>
              <w:rPr>
                <w:rFonts w:eastAsia="Times New Roman" w:cstheme="minorHAnsi"/>
                <w:sz w:val="20"/>
                <w:szCs w:val="20"/>
                <w:lang w:eastAsia="en-AU"/>
              </w:rPr>
              <w:t>4</w:t>
            </w:r>
          </w:p>
          <w:p w14:paraId="7E3FF91A" w14:textId="77777777" w:rsidR="00680833" w:rsidRPr="00680833" w:rsidRDefault="00680833" w:rsidP="00680833">
            <w:pPr>
              <w:spacing w:before="60" w:after="60"/>
              <w:rPr>
                <w:rFonts w:eastAsia="Times New Roman" w:cstheme="minorHAnsi"/>
                <w:sz w:val="20"/>
                <w:szCs w:val="20"/>
                <w:lang w:eastAsia="en-AU"/>
              </w:rPr>
            </w:pPr>
          </w:p>
        </w:tc>
        <w:tc>
          <w:tcPr>
            <w:tcW w:w="1012" w:type="pct"/>
            <w:vMerge w:val="restart"/>
          </w:tcPr>
          <w:p w14:paraId="774461D6" w14:textId="2CB0BBD9" w:rsidR="00680833" w:rsidRPr="00680833" w:rsidRDefault="00AF55C4" w:rsidP="0068083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Pr>
                <w:rFonts w:eastAsia="Times New Roman" w:cstheme="minorHAnsi"/>
                <w:sz w:val="20"/>
                <w:szCs w:val="20"/>
                <w:lang w:eastAsia="en-AU"/>
              </w:rPr>
              <w:t>Reduce the regulatory burden on employers</w:t>
            </w:r>
          </w:p>
          <w:p w14:paraId="156A57A4" w14:textId="77777777" w:rsidR="00680833" w:rsidRPr="00680833" w:rsidRDefault="00680833" w:rsidP="0068083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865" w:type="pct"/>
          </w:tcPr>
          <w:p w14:paraId="2BB0DCA9" w14:textId="77777777" w:rsidR="00680833" w:rsidRPr="00680833" w:rsidRDefault="00680833" w:rsidP="0068083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Private Sector</w:t>
            </w:r>
          </w:p>
        </w:tc>
        <w:tc>
          <w:tcPr>
            <w:tcW w:w="2802" w:type="pct"/>
          </w:tcPr>
          <w:p w14:paraId="253E97BD" w14:textId="200A5964" w:rsidR="00680833" w:rsidRPr="00680833" w:rsidRDefault="00680833" w:rsidP="00AF55C4">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Recommendation a</w:t>
            </w:r>
            <w:r w:rsidR="00AF55C4">
              <w:rPr>
                <w:rFonts w:eastAsia="Times New Roman" w:cstheme="minorHAnsi"/>
                <w:sz w:val="20"/>
                <w:szCs w:val="20"/>
                <w:lang w:eastAsia="en-AU"/>
              </w:rPr>
              <w:t>pplied for reporting period</w:t>
            </w:r>
            <w:r w:rsidRPr="00680833">
              <w:rPr>
                <w:rFonts w:eastAsia="Times New Roman" w:cstheme="minorHAnsi"/>
                <w:sz w:val="20"/>
                <w:szCs w:val="20"/>
                <w:lang w:eastAsia="en-AU"/>
              </w:rPr>
              <w:t xml:space="preserve"> </w:t>
            </w:r>
            <w:r w:rsidR="00AF55C4">
              <w:rPr>
                <w:rFonts w:eastAsia="Times New Roman" w:cstheme="minorHAnsi"/>
                <w:sz w:val="20"/>
                <w:szCs w:val="20"/>
                <w:lang w:eastAsia="en-AU"/>
              </w:rPr>
              <w:t xml:space="preserve">commencing </w:t>
            </w:r>
            <w:r w:rsidRPr="00680833">
              <w:rPr>
                <w:rFonts w:eastAsia="Times New Roman" w:cstheme="minorHAnsi"/>
                <w:b/>
                <w:sz w:val="20"/>
                <w:szCs w:val="20"/>
                <w:lang w:eastAsia="en-AU"/>
              </w:rPr>
              <w:t>1 April 2023</w:t>
            </w:r>
          </w:p>
        </w:tc>
      </w:tr>
      <w:tr w:rsidR="00D32FA9" w:rsidRPr="00680833" w14:paraId="599E5AA6" w14:textId="77777777" w:rsidTr="00D32FA9">
        <w:trPr>
          <w:trHeight w:val="20"/>
        </w:trPr>
        <w:tc>
          <w:tcPr>
            <w:cnfStyle w:val="001000000000" w:firstRow="0" w:lastRow="0" w:firstColumn="1" w:lastColumn="0" w:oddVBand="0" w:evenVBand="0" w:oddHBand="0" w:evenHBand="0" w:firstRowFirstColumn="0" w:firstRowLastColumn="0" w:lastRowFirstColumn="0" w:lastRowLastColumn="0"/>
            <w:tcW w:w="322" w:type="pct"/>
            <w:vMerge/>
          </w:tcPr>
          <w:p w14:paraId="3233EB90" w14:textId="77777777" w:rsidR="00680833" w:rsidRPr="00680833" w:rsidRDefault="00680833" w:rsidP="00680833">
            <w:pPr>
              <w:spacing w:before="60" w:after="60"/>
              <w:rPr>
                <w:rFonts w:eastAsia="Times New Roman" w:cstheme="minorHAnsi"/>
                <w:sz w:val="20"/>
                <w:szCs w:val="20"/>
                <w:lang w:eastAsia="en-AU"/>
              </w:rPr>
            </w:pPr>
          </w:p>
        </w:tc>
        <w:tc>
          <w:tcPr>
            <w:tcW w:w="1012" w:type="pct"/>
            <w:vMerge/>
          </w:tcPr>
          <w:p w14:paraId="0CE0B2C8" w14:textId="77777777" w:rsidR="00680833" w:rsidRPr="00680833" w:rsidRDefault="00680833" w:rsidP="0068083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865" w:type="pct"/>
          </w:tcPr>
          <w:p w14:paraId="2337505D" w14:textId="77777777" w:rsidR="00680833" w:rsidRPr="00680833" w:rsidRDefault="00680833" w:rsidP="0068083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Public Sector</w:t>
            </w:r>
          </w:p>
        </w:tc>
        <w:tc>
          <w:tcPr>
            <w:tcW w:w="2802" w:type="pct"/>
          </w:tcPr>
          <w:p w14:paraId="1C12D1FC" w14:textId="638F9756" w:rsidR="00680833" w:rsidRPr="00680833" w:rsidRDefault="00AF55C4" w:rsidP="0068083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AU"/>
              </w:rPr>
            </w:pPr>
            <w:r w:rsidRPr="00680833">
              <w:rPr>
                <w:rFonts w:eastAsia="Times New Roman" w:cstheme="minorHAnsi"/>
                <w:sz w:val="20"/>
                <w:szCs w:val="20"/>
                <w:lang w:eastAsia="en-AU"/>
              </w:rPr>
              <w:t>Recommendation a</w:t>
            </w:r>
            <w:r>
              <w:rPr>
                <w:rFonts w:eastAsia="Times New Roman" w:cstheme="minorHAnsi"/>
                <w:sz w:val="20"/>
                <w:szCs w:val="20"/>
                <w:lang w:eastAsia="en-AU"/>
              </w:rPr>
              <w:t>pplied for reporting period</w:t>
            </w:r>
            <w:r w:rsidRPr="00680833">
              <w:rPr>
                <w:rFonts w:eastAsia="Times New Roman" w:cstheme="minorHAnsi"/>
                <w:sz w:val="20"/>
                <w:szCs w:val="20"/>
                <w:lang w:eastAsia="en-AU"/>
              </w:rPr>
              <w:t xml:space="preserve"> </w:t>
            </w:r>
            <w:r>
              <w:rPr>
                <w:rFonts w:eastAsia="Times New Roman" w:cstheme="minorHAnsi"/>
                <w:sz w:val="20"/>
                <w:szCs w:val="20"/>
                <w:lang w:eastAsia="en-AU"/>
              </w:rPr>
              <w:t xml:space="preserve">commencing </w:t>
            </w:r>
            <w:r w:rsidR="00680833" w:rsidRPr="00680833">
              <w:rPr>
                <w:rFonts w:eastAsia="Times New Roman" w:cstheme="minorHAnsi"/>
                <w:b/>
                <w:sz w:val="20"/>
                <w:szCs w:val="20"/>
                <w:lang w:eastAsia="en-AU"/>
              </w:rPr>
              <w:t>1 January 2024</w:t>
            </w:r>
          </w:p>
          <w:p w14:paraId="190E6DFE" w14:textId="77777777" w:rsidR="00680833" w:rsidRPr="00680833" w:rsidRDefault="00680833" w:rsidP="0068083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r>
      <w:tr w:rsidR="00680833" w:rsidRPr="00680833" w14:paraId="2F8FA89F" w14:textId="77777777" w:rsidTr="00D32F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 w:type="pct"/>
            <w:vMerge w:val="restart"/>
          </w:tcPr>
          <w:p w14:paraId="52D8DEE2" w14:textId="77777777" w:rsidR="00680833" w:rsidRPr="00680833" w:rsidRDefault="00680833" w:rsidP="00680833">
            <w:pPr>
              <w:spacing w:before="60" w:after="60"/>
              <w:rPr>
                <w:rFonts w:eastAsia="Times New Roman" w:cstheme="minorHAnsi"/>
                <w:sz w:val="20"/>
                <w:szCs w:val="20"/>
                <w:lang w:eastAsia="en-AU"/>
              </w:rPr>
            </w:pPr>
            <w:r w:rsidRPr="00680833">
              <w:rPr>
                <w:rFonts w:eastAsia="Times New Roman" w:cstheme="minorHAnsi"/>
                <w:sz w:val="20"/>
                <w:szCs w:val="20"/>
                <w:lang w:eastAsia="en-AU"/>
              </w:rPr>
              <w:t>7.1</w:t>
            </w:r>
          </w:p>
          <w:p w14:paraId="64EB6894" w14:textId="77777777" w:rsidR="00680833" w:rsidRPr="00680833" w:rsidRDefault="00680833" w:rsidP="00680833">
            <w:pPr>
              <w:spacing w:before="60" w:after="60"/>
              <w:rPr>
                <w:rFonts w:eastAsia="Times New Roman" w:cstheme="minorHAnsi"/>
                <w:sz w:val="20"/>
                <w:szCs w:val="20"/>
                <w:lang w:eastAsia="en-AU"/>
              </w:rPr>
            </w:pPr>
          </w:p>
        </w:tc>
        <w:tc>
          <w:tcPr>
            <w:tcW w:w="1012" w:type="pct"/>
            <w:vMerge w:val="restart"/>
          </w:tcPr>
          <w:p w14:paraId="3617F43F" w14:textId="326A8EC1" w:rsidR="00680833" w:rsidRPr="00680833" w:rsidRDefault="00D32FA9" w:rsidP="00D32FA9">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Pr>
                <w:rFonts w:eastAsia="Times New Roman" w:cstheme="minorHAnsi"/>
                <w:sz w:val="20"/>
                <w:szCs w:val="20"/>
                <w:lang w:eastAsia="en-AU"/>
              </w:rPr>
              <w:t>Refine gender equality indicators to expand mandatory reporting</w:t>
            </w:r>
          </w:p>
        </w:tc>
        <w:tc>
          <w:tcPr>
            <w:tcW w:w="865" w:type="pct"/>
          </w:tcPr>
          <w:p w14:paraId="72F1411B" w14:textId="22493DE6" w:rsidR="00680833" w:rsidRPr="00680833" w:rsidRDefault="00680833" w:rsidP="0068083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Private Sector</w:t>
            </w:r>
          </w:p>
        </w:tc>
        <w:tc>
          <w:tcPr>
            <w:tcW w:w="2802" w:type="pct"/>
          </w:tcPr>
          <w:p w14:paraId="50678CC1" w14:textId="7DDE4D76" w:rsidR="00680833" w:rsidRPr="00680833" w:rsidRDefault="00D32FA9" w:rsidP="0068083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Recommendation a</w:t>
            </w:r>
            <w:r>
              <w:rPr>
                <w:rFonts w:eastAsia="Times New Roman" w:cstheme="minorHAnsi"/>
                <w:sz w:val="20"/>
                <w:szCs w:val="20"/>
                <w:lang w:eastAsia="en-AU"/>
              </w:rPr>
              <w:t>pplied for reporting period</w:t>
            </w:r>
            <w:r w:rsidRPr="00680833">
              <w:rPr>
                <w:rFonts w:eastAsia="Times New Roman" w:cstheme="minorHAnsi"/>
                <w:sz w:val="20"/>
                <w:szCs w:val="20"/>
                <w:lang w:eastAsia="en-AU"/>
              </w:rPr>
              <w:t xml:space="preserve"> </w:t>
            </w:r>
            <w:r>
              <w:rPr>
                <w:rFonts w:eastAsia="Times New Roman" w:cstheme="minorHAnsi"/>
                <w:sz w:val="20"/>
                <w:szCs w:val="20"/>
                <w:lang w:eastAsia="en-AU"/>
              </w:rPr>
              <w:t xml:space="preserve">commencing </w:t>
            </w:r>
            <w:r w:rsidR="00680833" w:rsidRPr="00680833">
              <w:rPr>
                <w:rFonts w:eastAsia="Times New Roman" w:cstheme="minorHAnsi"/>
                <w:b/>
                <w:sz w:val="20"/>
                <w:szCs w:val="20"/>
                <w:lang w:eastAsia="en-AU"/>
              </w:rPr>
              <w:t>1 April 2023</w:t>
            </w:r>
          </w:p>
        </w:tc>
      </w:tr>
      <w:tr w:rsidR="00AF55C4" w:rsidRPr="00680833" w14:paraId="13A95692" w14:textId="77777777" w:rsidTr="00D32FA9">
        <w:trPr>
          <w:trHeight w:val="20"/>
        </w:trPr>
        <w:tc>
          <w:tcPr>
            <w:cnfStyle w:val="001000000000" w:firstRow="0" w:lastRow="0" w:firstColumn="1" w:lastColumn="0" w:oddVBand="0" w:evenVBand="0" w:oddHBand="0" w:evenHBand="0" w:firstRowFirstColumn="0" w:firstRowLastColumn="0" w:lastRowFirstColumn="0" w:lastRowLastColumn="0"/>
            <w:tcW w:w="322" w:type="pct"/>
            <w:vMerge/>
          </w:tcPr>
          <w:p w14:paraId="3544B3CE" w14:textId="77777777" w:rsidR="00680833" w:rsidRPr="00680833" w:rsidRDefault="00680833" w:rsidP="00680833">
            <w:pPr>
              <w:spacing w:before="60" w:after="60"/>
              <w:rPr>
                <w:rFonts w:eastAsia="Times New Roman" w:cstheme="minorHAnsi"/>
                <w:sz w:val="20"/>
                <w:szCs w:val="20"/>
                <w:lang w:eastAsia="en-AU"/>
              </w:rPr>
            </w:pPr>
          </w:p>
        </w:tc>
        <w:tc>
          <w:tcPr>
            <w:tcW w:w="1012" w:type="pct"/>
            <w:vMerge/>
          </w:tcPr>
          <w:p w14:paraId="27B2A9B9" w14:textId="77777777" w:rsidR="00680833" w:rsidRPr="00680833" w:rsidRDefault="00680833" w:rsidP="0068083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865" w:type="pct"/>
          </w:tcPr>
          <w:p w14:paraId="0C25E76A" w14:textId="77777777" w:rsidR="00680833" w:rsidRPr="00680833" w:rsidRDefault="00680833" w:rsidP="0068083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Public Sector</w:t>
            </w:r>
          </w:p>
        </w:tc>
        <w:tc>
          <w:tcPr>
            <w:tcW w:w="2802" w:type="pct"/>
          </w:tcPr>
          <w:p w14:paraId="252B92BE" w14:textId="1498127E" w:rsidR="00680833" w:rsidRPr="00680833" w:rsidRDefault="00D32FA9" w:rsidP="0068083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Recommendation a</w:t>
            </w:r>
            <w:r>
              <w:rPr>
                <w:rFonts w:eastAsia="Times New Roman" w:cstheme="minorHAnsi"/>
                <w:sz w:val="20"/>
                <w:szCs w:val="20"/>
                <w:lang w:eastAsia="en-AU"/>
              </w:rPr>
              <w:t>pplied for reporting period</w:t>
            </w:r>
            <w:r w:rsidRPr="00680833">
              <w:rPr>
                <w:rFonts w:eastAsia="Times New Roman" w:cstheme="minorHAnsi"/>
                <w:sz w:val="20"/>
                <w:szCs w:val="20"/>
                <w:lang w:eastAsia="en-AU"/>
              </w:rPr>
              <w:t xml:space="preserve"> </w:t>
            </w:r>
            <w:r>
              <w:rPr>
                <w:rFonts w:eastAsia="Times New Roman" w:cstheme="minorHAnsi"/>
                <w:sz w:val="20"/>
                <w:szCs w:val="20"/>
                <w:lang w:eastAsia="en-AU"/>
              </w:rPr>
              <w:t xml:space="preserve">commencing </w:t>
            </w:r>
            <w:r w:rsidR="00680833" w:rsidRPr="00680833">
              <w:rPr>
                <w:rFonts w:eastAsia="Times New Roman" w:cstheme="minorHAnsi"/>
                <w:b/>
                <w:sz w:val="20"/>
                <w:szCs w:val="20"/>
                <w:lang w:eastAsia="en-AU"/>
              </w:rPr>
              <w:t>1 January 2024</w:t>
            </w:r>
          </w:p>
        </w:tc>
      </w:tr>
      <w:tr w:rsidR="00680833" w:rsidRPr="00680833" w14:paraId="34A75390" w14:textId="77777777" w:rsidTr="00D32FA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22" w:type="pct"/>
          </w:tcPr>
          <w:p w14:paraId="2243A8F7" w14:textId="77777777" w:rsidR="00680833" w:rsidRPr="00680833" w:rsidRDefault="00680833" w:rsidP="00680833">
            <w:pPr>
              <w:spacing w:before="60" w:after="60"/>
              <w:rPr>
                <w:rFonts w:eastAsia="Times New Roman" w:cstheme="minorHAnsi"/>
                <w:sz w:val="20"/>
                <w:szCs w:val="20"/>
                <w:lang w:eastAsia="en-AU"/>
              </w:rPr>
            </w:pPr>
            <w:r w:rsidRPr="00680833">
              <w:rPr>
                <w:rFonts w:eastAsia="Times New Roman" w:cstheme="minorHAnsi"/>
                <w:sz w:val="20"/>
                <w:szCs w:val="20"/>
                <w:lang w:eastAsia="en-AU"/>
              </w:rPr>
              <w:t>7.3c</w:t>
            </w:r>
          </w:p>
        </w:tc>
        <w:tc>
          <w:tcPr>
            <w:tcW w:w="1877" w:type="pct"/>
            <w:gridSpan w:val="2"/>
          </w:tcPr>
          <w:p w14:paraId="18B5D84F" w14:textId="77777777" w:rsidR="00680833" w:rsidRPr="00680833" w:rsidRDefault="00680833" w:rsidP="0068083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Mandatory for subsidiaries to report to WGEA (not applicable to public sector)</w:t>
            </w:r>
          </w:p>
        </w:tc>
        <w:tc>
          <w:tcPr>
            <w:tcW w:w="2802" w:type="pct"/>
          </w:tcPr>
          <w:p w14:paraId="6A615FDB" w14:textId="4656B5D2" w:rsidR="00680833" w:rsidRPr="00680833" w:rsidRDefault="00680833" w:rsidP="0068083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680833">
              <w:rPr>
                <w:rFonts w:eastAsia="Times New Roman" w:cstheme="minorHAnsi"/>
                <w:sz w:val="20"/>
                <w:szCs w:val="20"/>
                <w:lang w:eastAsia="en-AU"/>
              </w:rPr>
              <w:t xml:space="preserve">Reporting period commences </w:t>
            </w:r>
            <w:r w:rsidRPr="00680833">
              <w:rPr>
                <w:rFonts w:eastAsia="Times New Roman" w:cstheme="minorHAnsi"/>
                <w:b/>
                <w:sz w:val="20"/>
                <w:szCs w:val="20"/>
                <w:lang w:eastAsia="en-AU"/>
              </w:rPr>
              <w:t>1 April 2023</w:t>
            </w:r>
          </w:p>
        </w:tc>
      </w:tr>
    </w:tbl>
    <w:p w14:paraId="3E9B30B2" w14:textId="018ED861" w:rsidR="00A11174" w:rsidRPr="00A11174" w:rsidRDefault="00A11174" w:rsidP="000F6998">
      <w:pPr>
        <w:jc w:val="both"/>
      </w:pPr>
    </w:p>
    <w:p w14:paraId="100E6CDD" w14:textId="77777777" w:rsidR="00570EEF" w:rsidRPr="00570EEF" w:rsidRDefault="00570EEF" w:rsidP="000F6998">
      <w:pPr>
        <w:jc w:val="both"/>
        <w:rPr>
          <w:b/>
        </w:rPr>
      </w:pPr>
      <w:r w:rsidRPr="00570EEF">
        <w:rPr>
          <w:b/>
        </w:rPr>
        <w:t>WGEA Communications</w:t>
      </w:r>
    </w:p>
    <w:p w14:paraId="147317F4" w14:textId="765FE1FA" w:rsidR="00570EEF" w:rsidRPr="00570EEF" w:rsidRDefault="00570EEF" w:rsidP="000F6998">
      <w:pPr>
        <w:jc w:val="both"/>
      </w:pPr>
      <w:r w:rsidRPr="00570EEF">
        <w:t>WGEA is aware that the publication of organisational gender pay gaps presents a significant change for many employers. It also presents an opportunity for the Government to highlight the importance of workplace gender equality and motivate action</w:t>
      </w:r>
      <w:r w:rsidR="00D26E54">
        <w:t xml:space="preserve"> from employers</w:t>
      </w:r>
      <w:r w:rsidRPr="00570EEF">
        <w:t xml:space="preserve">. WGEA will begin an extended communications plan with both relevant employers and the public. This will form part of an education campaign to ensure the concept of the organisational gender pay gap is understood and therefore, interpreted appropriately when it is first published. </w:t>
      </w:r>
    </w:p>
    <w:p w14:paraId="1E6AB1ED" w14:textId="77777777" w:rsidR="00570EEF" w:rsidRPr="00570EEF" w:rsidRDefault="00570EEF" w:rsidP="000F6998">
      <w:pPr>
        <w:jc w:val="both"/>
      </w:pPr>
      <w:r w:rsidRPr="00570EEF">
        <w:t>WGEA’s communications about the publication of organisational gender pay gaps will include the following strategic pillars:</w:t>
      </w:r>
    </w:p>
    <w:p w14:paraId="7E38931B" w14:textId="77777777" w:rsidR="00570EEF" w:rsidRPr="00570EEF" w:rsidRDefault="00570EEF" w:rsidP="000F6998">
      <w:pPr>
        <w:numPr>
          <w:ilvl w:val="0"/>
          <w:numId w:val="60"/>
        </w:numPr>
        <w:spacing w:after="0" w:line="252" w:lineRule="auto"/>
        <w:contextualSpacing/>
        <w:jc w:val="both"/>
      </w:pPr>
      <w:r w:rsidRPr="00570EEF">
        <w:t>Developing clear, concise messaging that sets out both key information about publishing gender pay gaps and provides tools for action.</w:t>
      </w:r>
    </w:p>
    <w:p w14:paraId="5B7073FC" w14:textId="77777777" w:rsidR="00570EEF" w:rsidRPr="00570EEF" w:rsidRDefault="00570EEF" w:rsidP="000F6998">
      <w:pPr>
        <w:numPr>
          <w:ilvl w:val="0"/>
          <w:numId w:val="60"/>
        </w:numPr>
        <w:spacing w:after="0" w:line="252" w:lineRule="auto"/>
        <w:contextualSpacing/>
        <w:jc w:val="both"/>
      </w:pPr>
      <w:r w:rsidRPr="00570EEF">
        <w:t xml:space="preserve">Conducting a campaign of regular communications across channels that focuses on educating key audiences on what will be published and how it will be calculated. </w:t>
      </w:r>
    </w:p>
    <w:p w14:paraId="041E6A16" w14:textId="77777777" w:rsidR="00570EEF" w:rsidRPr="00570EEF" w:rsidRDefault="00570EEF" w:rsidP="000F6998">
      <w:pPr>
        <w:numPr>
          <w:ilvl w:val="0"/>
          <w:numId w:val="60"/>
        </w:numPr>
        <w:spacing w:after="0" w:line="252" w:lineRule="auto"/>
        <w:contextualSpacing/>
        <w:jc w:val="both"/>
      </w:pPr>
      <w:r w:rsidRPr="00570EEF">
        <w:t>Ensuring publishing gender pay gaps is a long-term measure to motivate employers to improve gender equality.</w:t>
      </w:r>
    </w:p>
    <w:p w14:paraId="1DD871CF" w14:textId="77777777" w:rsidR="00570EEF" w:rsidRPr="00570EEF" w:rsidRDefault="00570EEF" w:rsidP="000F6998">
      <w:pPr>
        <w:spacing w:before="240"/>
        <w:jc w:val="both"/>
      </w:pPr>
      <w:r w:rsidRPr="00570EEF">
        <w:t>WGEA has a communications plan to help prepare employers for the release of organisational level gender pay gaps and support them after the release. At a high level, this will include:</w:t>
      </w:r>
    </w:p>
    <w:p w14:paraId="1392E54C" w14:textId="77777777" w:rsidR="00570EEF" w:rsidRPr="00570EEF" w:rsidRDefault="00570EEF" w:rsidP="000F6998">
      <w:pPr>
        <w:numPr>
          <w:ilvl w:val="0"/>
          <w:numId w:val="61"/>
        </w:numPr>
        <w:spacing w:after="0" w:line="240" w:lineRule="auto"/>
        <w:jc w:val="both"/>
      </w:pPr>
      <w:r w:rsidRPr="00570EEF">
        <w:t xml:space="preserve">Communicating clearly, and early, the legislative changes and what they mean for employers. </w:t>
      </w:r>
    </w:p>
    <w:p w14:paraId="057358F3" w14:textId="77777777" w:rsidR="00570EEF" w:rsidRPr="00570EEF" w:rsidRDefault="00570EEF" w:rsidP="000F6998">
      <w:pPr>
        <w:numPr>
          <w:ilvl w:val="0"/>
          <w:numId w:val="61"/>
        </w:numPr>
        <w:spacing w:after="0" w:line="240" w:lineRule="auto"/>
        <w:jc w:val="both"/>
      </w:pPr>
      <w:r w:rsidRPr="00570EEF">
        <w:t xml:space="preserve">An ongoing educational campaign, including tools and resources, to explain how the gender pay gap is calculated, what contributes to the gender pay gap, actions that can be taken to address it and how to develop strategies and action plans to implement the changes needed. </w:t>
      </w:r>
    </w:p>
    <w:p w14:paraId="35280891" w14:textId="77777777" w:rsidR="00570EEF" w:rsidRPr="00570EEF" w:rsidRDefault="00570EEF" w:rsidP="000F6998">
      <w:pPr>
        <w:numPr>
          <w:ilvl w:val="0"/>
          <w:numId w:val="61"/>
        </w:numPr>
        <w:spacing w:after="0" w:line="240" w:lineRule="auto"/>
        <w:jc w:val="both"/>
      </w:pPr>
      <w:r w:rsidRPr="00570EEF">
        <w:t>The provision of a suite of materials to communicate with their own employees and stakeholders Informing employers of their organisational gender pay gap prior to their gender pay gap being made public.</w:t>
      </w:r>
    </w:p>
    <w:p w14:paraId="5BDD758C" w14:textId="6305D3FF" w:rsidR="00570EEF" w:rsidRPr="00570EEF" w:rsidRDefault="00570EEF" w:rsidP="000F6998">
      <w:pPr>
        <w:spacing w:before="240"/>
        <w:jc w:val="both"/>
        <w:rPr>
          <w:rFonts w:ascii="Calibri" w:hAnsi="Calibri" w:cs="Calibri"/>
        </w:rPr>
      </w:pPr>
      <w:r w:rsidRPr="00570EEF">
        <w:t xml:space="preserve">WGEA has established a Capacity Building team that will support and assist employers in building knowledge and capabilities to address the gender pay gap. WGEA is also developing Communities of Practice, </w:t>
      </w:r>
      <w:r w:rsidR="00D26E54">
        <w:t>where</w:t>
      </w:r>
      <w:r w:rsidR="00D26E54" w:rsidRPr="00570EEF">
        <w:t xml:space="preserve"> </w:t>
      </w:r>
      <w:r w:rsidRPr="00570EEF">
        <w:t xml:space="preserve">employers can connect, learn, and create momentum for addressing issues important to workplace gender equality.  </w:t>
      </w:r>
    </w:p>
    <w:p w14:paraId="59F351A7" w14:textId="77777777" w:rsidR="00570EEF" w:rsidRPr="00570EEF" w:rsidRDefault="00570EEF" w:rsidP="000F6998">
      <w:pPr>
        <w:jc w:val="both"/>
        <w:rPr>
          <w:b/>
        </w:rPr>
      </w:pPr>
      <w:r w:rsidRPr="00570EEF">
        <w:rPr>
          <w:b/>
        </w:rPr>
        <w:t>Publication of Organisational Gender Pay Gap (Rec 2)</w:t>
      </w:r>
    </w:p>
    <w:p w14:paraId="66904CAE" w14:textId="30C02AC8" w:rsidR="00570EEF" w:rsidRPr="00570EEF" w:rsidRDefault="00570EEF" w:rsidP="000F6998">
      <w:pPr>
        <w:jc w:val="both"/>
      </w:pPr>
      <w:r w:rsidRPr="00570EEF">
        <w:t>Based on the expected timeframe, it is anticipated that the first organisational gender pay gap for private sector employers will be released in early 2024. For public sector employers, that will be required to report to WGEA under changes passed in the Respect@Work Bill on 28 November 2022, the first organisational gender pay gap is expected to b</w:t>
      </w:r>
      <w:r w:rsidR="00A70F1C">
        <w:t xml:space="preserve">e published in </w:t>
      </w:r>
      <w:r w:rsidRPr="00570EEF">
        <w:t>2024.</w:t>
      </w:r>
    </w:p>
    <w:p w14:paraId="0751D527" w14:textId="77777777" w:rsidR="00570EEF" w:rsidRPr="00570EEF" w:rsidRDefault="00570EEF" w:rsidP="000F6998">
      <w:pPr>
        <w:jc w:val="both"/>
        <w:rPr>
          <w:b/>
        </w:rPr>
      </w:pPr>
      <w:r w:rsidRPr="00570EEF">
        <w:rPr>
          <w:b/>
        </w:rPr>
        <w:t>Targets (Rec 3)</w:t>
      </w:r>
    </w:p>
    <w:p w14:paraId="696ADCE8" w14:textId="77777777" w:rsidR="00570EEF" w:rsidRPr="00570EEF" w:rsidRDefault="00570EEF" w:rsidP="000F6998">
      <w:pPr>
        <w:jc w:val="both"/>
      </w:pPr>
      <w:r w:rsidRPr="00570EEF">
        <w:t xml:space="preserve">WGEA will provide relevant employers of 500 or more employees with a list of targets for each of the gender equality indicators. Employers will then select a target for three out of the six gender equality indicators and commit to making progress towards that target over its duration. </w:t>
      </w:r>
    </w:p>
    <w:p w14:paraId="43A9A2C6" w14:textId="77777777" w:rsidR="00570EEF" w:rsidRPr="00570EEF" w:rsidRDefault="00570EEF" w:rsidP="000F6998">
      <w:pPr>
        <w:jc w:val="both"/>
      </w:pPr>
      <w:r w:rsidRPr="00570EEF">
        <w:t>WGEA will provide relevant employers with resources and materials to assist them in achieving the targets and will include relevant employers’ progress towards these targets in publically available information on the WGEA website.</w:t>
      </w:r>
    </w:p>
    <w:p w14:paraId="5DD64E62" w14:textId="77777777" w:rsidR="00570EEF" w:rsidRPr="00570EEF" w:rsidRDefault="00570EEF" w:rsidP="000F6998">
      <w:pPr>
        <w:jc w:val="both"/>
        <w:rPr>
          <w:b/>
        </w:rPr>
      </w:pPr>
      <w:r w:rsidRPr="00570EEF">
        <w:rPr>
          <w:b/>
        </w:rPr>
        <w:t>Reducing Burden on Employers (Rec 4) &amp; Expanded Mandatory Reporting (Rec 7)</w:t>
      </w:r>
    </w:p>
    <w:p w14:paraId="0189F83F" w14:textId="77777777" w:rsidR="00570EEF" w:rsidRPr="00570EEF" w:rsidRDefault="00570EEF" w:rsidP="000F6998">
      <w:pPr>
        <w:jc w:val="both"/>
        <w:rPr>
          <w:b/>
        </w:rPr>
      </w:pPr>
      <w:r w:rsidRPr="00570EEF">
        <w:t xml:space="preserve">WGEA’s next reporting cycle will include an altered format and questions to reflect the changes to reporting required from employers.  </w:t>
      </w:r>
    </w:p>
    <w:p w14:paraId="250538EB" w14:textId="77777777" w:rsidR="00570EEF" w:rsidRPr="00570EEF" w:rsidRDefault="00570EEF" w:rsidP="000F6998">
      <w:pPr>
        <w:keepNext/>
        <w:keepLines/>
        <w:numPr>
          <w:ilvl w:val="1"/>
          <w:numId w:val="52"/>
        </w:numPr>
        <w:spacing w:before="40" w:after="0"/>
        <w:jc w:val="both"/>
        <w:outlineLvl w:val="1"/>
        <w:rPr>
          <w:rFonts w:asciiTheme="majorHAnsi" w:eastAsiaTheme="majorEastAsia" w:hAnsiTheme="majorHAnsi" w:cstheme="majorBidi"/>
          <w:color w:val="2E74B5" w:themeColor="accent1" w:themeShade="BF"/>
          <w:sz w:val="26"/>
          <w:szCs w:val="26"/>
        </w:rPr>
      </w:pPr>
      <w:bookmarkStart w:id="128" w:name="_Toc125714746"/>
      <w:r w:rsidRPr="00570EEF">
        <w:rPr>
          <w:rFonts w:asciiTheme="majorHAnsi" w:eastAsiaTheme="majorEastAsia" w:hAnsiTheme="majorHAnsi" w:cstheme="majorBidi"/>
          <w:color w:val="2E74B5" w:themeColor="accent1" w:themeShade="BF"/>
          <w:sz w:val="26"/>
          <w:szCs w:val="26"/>
        </w:rPr>
        <w:t>Implementation Challenges &amp; Risks</w:t>
      </w:r>
      <w:bookmarkEnd w:id="128"/>
    </w:p>
    <w:p w14:paraId="54655368" w14:textId="77777777" w:rsidR="00570EEF" w:rsidRPr="00570EEF" w:rsidRDefault="00570EEF" w:rsidP="000F6998">
      <w:pPr>
        <w:jc w:val="both"/>
        <w:rPr>
          <w:lang w:val="en-GB"/>
        </w:rPr>
      </w:pPr>
      <w:r w:rsidRPr="00570EEF">
        <w:rPr>
          <w:lang w:val="en-GB"/>
        </w:rPr>
        <w:t>Whilst Option 3 has been determined the most suitable from those considered, it is not without challenges and risks. These are outlined below, including an explanation of how they are being monitored and accommodated within the implementation approach. For detail on the risk framework and ratings used, refer to Appendix H.</w:t>
      </w:r>
    </w:p>
    <w:p w14:paraId="4E3D9F6C" w14:textId="77777777" w:rsidR="00570EEF" w:rsidRPr="00570EEF" w:rsidRDefault="00570EEF" w:rsidP="000F6998">
      <w:pPr>
        <w:jc w:val="both"/>
        <w:rPr>
          <w:b/>
          <w:bCs/>
        </w:rPr>
        <w:sectPr w:rsidR="00570EEF" w:rsidRPr="00570EEF">
          <w:pgSz w:w="11906" w:h="16838"/>
          <w:pgMar w:top="1440" w:right="1440" w:bottom="1440" w:left="1440" w:header="708" w:footer="708" w:gutter="0"/>
          <w:cols w:space="708"/>
          <w:docGrid w:linePitch="360"/>
        </w:sectPr>
      </w:pPr>
    </w:p>
    <w:tbl>
      <w:tblPr>
        <w:tblStyle w:val="GridTable5Dark-Accent5"/>
        <w:tblW w:w="5205" w:type="pct"/>
        <w:tblLook w:val="04A0" w:firstRow="1" w:lastRow="0" w:firstColumn="1" w:lastColumn="0" w:noHBand="0" w:noVBand="1"/>
      </w:tblPr>
      <w:tblGrid>
        <w:gridCol w:w="538"/>
        <w:gridCol w:w="2481"/>
        <w:gridCol w:w="1161"/>
        <w:gridCol w:w="1436"/>
        <w:gridCol w:w="7868"/>
        <w:gridCol w:w="1036"/>
      </w:tblGrid>
      <w:tr w:rsidR="00570EEF" w:rsidRPr="00570EEF" w14:paraId="7E34D7FD" w14:textId="77777777" w:rsidTr="000F6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 w:type="pct"/>
          </w:tcPr>
          <w:p w14:paraId="2D19E447" w14:textId="77777777" w:rsidR="00570EEF" w:rsidRPr="00570EEF" w:rsidRDefault="00570EEF" w:rsidP="000F6998">
            <w:pPr>
              <w:spacing w:after="160" w:line="259" w:lineRule="auto"/>
              <w:jc w:val="both"/>
            </w:pPr>
            <w:r w:rsidRPr="00570EEF">
              <w:t>No.</w:t>
            </w:r>
          </w:p>
        </w:tc>
        <w:tc>
          <w:tcPr>
            <w:tcW w:w="938" w:type="pct"/>
          </w:tcPr>
          <w:p w14:paraId="55573CCD" w14:textId="77777777" w:rsidR="00570EEF" w:rsidRPr="00570EEF" w:rsidRDefault="00570EEF" w:rsidP="000F6998">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570EEF">
              <w:t>Challenge/risk</w:t>
            </w:r>
          </w:p>
        </w:tc>
        <w:tc>
          <w:tcPr>
            <w:tcW w:w="150" w:type="pct"/>
          </w:tcPr>
          <w:p w14:paraId="0EC4697B" w14:textId="77777777" w:rsidR="00570EEF" w:rsidRPr="00570EEF" w:rsidRDefault="00570EEF" w:rsidP="000F6998">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570EEF">
              <w:t>Likelihood</w:t>
            </w:r>
          </w:p>
        </w:tc>
        <w:tc>
          <w:tcPr>
            <w:tcW w:w="494" w:type="pct"/>
          </w:tcPr>
          <w:p w14:paraId="200F4178" w14:textId="77777777" w:rsidR="00570EEF" w:rsidRPr="00570EEF" w:rsidRDefault="00570EEF" w:rsidP="000F6998">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570EEF">
              <w:t>Consequence</w:t>
            </w:r>
          </w:p>
        </w:tc>
        <w:tc>
          <w:tcPr>
            <w:tcW w:w="2793" w:type="pct"/>
          </w:tcPr>
          <w:p w14:paraId="044F4B66" w14:textId="77777777" w:rsidR="00570EEF" w:rsidRPr="00570EEF" w:rsidRDefault="00570EEF" w:rsidP="000F6998">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570EEF">
              <w:t>Management</w:t>
            </w:r>
          </w:p>
        </w:tc>
        <w:tc>
          <w:tcPr>
            <w:tcW w:w="440" w:type="pct"/>
          </w:tcPr>
          <w:p w14:paraId="710C415F" w14:textId="77777777" w:rsidR="00570EEF" w:rsidRPr="00570EEF" w:rsidRDefault="00570EEF" w:rsidP="000F6998">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570EEF">
              <w:t>Risk Rating</w:t>
            </w:r>
          </w:p>
        </w:tc>
      </w:tr>
      <w:tr w:rsidR="00570EEF" w:rsidRPr="00570EEF" w14:paraId="12E502EA" w14:textId="77777777" w:rsidTr="000F6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 w:type="pct"/>
          </w:tcPr>
          <w:p w14:paraId="4C4EF620" w14:textId="77777777" w:rsidR="00570EEF" w:rsidRPr="00570EEF" w:rsidRDefault="00570EEF" w:rsidP="000F6998">
            <w:pPr>
              <w:spacing w:after="160" w:line="259" w:lineRule="auto"/>
              <w:jc w:val="both"/>
            </w:pPr>
            <w:r w:rsidRPr="00570EEF">
              <w:t>1</w:t>
            </w:r>
          </w:p>
        </w:tc>
        <w:tc>
          <w:tcPr>
            <w:tcW w:w="938" w:type="pct"/>
          </w:tcPr>
          <w:p w14:paraId="0C451527" w14:textId="77777777" w:rsidR="00570EEF" w:rsidRPr="00570EEF" w:rsidRDefault="00570EEF" w:rsidP="000F6998">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570EEF">
              <w:t>Reputational risk to organisations following publication of the organisational gender pay gap (Rec 2)</w:t>
            </w:r>
          </w:p>
        </w:tc>
        <w:tc>
          <w:tcPr>
            <w:tcW w:w="150" w:type="pct"/>
          </w:tcPr>
          <w:p w14:paraId="51491F61" w14:textId="77777777" w:rsidR="00570EEF" w:rsidRPr="00570EEF" w:rsidRDefault="00570EEF" w:rsidP="000F6998">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570EEF">
              <w:t>Possible</w:t>
            </w:r>
          </w:p>
        </w:tc>
        <w:tc>
          <w:tcPr>
            <w:tcW w:w="494" w:type="pct"/>
          </w:tcPr>
          <w:p w14:paraId="7D45BE80" w14:textId="77777777" w:rsidR="00570EEF" w:rsidRPr="00570EEF" w:rsidRDefault="00570EEF" w:rsidP="000F6998">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570EEF">
              <w:t>Major</w:t>
            </w:r>
          </w:p>
        </w:tc>
        <w:tc>
          <w:tcPr>
            <w:tcW w:w="2793" w:type="pct"/>
          </w:tcPr>
          <w:p w14:paraId="77AA34C6" w14:textId="71A2CD5A" w:rsidR="00570EEF" w:rsidRPr="00570EEF" w:rsidRDefault="00570EEF" w:rsidP="000F6998">
            <w:pPr>
              <w:spacing w:after="160" w:line="259" w:lineRule="auto"/>
              <w:jc w:val="both"/>
              <w:cnfStyle w:val="000000100000" w:firstRow="0" w:lastRow="0" w:firstColumn="0" w:lastColumn="0" w:oddVBand="0" w:evenVBand="0" w:oddHBand="1" w:evenHBand="0" w:firstRowFirstColumn="0" w:firstRowLastColumn="0" w:lastRowFirstColumn="0" w:lastRowLastColumn="0"/>
              <w:rPr>
                <w:lang w:val="en-GB"/>
              </w:rPr>
            </w:pPr>
            <w:r w:rsidRPr="00570EEF">
              <w:rPr>
                <w:lang w:val="en-GB"/>
              </w:rPr>
              <w:t xml:space="preserve">Discussions with the UK Government Equalities Office has informed the mitigation of reputational risk and organisational education. The UK office indicated that the focus after publication of the gender pay gap was more on what organisations were doing to change the gender pay gap, rather than the number itself and that there was no apparent impact on </w:t>
            </w:r>
            <w:r w:rsidR="00D26E54">
              <w:rPr>
                <w:lang w:val="en-GB"/>
              </w:rPr>
              <w:t>individual</w:t>
            </w:r>
            <w:r w:rsidR="00D26E54" w:rsidRPr="00570EEF">
              <w:rPr>
                <w:lang w:val="en-GB"/>
              </w:rPr>
              <w:t xml:space="preserve"> </w:t>
            </w:r>
            <w:r w:rsidRPr="00570EEF">
              <w:rPr>
                <w:lang w:val="en-GB"/>
              </w:rPr>
              <w:t>behaviour from high gender pay gap organisations.</w:t>
            </w:r>
          </w:p>
          <w:p w14:paraId="57B78EEF" w14:textId="77777777" w:rsidR="00570EEF" w:rsidRPr="00570EEF" w:rsidRDefault="00570EEF" w:rsidP="000F6998">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570EEF">
              <w:t>WGEA will provide clear and strategic communication to the Australian community about the organisational gender pay gap and clear communication to employers regarding the terms of publication and its purpose and safeguards (including prohibition on individual remuneration).</w:t>
            </w:r>
          </w:p>
          <w:p w14:paraId="37F33C2B" w14:textId="77777777" w:rsidR="00570EEF" w:rsidRPr="00570EEF" w:rsidRDefault="00570EEF" w:rsidP="000F6998">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570EEF">
              <w:t>Ongoing consultation process and transparency about decisions, their impacts and implementation will not cease with the passage of legislation.</w:t>
            </w:r>
          </w:p>
        </w:tc>
        <w:tc>
          <w:tcPr>
            <w:tcW w:w="440" w:type="pct"/>
          </w:tcPr>
          <w:p w14:paraId="09581331" w14:textId="77777777" w:rsidR="00570EEF" w:rsidRPr="00570EEF" w:rsidRDefault="00570EEF" w:rsidP="000F6998">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570EEF">
              <w:t>Minor</w:t>
            </w:r>
          </w:p>
        </w:tc>
      </w:tr>
      <w:tr w:rsidR="00570EEF" w:rsidRPr="00570EEF" w14:paraId="1FCA5C7F" w14:textId="77777777" w:rsidTr="000F6998">
        <w:tc>
          <w:tcPr>
            <w:cnfStyle w:val="001000000000" w:firstRow="0" w:lastRow="0" w:firstColumn="1" w:lastColumn="0" w:oddVBand="0" w:evenVBand="0" w:oddHBand="0" w:evenHBand="0" w:firstRowFirstColumn="0" w:firstRowLastColumn="0" w:lastRowFirstColumn="0" w:lastRowLastColumn="0"/>
            <w:tcW w:w="185" w:type="pct"/>
          </w:tcPr>
          <w:p w14:paraId="76AD82C0" w14:textId="77777777" w:rsidR="00570EEF" w:rsidRPr="00570EEF" w:rsidRDefault="00570EEF" w:rsidP="000F6998">
            <w:pPr>
              <w:spacing w:after="160" w:line="259" w:lineRule="auto"/>
              <w:jc w:val="both"/>
            </w:pPr>
            <w:r w:rsidRPr="00570EEF">
              <w:t>2</w:t>
            </w:r>
          </w:p>
        </w:tc>
        <w:tc>
          <w:tcPr>
            <w:tcW w:w="938" w:type="pct"/>
          </w:tcPr>
          <w:p w14:paraId="797E0558" w14:textId="77777777" w:rsidR="00570EEF" w:rsidRPr="00570EEF" w:rsidRDefault="00570EEF" w:rsidP="000F6998">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570EEF">
              <w:t>Poor employer compliance with the genuine and measurable targets (Rec 3)</w:t>
            </w:r>
          </w:p>
        </w:tc>
        <w:tc>
          <w:tcPr>
            <w:tcW w:w="150" w:type="pct"/>
          </w:tcPr>
          <w:p w14:paraId="729FFC13" w14:textId="77777777" w:rsidR="00570EEF" w:rsidRPr="00570EEF" w:rsidRDefault="00570EEF" w:rsidP="000F6998">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570EEF">
              <w:t>Likely</w:t>
            </w:r>
          </w:p>
        </w:tc>
        <w:tc>
          <w:tcPr>
            <w:tcW w:w="494" w:type="pct"/>
          </w:tcPr>
          <w:p w14:paraId="7E964F86" w14:textId="77777777" w:rsidR="00570EEF" w:rsidRPr="00570EEF" w:rsidRDefault="00570EEF" w:rsidP="000F6998">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570EEF">
              <w:t>Major</w:t>
            </w:r>
          </w:p>
        </w:tc>
        <w:tc>
          <w:tcPr>
            <w:tcW w:w="2793" w:type="pct"/>
          </w:tcPr>
          <w:p w14:paraId="6775B3CD" w14:textId="3E6275E3" w:rsidR="00570EEF" w:rsidRPr="00570EEF" w:rsidRDefault="00570EEF" w:rsidP="000F6998">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570EEF">
              <w:t xml:space="preserve">WGEA is carrying out consultation as part of the target development process. WGEA will provide employers with information and guidance about targets, the process for compliance and consequences of failure to comply. WGEA will </w:t>
            </w:r>
            <w:r w:rsidRPr="00570EEF">
              <w:rPr>
                <w:lang w:eastAsia="en-AU"/>
              </w:rPr>
              <w:t>provide a list</w:t>
            </w:r>
            <w:r w:rsidR="00163354">
              <w:rPr>
                <w:lang w:eastAsia="en-AU"/>
              </w:rPr>
              <w:t>/menu</w:t>
            </w:r>
            <w:r w:rsidRPr="00570EEF">
              <w:rPr>
                <w:lang w:eastAsia="en-AU"/>
              </w:rPr>
              <w:t xml:space="preserve"> of options for targets against the GEIs from which employers can choose. WGEA will conduct consultation with large employers on targets with the view to consider and incorporate employer-suggested targets into the list of options.</w:t>
            </w:r>
          </w:p>
        </w:tc>
        <w:tc>
          <w:tcPr>
            <w:tcW w:w="440" w:type="pct"/>
          </w:tcPr>
          <w:p w14:paraId="297F9D82" w14:textId="77777777" w:rsidR="00570EEF" w:rsidRPr="00570EEF" w:rsidRDefault="00570EEF" w:rsidP="000F6998">
            <w:pPr>
              <w:spacing w:after="160" w:line="259" w:lineRule="auto"/>
              <w:jc w:val="both"/>
              <w:cnfStyle w:val="000000000000" w:firstRow="0" w:lastRow="0" w:firstColumn="0" w:lastColumn="0" w:oddVBand="0" w:evenVBand="0" w:oddHBand="0" w:evenHBand="0" w:firstRowFirstColumn="0" w:firstRowLastColumn="0" w:lastRowFirstColumn="0" w:lastRowLastColumn="0"/>
            </w:pPr>
            <w:r w:rsidRPr="00570EEF">
              <w:t>Minor</w:t>
            </w:r>
          </w:p>
        </w:tc>
      </w:tr>
      <w:tr w:rsidR="00570EEF" w:rsidRPr="00570EEF" w14:paraId="01C7F46B" w14:textId="77777777" w:rsidTr="000F6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 w:type="pct"/>
          </w:tcPr>
          <w:p w14:paraId="314B2691" w14:textId="77777777" w:rsidR="00570EEF" w:rsidRPr="00570EEF" w:rsidRDefault="00570EEF" w:rsidP="000F6998">
            <w:pPr>
              <w:spacing w:after="160" w:line="259" w:lineRule="auto"/>
              <w:jc w:val="both"/>
            </w:pPr>
            <w:r w:rsidRPr="00570EEF">
              <w:t>3</w:t>
            </w:r>
          </w:p>
        </w:tc>
        <w:tc>
          <w:tcPr>
            <w:tcW w:w="938" w:type="pct"/>
          </w:tcPr>
          <w:p w14:paraId="2B134585" w14:textId="77777777" w:rsidR="00570EEF" w:rsidRPr="00570EEF" w:rsidRDefault="00570EEF" w:rsidP="000F6998">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570EEF">
              <w:rPr>
                <w:szCs w:val="18"/>
              </w:rPr>
              <w:t>There are divergent views on the nature/scope of proposed changes to the legislation, meaning that not all stakeholders will be satisfied with the final positions taken.</w:t>
            </w:r>
          </w:p>
        </w:tc>
        <w:tc>
          <w:tcPr>
            <w:tcW w:w="150" w:type="pct"/>
          </w:tcPr>
          <w:p w14:paraId="1D5EC5AD" w14:textId="77777777" w:rsidR="00570EEF" w:rsidRPr="00570EEF" w:rsidRDefault="00570EEF" w:rsidP="000F6998">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570EEF">
              <w:t>Likely</w:t>
            </w:r>
          </w:p>
        </w:tc>
        <w:tc>
          <w:tcPr>
            <w:tcW w:w="494" w:type="pct"/>
          </w:tcPr>
          <w:p w14:paraId="57D246D4" w14:textId="77777777" w:rsidR="00570EEF" w:rsidRPr="00570EEF" w:rsidRDefault="00570EEF" w:rsidP="000F6998">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570EEF">
              <w:t>Medium</w:t>
            </w:r>
          </w:p>
        </w:tc>
        <w:tc>
          <w:tcPr>
            <w:tcW w:w="2793" w:type="pct"/>
          </w:tcPr>
          <w:p w14:paraId="38F409B5" w14:textId="77777777" w:rsidR="00570EEF" w:rsidRPr="00570EEF" w:rsidRDefault="00570EEF" w:rsidP="000F6998">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570EEF">
              <w:t>It is acknowledged that the Bill is unlikely to be acceptable to all stakeholders. At every stage, the OFW has been fully transparent with stakeholders on its policy positions and reasoning, and has amended many positions as a direct result of stakeholder feedback. Whilst all stakeholders may not be satisfied with the final position, the impact of this can be mitigated by continuing to demonstrate transparency regarding decision-making, and a genuine willingness to consult. Additionally, the Review recommends review of the legislation five years after the passage of amendments, thus ensuring accountability and critical consideration.</w:t>
            </w:r>
          </w:p>
        </w:tc>
        <w:tc>
          <w:tcPr>
            <w:tcW w:w="440" w:type="pct"/>
          </w:tcPr>
          <w:p w14:paraId="052544AB" w14:textId="77777777" w:rsidR="00570EEF" w:rsidRPr="00570EEF" w:rsidRDefault="00570EEF" w:rsidP="000F6998">
            <w:pPr>
              <w:spacing w:after="160" w:line="259" w:lineRule="auto"/>
              <w:jc w:val="both"/>
              <w:cnfStyle w:val="000000100000" w:firstRow="0" w:lastRow="0" w:firstColumn="0" w:lastColumn="0" w:oddVBand="0" w:evenVBand="0" w:oddHBand="1" w:evenHBand="0" w:firstRowFirstColumn="0" w:firstRowLastColumn="0" w:lastRowFirstColumn="0" w:lastRowLastColumn="0"/>
            </w:pPr>
            <w:r w:rsidRPr="00570EEF">
              <w:t>Minor</w:t>
            </w:r>
          </w:p>
        </w:tc>
      </w:tr>
    </w:tbl>
    <w:p w14:paraId="5EB83909" w14:textId="46409C84" w:rsidR="003D0C74" w:rsidRDefault="003D0C74" w:rsidP="000F6998">
      <w:pPr>
        <w:keepNext/>
        <w:keepLines/>
        <w:spacing w:before="40" w:after="0"/>
        <w:jc w:val="both"/>
        <w:outlineLvl w:val="1"/>
        <w:rPr>
          <w:rFonts w:asciiTheme="majorHAnsi" w:eastAsiaTheme="majorEastAsia" w:hAnsiTheme="majorHAnsi" w:cstheme="majorBidi"/>
          <w:color w:val="2E74B5" w:themeColor="accent1" w:themeShade="BF"/>
          <w:sz w:val="26"/>
          <w:szCs w:val="26"/>
          <w:lang w:val="en-GB"/>
        </w:rPr>
        <w:sectPr w:rsidR="003D0C74" w:rsidSect="00FD20BC">
          <w:pgSz w:w="16838" w:h="11906" w:orient="landscape"/>
          <w:pgMar w:top="1440" w:right="1440" w:bottom="1440" w:left="1440" w:header="709" w:footer="709" w:gutter="0"/>
          <w:cols w:space="708"/>
          <w:docGrid w:linePitch="360"/>
        </w:sectPr>
      </w:pPr>
    </w:p>
    <w:p w14:paraId="47CFCCAF" w14:textId="213DE649" w:rsidR="00570EEF" w:rsidRPr="00570EEF" w:rsidRDefault="00570EEF" w:rsidP="000F6998">
      <w:pPr>
        <w:keepNext/>
        <w:keepLines/>
        <w:numPr>
          <w:ilvl w:val="1"/>
          <w:numId w:val="52"/>
        </w:numPr>
        <w:spacing w:before="40" w:after="0"/>
        <w:jc w:val="both"/>
        <w:outlineLvl w:val="1"/>
        <w:rPr>
          <w:rFonts w:asciiTheme="majorHAnsi" w:eastAsiaTheme="majorEastAsia" w:hAnsiTheme="majorHAnsi" w:cstheme="majorBidi"/>
          <w:color w:val="2E74B5" w:themeColor="accent1" w:themeShade="BF"/>
          <w:sz w:val="26"/>
          <w:szCs w:val="26"/>
          <w:lang w:val="en-GB"/>
        </w:rPr>
      </w:pPr>
      <w:bookmarkStart w:id="129" w:name="_Toc125714747"/>
      <w:r w:rsidRPr="00570EEF">
        <w:rPr>
          <w:rFonts w:asciiTheme="majorHAnsi" w:eastAsiaTheme="majorEastAsia" w:hAnsiTheme="majorHAnsi" w:cstheme="majorBidi"/>
          <w:color w:val="2E74B5" w:themeColor="accent1" w:themeShade="BF"/>
          <w:sz w:val="26"/>
          <w:szCs w:val="26"/>
          <w:lang w:val="en-GB"/>
        </w:rPr>
        <w:t>Transitional Arrangements</w:t>
      </w:r>
      <w:bookmarkEnd w:id="129"/>
    </w:p>
    <w:p w14:paraId="09EC2B72" w14:textId="62515BEE" w:rsidR="00570EEF" w:rsidRPr="00570EEF" w:rsidRDefault="00F95202" w:rsidP="000F6998">
      <w:pPr>
        <w:spacing w:before="240"/>
        <w:jc w:val="both"/>
        <w:rPr>
          <w:lang w:val="en-GB"/>
        </w:rPr>
      </w:pPr>
      <w:r>
        <w:rPr>
          <w:rFonts w:ascii="Calibri" w:hAnsi="Calibri" w:cs="Calibri"/>
        </w:rPr>
        <w:t>The</w:t>
      </w:r>
      <w:r w:rsidR="00570EEF" w:rsidRPr="00570EEF">
        <w:rPr>
          <w:rFonts w:ascii="Calibri" w:hAnsi="Calibri" w:cs="Calibri"/>
        </w:rPr>
        <w:t xml:space="preserve"> Bill and associated instruments will be introduced in the Autumn 2023 parliamentary sitting period.  WGEA have indicated that on this proposed timeline they are ready and prepared to provide support and materials to the public and employers on the organisational gender pay gap before its first publication. This timeframe will mean mandatory changes to reporting will come into effect in 2024, covering data from the 2023-2024 reporting period.</w:t>
      </w:r>
      <w:r w:rsidR="00570EEF" w:rsidRPr="00570EEF">
        <w:rPr>
          <w:lang w:val="en-GB"/>
        </w:rPr>
        <w:t xml:space="preserve"> Therefore, organisations will have ample notice of these additional obligations. Many organisations report voluntarily on the matters that will become mandatory reporting and are, therefore, already in a position to provide the data.</w:t>
      </w:r>
    </w:p>
    <w:p w14:paraId="444B6E09" w14:textId="77777777" w:rsidR="00570EEF" w:rsidRPr="00570EEF" w:rsidRDefault="00570EEF" w:rsidP="000F6998">
      <w:pPr>
        <w:jc w:val="both"/>
        <w:rPr>
          <w:rFonts w:ascii="Calibri" w:hAnsi="Calibri" w:cs="Calibri"/>
        </w:rPr>
      </w:pPr>
      <w:r w:rsidRPr="00570EEF">
        <w:rPr>
          <w:lang w:val="en-GB"/>
        </w:rPr>
        <w:t xml:space="preserve">WGEA has indicated that they are continuously working to improve their reporting in order to smooth the transition and general reporting process for organisations. </w:t>
      </w:r>
      <w:r w:rsidRPr="00570EEF">
        <w:rPr>
          <w:rFonts w:ascii="Calibri" w:hAnsi="Calibri" w:cs="Calibri"/>
        </w:rPr>
        <w:t xml:space="preserve">In the 2022-23 Budget, WGEA was allocated funding for additional staff. Certain ongoing staff will be hired specifically to support implementation of the Review and provide support to employers, particularly with respect to setting and achieving targets (Rec 3).  </w:t>
      </w:r>
    </w:p>
    <w:p w14:paraId="1CC91CE6" w14:textId="77777777" w:rsidR="00570EEF" w:rsidRPr="00570EEF" w:rsidRDefault="00570EEF" w:rsidP="000F6998">
      <w:pPr>
        <w:jc w:val="both"/>
      </w:pPr>
      <w:r w:rsidRPr="00570EEF">
        <w:t xml:space="preserve">WGEA will mitigate challenges and risks associated with the implementation of Option 3 in several ways. This includes communications plans specific and relevant to each change to employer reporting; updated and detailed guidance materials for reporting, and, where relevant, research-backed education materials and capacity building support. </w:t>
      </w:r>
    </w:p>
    <w:p w14:paraId="6D55CCA5" w14:textId="77777777" w:rsidR="00314EAC" w:rsidRPr="00403377" w:rsidRDefault="00314EAC" w:rsidP="00314EAC">
      <w:pPr>
        <w:pStyle w:val="ListParagraph"/>
        <w:keepNext/>
        <w:keepLines/>
        <w:numPr>
          <w:ilvl w:val="1"/>
          <w:numId w:val="83"/>
        </w:numPr>
        <w:spacing w:before="40" w:after="0"/>
        <w:jc w:val="both"/>
        <w:outlineLvl w:val="1"/>
        <w:rPr>
          <w:rFonts w:asciiTheme="majorHAnsi" w:eastAsiaTheme="majorEastAsia" w:hAnsiTheme="majorHAnsi" w:cstheme="majorBidi"/>
          <w:color w:val="2E74B5" w:themeColor="accent1" w:themeShade="BF"/>
          <w:sz w:val="26"/>
          <w:szCs w:val="26"/>
          <w:lang w:val="en-GB"/>
        </w:rPr>
      </w:pPr>
      <w:bookmarkStart w:id="130" w:name="_Toc125541490"/>
      <w:bookmarkStart w:id="131" w:name="_Toc125714748"/>
      <w:r w:rsidRPr="00403377">
        <w:rPr>
          <w:rFonts w:asciiTheme="majorHAnsi" w:eastAsiaTheme="majorEastAsia" w:hAnsiTheme="majorHAnsi" w:cstheme="majorBidi"/>
          <w:color w:val="2E74B5" w:themeColor="accent1" w:themeShade="BF"/>
          <w:sz w:val="26"/>
          <w:szCs w:val="26"/>
          <w:lang w:val="en-GB"/>
        </w:rPr>
        <w:t>Monitoring &amp; Evaluation</w:t>
      </w:r>
      <w:bookmarkEnd w:id="130"/>
      <w:bookmarkEnd w:id="131"/>
    </w:p>
    <w:p w14:paraId="0F98D0AD" w14:textId="77777777" w:rsidR="00314EAC" w:rsidRPr="00570EEF" w:rsidRDefault="00314EAC" w:rsidP="00314EAC">
      <w:pPr>
        <w:spacing w:before="240"/>
        <w:jc w:val="both"/>
        <w:rPr>
          <w:b/>
        </w:rPr>
      </w:pPr>
      <w:r w:rsidRPr="00570EEF">
        <w:rPr>
          <w:b/>
        </w:rPr>
        <w:t>Purpose and scope</w:t>
      </w:r>
    </w:p>
    <w:p w14:paraId="748A44B3" w14:textId="77777777" w:rsidR="00314EAC" w:rsidRPr="00570EEF" w:rsidRDefault="00314EAC" w:rsidP="00314EAC">
      <w:pPr>
        <w:jc w:val="both"/>
      </w:pPr>
      <w:r w:rsidRPr="00570EEF">
        <w:t xml:space="preserve">The purpose of monitoring and evaluation will be to determine whether the Government objectives are being achieved and whether the Option 3 is being implemented effectively. </w:t>
      </w:r>
    </w:p>
    <w:p w14:paraId="777A8EA5" w14:textId="77777777" w:rsidR="00314EAC" w:rsidRPr="00570EEF" w:rsidRDefault="00314EAC" w:rsidP="00314EAC">
      <w:pPr>
        <w:jc w:val="both"/>
      </w:pPr>
      <w:r w:rsidRPr="00570EEF">
        <w:t>The scope of monitoring and evaluation will include a range of approaches.</w:t>
      </w:r>
    </w:p>
    <w:p w14:paraId="33BF4774" w14:textId="77777777" w:rsidR="00314EAC" w:rsidRPr="00570EEF" w:rsidRDefault="00314EAC" w:rsidP="00314EAC">
      <w:pPr>
        <w:jc w:val="both"/>
        <w:rPr>
          <w:u w:val="single"/>
        </w:rPr>
      </w:pPr>
      <w:r w:rsidRPr="00570EEF">
        <w:rPr>
          <w:u w:val="single"/>
        </w:rPr>
        <w:t>Legislative monitoring</w:t>
      </w:r>
    </w:p>
    <w:p w14:paraId="4C24FC31" w14:textId="77777777" w:rsidR="00314EAC" w:rsidRPr="00570EEF" w:rsidRDefault="00314EAC" w:rsidP="00314EAC">
      <w:pPr>
        <w:jc w:val="both"/>
        <w:rPr>
          <w:rFonts w:ascii="Calibri" w:hAnsi="Calibri" w:cs="Calibri"/>
        </w:rPr>
      </w:pPr>
      <w:r w:rsidRPr="00570EEF">
        <w:t xml:space="preserve">Recommendation 10 of the Review states that the WGE Act, and any action flowing from the Review, should be reviewed within five years from the commencement of any changes. </w:t>
      </w:r>
      <w:r w:rsidRPr="00570EEF">
        <w:rPr>
          <w:rFonts w:ascii="Calibri" w:hAnsi="Calibri" w:cs="Calibri"/>
        </w:rPr>
        <w:t xml:space="preserve">If implementation challenges and risks are not able to be addressed, this will offer an opportunity to make amendments and adjust. </w:t>
      </w:r>
    </w:p>
    <w:p w14:paraId="41EBAF7B" w14:textId="77777777" w:rsidR="00314EAC" w:rsidRDefault="00314EAC" w:rsidP="00314EAC">
      <w:pPr>
        <w:jc w:val="both"/>
      </w:pPr>
      <w:r>
        <w:t>Sections of the WGE Act also monitors the Instruments through sections 13 and 19 which state that “An instrument…has no effect in relation to a reporting period unless it is made before the first day of that reporting period”.</w:t>
      </w:r>
    </w:p>
    <w:p w14:paraId="09B7C6B2" w14:textId="77777777" w:rsidR="00314EAC" w:rsidRDefault="00314EAC" w:rsidP="00314EAC">
      <w:pPr>
        <w:contextualSpacing/>
        <w:jc w:val="both"/>
        <w:rPr>
          <w:u w:val="single"/>
        </w:rPr>
      </w:pPr>
      <w:r w:rsidRPr="00570EEF">
        <w:rPr>
          <w:color w:val="000000"/>
          <w:shd w:val="clear" w:color="auto" w:fill="FFFFFF"/>
        </w:rPr>
        <w:t>This means that employers will have at least a one-year notice period for changes made to the legislative instruments.</w:t>
      </w:r>
      <w:r w:rsidRPr="00570EEF">
        <w:t xml:space="preserve"> Section 33A of the WGE Act requires the Minister to consult before making any legislative instruments under the Act.</w:t>
      </w:r>
    </w:p>
    <w:p w14:paraId="6A4E594D" w14:textId="77777777" w:rsidR="00314EAC" w:rsidRPr="00570EEF" w:rsidRDefault="00314EAC" w:rsidP="00314EAC">
      <w:pPr>
        <w:spacing w:before="240"/>
        <w:jc w:val="both"/>
        <w:rPr>
          <w:rFonts w:ascii="Calibri" w:hAnsi="Calibri" w:cs="Calibri"/>
          <w:u w:val="single"/>
        </w:rPr>
      </w:pPr>
      <w:r w:rsidRPr="00570EEF">
        <w:rPr>
          <w:u w:val="single"/>
        </w:rPr>
        <w:t>Independent</w:t>
      </w:r>
      <w:r w:rsidRPr="00570EEF">
        <w:rPr>
          <w:rFonts w:ascii="Calibri" w:hAnsi="Calibri" w:cs="Calibri"/>
          <w:u w:val="single"/>
        </w:rPr>
        <w:t xml:space="preserve"> evaluation </w:t>
      </w:r>
    </w:p>
    <w:p w14:paraId="5AC4D97B" w14:textId="77777777" w:rsidR="00314EAC" w:rsidRPr="00570EEF" w:rsidRDefault="00314EAC" w:rsidP="00314EAC">
      <w:pPr>
        <w:jc w:val="both"/>
        <w:rPr>
          <w:rFonts w:ascii="Calibri" w:hAnsi="Calibri" w:cs="Calibri"/>
        </w:rPr>
      </w:pPr>
      <w:r>
        <w:rPr>
          <w:rFonts w:ascii="Calibri" w:hAnsi="Calibri" w:cs="Calibri"/>
        </w:rPr>
        <w:t xml:space="preserve">Independent evaluation will examine </w:t>
      </w:r>
      <w:r w:rsidRPr="00570EEF">
        <w:rPr>
          <w:rFonts w:ascii="Calibri" w:hAnsi="Calibri" w:cs="Calibri"/>
        </w:rPr>
        <w:t>the effectiveness of the following recommendations:</w:t>
      </w:r>
    </w:p>
    <w:p w14:paraId="4CD81CD9" w14:textId="77777777" w:rsidR="00314EAC" w:rsidRPr="00570EEF" w:rsidRDefault="00314EAC" w:rsidP="00314EAC">
      <w:pPr>
        <w:numPr>
          <w:ilvl w:val="0"/>
          <w:numId w:val="59"/>
        </w:numPr>
        <w:contextualSpacing/>
        <w:jc w:val="both"/>
      </w:pPr>
      <w:r w:rsidRPr="00570EEF">
        <w:t xml:space="preserve">The </w:t>
      </w:r>
      <w:r>
        <w:t xml:space="preserve">actions taken by employers as a result of publishing their gender pay gaps and the impact that is having on their </w:t>
      </w:r>
      <w:r w:rsidRPr="00570EEF">
        <w:t>gender pay gap</w:t>
      </w:r>
      <w:r>
        <w:t>s</w:t>
      </w:r>
      <w:r w:rsidRPr="00570EEF">
        <w:t xml:space="preserve"> (Rec 2).</w:t>
      </w:r>
    </w:p>
    <w:p w14:paraId="19D79085" w14:textId="77777777" w:rsidR="00314EAC" w:rsidRPr="00570EEF" w:rsidRDefault="00314EAC" w:rsidP="00314EAC">
      <w:pPr>
        <w:numPr>
          <w:ilvl w:val="0"/>
          <w:numId w:val="59"/>
        </w:numPr>
        <w:contextualSpacing/>
        <w:jc w:val="both"/>
      </w:pPr>
      <w:r w:rsidRPr="00570EEF">
        <w:t xml:space="preserve">The </w:t>
      </w:r>
      <w:r>
        <w:t xml:space="preserve">achievement of </w:t>
      </w:r>
      <w:r w:rsidRPr="00570EEF">
        <w:t>targets by relevant employers (Rec 3).</w:t>
      </w:r>
    </w:p>
    <w:p w14:paraId="7DCFF011" w14:textId="77777777" w:rsidR="00314EAC" w:rsidRPr="00570EEF" w:rsidRDefault="00314EAC" w:rsidP="00314EAC">
      <w:pPr>
        <w:numPr>
          <w:ilvl w:val="0"/>
          <w:numId w:val="59"/>
        </w:numPr>
        <w:contextualSpacing/>
        <w:jc w:val="both"/>
      </w:pPr>
      <w:r w:rsidRPr="00570EEF">
        <w:t xml:space="preserve">The scope and quality of additional </w:t>
      </w:r>
      <w:r>
        <w:t xml:space="preserve">and revised </w:t>
      </w:r>
      <w:r w:rsidRPr="00570EEF">
        <w:t>data provided by relevant employers (Rec 7</w:t>
      </w:r>
      <w:r>
        <w:t>.1 and Rec 4</w:t>
      </w:r>
      <w:r w:rsidRPr="00570EEF">
        <w:t>).</w:t>
      </w:r>
    </w:p>
    <w:p w14:paraId="2D39AD65" w14:textId="77777777" w:rsidR="00314EAC" w:rsidRPr="00570EEF" w:rsidRDefault="00314EAC" w:rsidP="00314EAC">
      <w:pPr>
        <w:ind w:left="720"/>
        <w:contextualSpacing/>
        <w:jc w:val="both"/>
      </w:pPr>
    </w:p>
    <w:p w14:paraId="429C37C6" w14:textId="71FFBC25" w:rsidR="00314EAC" w:rsidRDefault="00314EAC" w:rsidP="00314EAC">
      <w:pPr>
        <w:jc w:val="both"/>
      </w:pPr>
      <w:r w:rsidRPr="00570EEF">
        <w:t>To assess the effectiveness of these proposals, they will be assessed against whether the objectives outlined in t</w:t>
      </w:r>
      <w:r w:rsidR="000542D5">
        <w:t xml:space="preserve">his paper are to be delivered. </w:t>
      </w:r>
      <w:r>
        <w:t xml:space="preserve">The independent evaluation </w:t>
      </w:r>
      <w:r w:rsidRPr="00570EEF">
        <w:t xml:space="preserve">will also consider the </w:t>
      </w:r>
      <w:r>
        <w:t>utility</w:t>
      </w:r>
      <w:r w:rsidRPr="00570EEF">
        <w:t xml:space="preserve"> of these recommendations, and whether they need to be augmented to ensure the program continues to maximise benefits. The </w:t>
      </w:r>
      <w:r>
        <w:t>evaluation</w:t>
      </w:r>
      <w:r w:rsidRPr="00570EEF">
        <w:t xml:space="preserve"> will make recommendations which will be considered by the Australian Government. </w:t>
      </w:r>
    </w:p>
    <w:p w14:paraId="56086201" w14:textId="77777777" w:rsidR="000542D5" w:rsidRDefault="000542D5" w:rsidP="000542D5">
      <w:pPr>
        <w:jc w:val="both"/>
      </w:pPr>
      <w:r>
        <w:t>Subject to further discussion with WGEA, other elements of the independent evaluation may include:</w:t>
      </w:r>
    </w:p>
    <w:p w14:paraId="38776628" w14:textId="79DED539" w:rsidR="000542D5" w:rsidRDefault="000542D5" w:rsidP="00D57C99">
      <w:pPr>
        <w:pStyle w:val="ListParagraph"/>
        <w:numPr>
          <w:ilvl w:val="0"/>
          <w:numId w:val="89"/>
        </w:numPr>
        <w:jc w:val="both"/>
      </w:pPr>
      <w:r>
        <w:t xml:space="preserve">A program logic that considers the appropriateness, effectiveness and efficiency of existing measures. </w:t>
      </w:r>
    </w:p>
    <w:p w14:paraId="4DDFA90A" w14:textId="140E6CBF" w:rsidR="000542D5" w:rsidRDefault="000542D5" w:rsidP="000542D5">
      <w:pPr>
        <w:pStyle w:val="ListParagraph"/>
        <w:numPr>
          <w:ilvl w:val="0"/>
          <w:numId w:val="89"/>
        </w:numPr>
        <w:jc w:val="both"/>
      </w:pPr>
      <w:r>
        <w:t>Avenue and areas for further research and consultation to further improve gender equality.</w:t>
      </w:r>
    </w:p>
    <w:p w14:paraId="086E87BF" w14:textId="3CF8645A" w:rsidR="000542D5" w:rsidRDefault="000542D5" w:rsidP="000542D5">
      <w:pPr>
        <w:pStyle w:val="ListParagraph"/>
        <w:numPr>
          <w:ilvl w:val="0"/>
          <w:numId w:val="89"/>
        </w:numPr>
        <w:jc w:val="both"/>
      </w:pPr>
      <w:r>
        <w:t>Correlations and causal links between the changes and improvements in gender equality metrics (listed below).</w:t>
      </w:r>
    </w:p>
    <w:p w14:paraId="202EAB23" w14:textId="0018A76C" w:rsidR="000542D5" w:rsidRDefault="000542D5" w:rsidP="000542D5">
      <w:pPr>
        <w:pStyle w:val="ListParagraph"/>
        <w:numPr>
          <w:ilvl w:val="0"/>
          <w:numId w:val="89"/>
        </w:numPr>
        <w:jc w:val="both"/>
      </w:pPr>
      <w:r>
        <w:t>Consultation with key stakeholders, including businesses and individuals.</w:t>
      </w:r>
    </w:p>
    <w:p w14:paraId="4CDB95A7" w14:textId="2297EC06" w:rsidR="000542D5" w:rsidRDefault="000542D5" w:rsidP="000542D5">
      <w:pPr>
        <w:pStyle w:val="ListParagraph"/>
        <w:numPr>
          <w:ilvl w:val="0"/>
          <w:numId w:val="89"/>
        </w:numPr>
        <w:jc w:val="both"/>
      </w:pPr>
      <w:r>
        <w:t>The development of future policies.</w:t>
      </w:r>
    </w:p>
    <w:p w14:paraId="7E1472D4" w14:textId="681BE8B5" w:rsidR="00314EAC" w:rsidRPr="00570EEF" w:rsidRDefault="00314EAC" w:rsidP="00314EAC">
      <w:pPr>
        <w:jc w:val="both"/>
      </w:pPr>
      <w:r w:rsidRPr="00570EEF">
        <w:rPr>
          <w:u w:val="single"/>
        </w:rPr>
        <w:t>Consultation</w:t>
      </w:r>
    </w:p>
    <w:p w14:paraId="71862F4A" w14:textId="77777777" w:rsidR="00314EAC" w:rsidRDefault="00314EAC" w:rsidP="00314EAC">
      <w:pPr>
        <w:jc w:val="both"/>
      </w:pPr>
      <w:r w:rsidRPr="00570EEF">
        <w:t>WGEA will consult with employers, including in the period following implementation, on those changes in Option 3 that present the most significant shift in the process of employer reporting to WGEA. This consultation will inform any adjustments or improvements to communicating with employers and collecting the data relevant to Option 3.</w:t>
      </w:r>
    </w:p>
    <w:p w14:paraId="43D128E3" w14:textId="77777777" w:rsidR="00314EAC" w:rsidRPr="00570EEF" w:rsidRDefault="00314EAC" w:rsidP="00314EAC">
      <w:pPr>
        <w:jc w:val="both"/>
        <w:rPr>
          <w:i/>
        </w:rPr>
      </w:pPr>
      <w:r>
        <w:t>WGEA’s relationship with employers is critical to success, specifically relating to reporting and also to progressing gender equality. As a result, WGEA provides multiple mechanisms through which employers can request assistance and provide feedback on the reporting and support functions of WGEA. WGEA closely monitors and captures that feedback and incorporates it into the annual evaluation of gender equality reporting and makes improvements accordingly.</w:t>
      </w:r>
    </w:p>
    <w:p w14:paraId="4A1A61CF" w14:textId="77777777" w:rsidR="00314EAC" w:rsidRPr="00570EEF" w:rsidRDefault="00314EAC" w:rsidP="00314EAC">
      <w:pPr>
        <w:jc w:val="both"/>
      </w:pPr>
      <w:r w:rsidRPr="00570EEF">
        <w:t xml:space="preserve">Further consultation will also likely occur at the five year review point to gauge the responses from relevant employers and other stakeholders and to determine the more holistic impact of Option 3 on gender equality in the workplace. This would likely be in the form of a survey and roundtables as used for the purpose of this IA. </w:t>
      </w:r>
    </w:p>
    <w:p w14:paraId="712717C4" w14:textId="77777777" w:rsidR="00314EAC" w:rsidRPr="00570EEF" w:rsidRDefault="00314EAC" w:rsidP="00314EAC">
      <w:pPr>
        <w:jc w:val="both"/>
      </w:pPr>
      <w:r w:rsidRPr="00570EEF">
        <w:rPr>
          <w:u w:val="single"/>
        </w:rPr>
        <w:t>Regular Monitoring and Evaluation</w:t>
      </w:r>
    </w:p>
    <w:p w14:paraId="03C7A4AE" w14:textId="77777777" w:rsidR="00314EAC" w:rsidRPr="00570EEF" w:rsidRDefault="00314EAC" w:rsidP="00314EAC">
      <w:pPr>
        <w:jc w:val="both"/>
      </w:pPr>
      <w:r>
        <w:t xml:space="preserve">As an independent statutory agency, WGEA is responsible to Parliament </w:t>
      </w:r>
      <w:r w:rsidRPr="00E56D05">
        <w:t>through the Parliamentary Committee process</w:t>
      </w:r>
      <w:r>
        <w:t>,</w:t>
      </w:r>
      <w:r w:rsidRPr="00E56D05">
        <w:t xml:space="preserve"> and the tabling of its annual report.</w:t>
      </w:r>
      <w:r>
        <w:t xml:space="preserve"> The Minister intends issuing a Statement of Expectations and WGEA will respond with a Statement of Intent. </w:t>
      </w:r>
      <w:r w:rsidRPr="00570EEF">
        <w:t xml:space="preserve">In addition, WGEA are obligated to produce various reports, meet standards and act in accordance with best practice pursuant to the </w:t>
      </w:r>
      <w:r w:rsidRPr="00570EEF">
        <w:rPr>
          <w:i/>
        </w:rPr>
        <w:t>Public Governance, Performance and Accountability Act 2013.</w:t>
      </w:r>
      <w:r>
        <w:rPr>
          <w:i/>
        </w:rPr>
        <w:t xml:space="preserve"> </w:t>
      </w:r>
      <w:r w:rsidRPr="00570EEF">
        <w:t>OFW and WGEA officials meet regularly to discuss relevant policy priorities</w:t>
      </w:r>
      <w:r>
        <w:t xml:space="preserve">, implementation progress and operational and technical matters, as appropriate. </w:t>
      </w:r>
      <w:r w:rsidRPr="00570EEF" w:rsidDel="00E334FA">
        <w:t xml:space="preserve"> </w:t>
      </w:r>
    </w:p>
    <w:p w14:paraId="1D055F09" w14:textId="77777777" w:rsidR="00314EAC" w:rsidRPr="00570EEF" w:rsidRDefault="00314EAC" w:rsidP="00314EAC">
      <w:pPr>
        <w:jc w:val="both"/>
      </w:pPr>
      <w:r w:rsidRPr="00570EEF">
        <w:rPr>
          <w:b/>
        </w:rPr>
        <w:t>Key Metrics</w:t>
      </w:r>
    </w:p>
    <w:p w14:paraId="721B9C1B" w14:textId="77777777" w:rsidR="00314EAC" w:rsidRPr="00570EEF" w:rsidRDefault="00314EAC" w:rsidP="00314EAC">
      <w:pPr>
        <w:jc w:val="both"/>
      </w:pPr>
      <w:r w:rsidRPr="00570EEF">
        <w:t>WGEA anticipates that the challenges facing employers in the implementation of Option 3 will be most apparent in the first reporting period following the passage of legislation and implementation of changes. There are a number of key metrics that will be used to assess and evaluate the success and effectiveness of the implementation of Option 3 and determine whether additional support is required by employers.</w:t>
      </w:r>
      <w:r>
        <w:t xml:space="preserve"> An example of some possible metrics is below. These will be finalised in the context of implementing the independent evaluation.</w:t>
      </w:r>
    </w:p>
    <w:p w14:paraId="7B632FB6" w14:textId="61D932A4" w:rsidR="00314EAC" w:rsidRPr="00570EEF" w:rsidRDefault="00314EAC" w:rsidP="00314EAC">
      <w:pPr>
        <w:jc w:val="both"/>
      </w:pPr>
      <w:r w:rsidRPr="00570EEF">
        <w:t xml:space="preserve">The output from WGEA’s </w:t>
      </w:r>
      <w:r>
        <w:t>Gender Equality R</w:t>
      </w:r>
      <w:r w:rsidRPr="00570EEF">
        <w:t xml:space="preserve">eporting will be a key tool in monitoring the success of the implementation of the Review recommendations under Option 3. </w:t>
      </w:r>
    </w:p>
    <w:tbl>
      <w:tblPr>
        <w:tblStyle w:val="GridTable5Dark-Accent51"/>
        <w:tblW w:w="0" w:type="auto"/>
        <w:tblLook w:val="04A0" w:firstRow="1" w:lastRow="0" w:firstColumn="1" w:lastColumn="0" w:noHBand="0" w:noVBand="1"/>
      </w:tblPr>
      <w:tblGrid>
        <w:gridCol w:w="1622"/>
        <w:gridCol w:w="2402"/>
        <w:gridCol w:w="3084"/>
        <w:gridCol w:w="1908"/>
      </w:tblGrid>
      <w:tr w:rsidR="00314EAC" w:rsidRPr="00570EEF" w14:paraId="728AF2C0" w14:textId="77777777" w:rsidTr="00A26CEC">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622" w:type="dxa"/>
            <w:vAlign w:val="center"/>
          </w:tcPr>
          <w:p w14:paraId="547BACDF" w14:textId="77777777" w:rsidR="00314EAC" w:rsidRPr="00570EEF" w:rsidRDefault="00314EAC" w:rsidP="00A26CEC">
            <w:pPr>
              <w:jc w:val="both"/>
            </w:pPr>
            <w:r w:rsidRPr="00570EEF">
              <w:t>METRIC</w:t>
            </w:r>
          </w:p>
        </w:tc>
        <w:tc>
          <w:tcPr>
            <w:tcW w:w="2402" w:type="dxa"/>
            <w:vAlign w:val="center"/>
          </w:tcPr>
          <w:p w14:paraId="27A3D3A9" w14:textId="77777777" w:rsidR="00314EAC" w:rsidRPr="00570EEF" w:rsidRDefault="00314EAC" w:rsidP="00A26CEC">
            <w:pPr>
              <w:jc w:val="both"/>
              <w:cnfStyle w:val="100000000000" w:firstRow="1" w:lastRow="0" w:firstColumn="0" w:lastColumn="0" w:oddVBand="0" w:evenVBand="0" w:oddHBand="0" w:evenHBand="0" w:firstRowFirstColumn="0" w:firstRowLastColumn="0" w:lastRowFirstColumn="0" w:lastRowLastColumn="0"/>
            </w:pPr>
            <w:r w:rsidRPr="00570EEF">
              <w:t>METHOD</w:t>
            </w:r>
          </w:p>
        </w:tc>
        <w:tc>
          <w:tcPr>
            <w:tcW w:w="3084" w:type="dxa"/>
            <w:vAlign w:val="center"/>
          </w:tcPr>
          <w:p w14:paraId="52FBBC68" w14:textId="77777777" w:rsidR="00314EAC" w:rsidRPr="00570EEF" w:rsidRDefault="00314EAC" w:rsidP="00A26CEC">
            <w:pPr>
              <w:jc w:val="both"/>
              <w:cnfStyle w:val="100000000000" w:firstRow="1" w:lastRow="0" w:firstColumn="0" w:lastColumn="0" w:oddVBand="0" w:evenVBand="0" w:oddHBand="0" w:evenHBand="0" w:firstRowFirstColumn="0" w:firstRowLastColumn="0" w:lastRowFirstColumn="0" w:lastRowLastColumn="0"/>
            </w:pPr>
            <w:r w:rsidRPr="00570EEF">
              <w:t>OUTCOME(S)</w:t>
            </w:r>
          </w:p>
        </w:tc>
        <w:tc>
          <w:tcPr>
            <w:tcW w:w="1908" w:type="dxa"/>
            <w:vAlign w:val="center"/>
          </w:tcPr>
          <w:p w14:paraId="1E77BC99" w14:textId="77777777" w:rsidR="00314EAC" w:rsidRPr="00570EEF" w:rsidRDefault="00314EAC" w:rsidP="00A26CEC">
            <w:pPr>
              <w:jc w:val="both"/>
              <w:cnfStyle w:val="100000000000" w:firstRow="1" w:lastRow="0" w:firstColumn="0" w:lastColumn="0" w:oddVBand="0" w:evenVBand="0" w:oddHBand="0" w:evenHBand="0" w:firstRowFirstColumn="0" w:firstRowLastColumn="0" w:lastRowFirstColumn="0" w:lastRowLastColumn="0"/>
            </w:pPr>
            <w:r w:rsidRPr="00570EEF">
              <w:t>Reported annually by WGEA (Y/N)</w:t>
            </w:r>
          </w:p>
        </w:tc>
      </w:tr>
      <w:tr w:rsidR="00314EAC" w:rsidRPr="00570EEF" w14:paraId="6236ED2F" w14:textId="77777777" w:rsidTr="00A66122">
        <w:trPr>
          <w:cnfStyle w:val="000000100000" w:firstRow="0" w:lastRow="0" w:firstColumn="0" w:lastColumn="0" w:oddVBand="0" w:evenVBand="0" w:oddHBand="1" w:evenHBand="0" w:firstRowFirstColumn="0" w:firstRowLastColumn="0" w:lastRowFirstColumn="0" w:lastRowLastColumn="0"/>
          <w:trHeight w:val="2593"/>
        </w:trPr>
        <w:tc>
          <w:tcPr>
            <w:cnfStyle w:val="001000000000" w:firstRow="0" w:lastRow="0" w:firstColumn="1" w:lastColumn="0" w:oddVBand="0" w:evenVBand="0" w:oddHBand="0" w:evenHBand="0" w:firstRowFirstColumn="0" w:firstRowLastColumn="0" w:lastRowFirstColumn="0" w:lastRowLastColumn="0"/>
            <w:tcW w:w="1622" w:type="dxa"/>
          </w:tcPr>
          <w:p w14:paraId="578FA04B" w14:textId="77777777" w:rsidR="00314EAC" w:rsidRPr="00570EEF" w:rsidRDefault="00314EAC" w:rsidP="00A26CEC">
            <w:pPr>
              <w:jc w:val="both"/>
            </w:pPr>
            <w:r w:rsidRPr="00570EEF">
              <w:t xml:space="preserve">Reduction in Gender Pay Gap (WGEA </w:t>
            </w:r>
            <w:r>
              <w:t>publishes annual data</w:t>
            </w:r>
            <w:r w:rsidRPr="00570EEF">
              <w:t>)</w:t>
            </w:r>
          </w:p>
        </w:tc>
        <w:tc>
          <w:tcPr>
            <w:tcW w:w="2402" w:type="dxa"/>
          </w:tcPr>
          <w:p w14:paraId="3C05307E" w14:textId="77777777" w:rsidR="00314EAC" w:rsidRPr="00570EEF" w:rsidRDefault="00314EAC" w:rsidP="00A26CEC">
            <w:pPr>
              <w:jc w:val="both"/>
              <w:cnfStyle w:val="000000100000" w:firstRow="0" w:lastRow="0" w:firstColumn="0" w:lastColumn="0" w:oddVBand="0" w:evenVBand="0" w:oddHBand="1" w:evenHBand="0" w:firstRowFirstColumn="0" w:firstRowLastColumn="0" w:lastRowFirstColumn="0" w:lastRowLastColumn="0"/>
            </w:pPr>
            <w:r w:rsidRPr="00570EEF">
              <w:t>WGEA collects data from employers on an annual basis</w:t>
            </w:r>
            <w:r>
              <w:t>, from which a gender pay gap will be calculated and published</w:t>
            </w:r>
          </w:p>
        </w:tc>
        <w:tc>
          <w:tcPr>
            <w:tcW w:w="3084" w:type="dxa"/>
          </w:tcPr>
          <w:p w14:paraId="2E22240C" w14:textId="77777777" w:rsidR="00314EAC" w:rsidRPr="00570EEF" w:rsidRDefault="00314EAC" w:rsidP="00A26CEC">
            <w:pPr>
              <w:jc w:val="both"/>
              <w:cnfStyle w:val="000000100000" w:firstRow="0" w:lastRow="0" w:firstColumn="0" w:lastColumn="0" w:oddVBand="0" w:evenVBand="0" w:oddHBand="1" w:evenHBand="0" w:firstRowFirstColumn="0" w:firstRowLastColumn="0" w:lastRowFirstColumn="0" w:lastRowLastColumn="0"/>
            </w:pPr>
            <w:r w:rsidRPr="00570EEF">
              <w:t xml:space="preserve">If the gender pay gap </w:t>
            </w:r>
            <w:r>
              <w:t>narrows</w:t>
            </w:r>
            <w:r w:rsidRPr="00570EEF">
              <w:t xml:space="preserve"> over time following the implementation of these changes then it will demonstrate that these changes have been effective. The aim will be to close the gender pay gap before the status quo estimated date of 2050.</w:t>
            </w:r>
          </w:p>
        </w:tc>
        <w:tc>
          <w:tcPr>
            <w:tcW w:w="1908" w:type="dxa"/>
          </w:tcPr>
          <w:p w14:paraId="6ECDA4C4" w14:textId="77777777" w:rsidR="00314EAC" w:rsidRPr="00570EEF" w:rsidRDefault="00314EAC" w:rsidP="00A26CEC">
            <w:pPr>
              <w:jc w:val="both"/>
              <w:cnfStyle w:val="000000100000" w:firstRow="0" w:lastRow="0" w:firstColumn="0" w:lastColumn="0" w:oddVBand="0" w:evenVBand="0" w:oddHBand="1" w:evenHBand="0" w:firstRowFirstColumn="0" w:firstRowLastColumn="0" w:lastRowFirstColumn="0" w:lastRowLastColumn="0"/>
            </w:pPr>
            <w:r w:rsidRPr="00570EEF">
              <w:t>Y</w:t>
            </w:r>
          </w:p>
        </w:tc>
      </w:tr>
      <w:tr w:rsidR="00314EAC" w:rsidRPr="00570EEF" w14:paraId="71CF9D6C" w14:textId="77777777" w:rsidTr="00A66122">
        <w:trPr>
          <w:trHeight w:val="1721"/>
        </w:trPr>
        <w:tc>
          <w:tcPr>
            <w:cnfStyle w:val="001000000000" w:firstRow="0" w:lastRow="0" w:firstColumn="1" w:lastColumn="0" w:oddVBand="0" w:evenVBand="0" w:oddHBand="0" w:evenHBand="0" w:firstRowFirstColumn="0" w:firstRowLastColumn="0" w:lastRowFirstColumn="0" w:lastRowLastColumn="0"/>
            <w:tcW w:w="1622" w:type="dxa"/>
          </w:tcPr>
          <w:p w14:paraId="7036192F" w14:textId="77777777" w:rsidR="00314EAC" w:rsidRPr="00570EEF" w:rsidRDefault="00314EAC" w:rsidP="00A26CEC">
            <w:pPr>
              <w:jc w:val="both"/>
            </w:pPr>
            <w:r w:rsidRPr="00570EEF">
              <w:t>Relevant employer compliance rate</w:t>
            </w:r>
          </w:p>
        </w:tc>
        <w:tc>
          <w:tcPr>
            <w:tcW w:w="2402" w:type="dxa"/>
          </w:tcPr>
          <w:p w14:paraId="66711C9A" w14:textId="77777777" w:rsidR="00314EAC" w:rsidRPr="00570EEF" w:rsidRDefault="00314EAC" w:rsidP="00A26CEC">
            <w:pPr>
              <w:jc w:val="both"/>
              <w:cnfStyle w:val="000000000000" w:firstRow="0" w:lastRow="0" w:firstColumn="0" w:lastColumn="0" w:oddVBand="0" w:evenVBand="0" w:oddHBand="0" w:evenHBand="0" w:firstRowFirstColumn="0" w:firstRowLastColumn="0" w:lastRowFirstColumn="0" w:lastRowLastColumn="0"/>
            </w:pPr>
            <w:r w:rsidRPr="00570EEF">
              <w:t>WGEA publishes a non-compliant list of relevant employers annually; listing employers that do not provide reports</w:t>
            </w:r>
          </w:p>
        </w:tc>
        <w:tc>
          <w:tcPr>
            <w:tcW w:w="3084" w:type="dxa"/>
          </w:tcPr>
          <w:p w14:paraId="1C633BF4" w14:textId="7EEC0F22" w:rsidR="00314EAC" w:rsidRPr="00570EEF" w:rsidRDefault="00314EAC" w:rsidP="00630AC5">
            <w:pPr>
              <w:jc w:val="both"/>
              <w:cnfStyle w:val="000000000000" w:firstRow="0" w:lastRow="0" w:firstColumn="0" w:lastColumn="0" w:oddVBand="0" w:evenVBand="0" w:oddHBand="0" w:evenHBand="0" w:firstRowFirstColumn="0" w:firstRowLastColumn="0" w:lastRowFirstColumn="0" w:lastRowLastColumn="0"/>
            </w:pPr>
            <w:r w:rsidRPr="00570EEF">
              <w:t>An increase in reporting compliance of relevant employers may evidence the benefits of implementation of Recommendation 4 (reducing the reporting burden).</w:t>
            </w:r>
            <w:r>
              <w:t xml:space="preserve"> </w:t>
            </w:r>
          </w:p>
        </w:tc>
        <w:tc>
          <w:tcPr>
            <w:tcW w:w="1908" w:type="dxa"/>
          </w:tcPr>
          <w:p w14:paraId="25FFCAB8" w14:textId="77777777" w:rsidR="00314EAC" w:rsidRDefault="00314EAC" w:rsidP="00A26CEC">
            <w:pPr>
              <w:jc w:val="both"/>
              <w:cnfStyle w:val="000000000000" w:firstRow="0" w:lastRow="0" w:firstColumn="0" w:lastColumn="0" w:oddVBand="0" w:evenVBand="0" w:oddHBand="0" w:evenHBand="0" w:firstRowFirstColumn="0" w:firstRowLastColumn="0" w:lastRowFirstColumn="0" w:lastRowLastColumn="0"/>
            </w:pPr>
            <w:r>
              <w:t>Y</w:t>
            </w:r>
          </w:p>
          <w:p w14:paraId="6110CED5" w14:textId="77777777" w:rsidR="00314EAC" w:rsidRPr="00AA7217" w:rsidRDefault="00314EAC" w:rsidP="00A26CEC">
            <w:pPr>
              <w:cnfStyle w:val="000000000000" w:firstRow="0" w:lastRow="0" w:firstColumn="0" w:lastColumn="0" w:oddVBand="0" w:evenVBand="0" w:oddHBand="0" w:evenHBand="0" w:firstRowFirstColumn="0" w:firstRowLastColumn="0" w:lastRowFirstColumn="0" w:lastRowLastColumn="0"/>
            </w:pPr>
          </w:p>
          <w:p w14:paraId="5CDBA0FC" w14:textId="77777777" w:rsidR="00314EAC" w:rsidRDefault="00314EAC" w:rsidP="00A26CEC">
            <w:pPr>
              <w:cnfStyle w:val="000000000000" w:firstRow="0" w:lastRow="0" w:firstColumn="0" w:lastColumn="0" w:oddVBand="0" w:evenVBand="0" w:oddHBand="0" w:evenHBand="0" w:firstRowFirstColumn="0" w:firstRowLastColumn="0" w:lastRowFirstColumn="0" w:lastRowLastColumn="0"/>
            </w:pPr>
          </w:p>
          <w:p w14:paraId="70BBDB0E" w14:textId="77777777" w:rsidR="00314EAC" w:rsidRPr="00AA7217" w:rsidRDefault="00314EAC" w:rsidP="00A26CEC">
            <w:pPr>
              <w:jc w:val="center"/>
              <w:cnfStyle w:val="000000000000" w:firstRow="0" w:lastRow="0" w:firstColumn="0" w:lastColumn="0" w:oddVBand="0" w:evenVBand="0" w:oddHBand="0" w:evenHBand="0" w:firstRowFirstColumn="0" w:firstRowLastColumn="0" w:lastRowFirstColumn="0" w:lastRowLastColumn="0"/>
            </w:pPr>
          </w:p>
        </w:tc>
      </w:tr>
      <w:tr w:rsidR="00314EAC" w:rsidRPr="00570EEF" w14:paraId="751F3317" w14:textId="77777777" w:rsidTr="00A66122">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1622" w:type="dxa"/>
          </w:tcPr>
          <w:p w14:paraId="44D72375" w14:textId="77777777" w:rsidR="00314EAC" w:rsidRPr="00570EEF" w:rsidRDefault="00314EAC" w:rsidP="00A26CEC">
            <w:pPr>
              <w:jc w:val="both"/>
            </w:pPr>
            <w:r w:rsidRPr="00570EEF">
              <w:t>Number of Requests for Support</w:t>
            </w:r>
          </w:p>
        </w:tc>
        <w:tc>
          <w:tcPr>
            <w:tcW w:w="2402" w:type="dxa"/>
          </w:tcPr>
          <w:p w14:paraId="0C7816A6" w14:textId="77777777" w:rsidR="00314EAC" w:rsidRPr="00570EEF" w:rsidRDefault="00314EAC" w:rsidP="00A26CEC">
            <w:pPr>
              <w:jc w:val="both"/>
              <w:cnfStyle w:val="000000100000" w:firstRow="0" w:lastRow="0" w:firstColumn="0" w:lastColumn="0" w:oddVBand="0" w:evenVBand="0" w:oddHBand="1" w:evenHBand="0" w:firstRowFirstColumn="0" w:firstRowLastColumn="0" w:lastRowFirstColumn="0" w:lastRowLastColumn="0"/>
            </w:pPr>
            <w:r w:rsidRPr="00570EEF">
              <w:t xml:space="preserve">WGEA will monitor the number </w:t>
            </w:r>
            <w:r>
              <w:t xml:space="preserve">and type </w:t>
            </w:r>
            <w:r w:rsidRPr="00570EEF">
              <w:t>of requests for support received from Relevant Employers</w:t>
            </w:r>
          </w:p>
        </w:tc>
        <w:tc>
          <w:tcPr>
            <w:tcW w:w="3084" w:type="dxa"/>
          </w:tcPr>
          <w:p w14:paraId="76099B4B" w14:textId="77777777" w:rsidR="00314EAC" w:rsidRPr="00570EEF" w:rsidRDefault="00314EAC" w:rsidP="00A26CEC">
            <w:pPr>
              <w:jc w:val="both"/>
              <w:cnfStyle w:val="000000100000" w:firstRow="0" w:lastRow="0" w:firstColumn="0" w:lastColumn="0" w:oddVBand="0" w:evenVBand="0" w:oddHBand="1" w:evenHBand="0" w:firstRowFirstColumn="0" w:firstRowLastColumn="0" w:lastRowFirstColumn="0" w:lastRowLastColumn="0"/>
            </w:pPr>
            <w:r w:rsidRPr="00570EEF">
              <w:t xml:space="preserve">A high number of requests for support </w:t>
            </w:r>
            <w:r>
              <w:t>relating to the new gender equality standards may</w:t>
            </w:r>
            <w:r w:rsidRPr="00570EEF">
              <w:t xml:space="preserve"> indicate that </w:t>
            </w:r>
            <w:r>
              <w:t>further education is needed or</w:t>
            </w:r>
            <w:r w:rsidRPr="00570EEF">
              <w:t xml:space="preserve"> there are </w:t>
            </w:r>
            <w:r>
              <w:t xml:space="preserve">other </w:t>
            </w:r>
            <w:r w:rsidRPr="00570EEF">
              <w:t>issues in the implementation of Option 3 that require attention.</w:t>
            </w:r>
          </w:p>
        </w:tc>
        <w:tc>
          <w:tcPr>
            <w:tcW w:w="1908" w:type="dxa"/>
          </w:tcPr>
          <w:p w14:paraId="699786E7" w14:textId="77777777" w:rsidR="00314EAC" w:rsidRPr="00570EEF" w:rsidRDefault="00314EAC" w:rsidP="00A26CEC">
            <w:pPr>
              <w:jc w:val="both"/>
              <w:cnfStyle w:val="000000100000" w:firstRow="0" w:lastRow="0" w:firstColumn="0" w:lastColumn="0" w:oddVBand="0" w:evenVBand="0" w:oddHBand="1" w:evenHBand="0" w:firstRowFirstColumn="0" w:firstRowLastColumn="0" w:lastRowFirstColumn="0" w:lastRowLastColumn="0"/>
            </w:pPr>
            <w:r>
              <w:t>Y</w:t>
            </w:r>
          </w:p>
        </w:tc>
      </w:tr>
      <w:tr w:rsidR="00314EAC" w:rsidRPr="00570EEF" w14:paraId="6DE8A6C4" w14:textId="77777777" w:rsidTr="00A66122">
        <w:trPr>
          <w:trHeight w:val="2257"/>
        </w:trPr>
        <w:tc>
          <w:tcPr>
            <w:cnfStyle w:val="001000000000" w:firstRow="0" w:lastRow="0" w:firstColumn="1" w:lastColumn="0" w:oddVBand="0" w:evenVBand="0" w:oddHBand="0" w:evenHBand="0" w:firstRowFirstColumn="0" w:firstRowLastColumn="0" w:lastRowFirstColumn="0" w:lastRowLastColumn="0"/>
            <w:tcW w:w="1622" w:type="dxa"/>
          </w:tcPr>
          <w:p w14:paraId="48F7FE21" w14:textId="77777777" w:rsidR="00314EAC" w:rsidRPr="00570EEF" w:rsidRDefault="00314EAC" w:rsidP="00A26CEC">
            <w:pPr>
              <w:jc w:val="both"/>
            </w:pPr>
            <w:r w:rsidRPr="00570EEF">
              <w:t>Genuine measurable target achievement</w:t>
            </w:r>
          </w:p>
        </w:tc>
        <w:tc>
          <w:tcPr>
            <w:tcW w:w="2402" w:type="dxa"/>
          </w:tcPr>
          <w:p w14:paraId="6CDD0CBB" w14:textId="77777777" w:rsidR="00314EAC" w:rsidRPr="00570EEF" w:rsidRDefault="00314EAC" w:rsidP="00A26CEC">
            <w:pPr>
              <w:jc w:val="both"/>
              <w:cnfStyle w:val="000000000000" w:firstRow="0" w:lastRow="0" w:firstColumn="0" w:lastColumn="0" w:oddVBand="0" w:evenVBand="0" w:oddHBand="0" w:evenHBand="0" w:firstRowFirstColumn="0" w:firstRowLastColumn="0" w:lastRowFirstColumn="0" w:lastRowLastColumn="0"/>
            </w:pPr>
            <w:r w:rsidRPr="00570EEF">
              <w:t xml:space="preserve">WGEA will publish </w:t>
            </w:r>
            <w:r>
              <w:t xml:space="preserve">details of progress and achievement of new gender equality standards </w:t>
            </w:r>
          </w:p>
        </w:tc>
        <w:tc>
          <w:tcPr>
            <w:tcW w:w="3084" w:type="dxa"/>
          </w:tcPr>
          <w:p w14:paraId="773E4C7B" w14:textId="77777777" w:rsidR="00314EAC" w:rsidRPr="00570EEF" w:rsidRDefault="00314EAC" w:rsidP="00A26CEC">
            <w:pPr>
              <w:jc w:val="both"/>
              <w:cnfStyle w:val="000000000000" w:firstRow="0" w:lastRow="0" w:firstColumn="0" w:lastColumn="0" w:oddVBand="0" w:evenVBand="0" w:oddHBand="0" w:evenHBand="0" w:firstRowFirstColumn="0" w:firstRowLastColumn="0" w:lastRowFirstColumn="0" w:lastRowLastColumn="0"/>
            </w:pPr>
            <w:r w:rsidRPr="00570EEF">
              <w:t>If relevant employers show consistent progress towards achieving the targets they set then this will likely demonstrate that the targets are appropriate, achievable and effective towards improving gender equality in the workplace.</w:t>
            </w:r>
          </w:p>
        </w:tc>
        <w:tc>
          <w:tcPr>
            <w:tcW w:w="1908" w:type="dxa"/>
          </w:tcPr>
          <w:p w14:paraId="2C08EFEA" w14:textId="77777777" w:rsidR="00314EAC" w:rsidRPr="00570EEF" w:rsidRDefault="00314EAC" w:rsidP="00A26CEC">
            <w:pPr>
              <w:jc w:val="both"/>
              <w:cnfStyle w:val="000000000000" w:firstRow="0" w:lastRow="0" w:firstColumn="0" w:lastColumn="0" w:oddVBand="0" w:evenVBand="0" w:oddHBand="0" w:evenHBand="0" w:firstRowFirstColumn="0" w:firstRowLastColumn="0" w:lastRowFirstColumn="0" w:lastRowLastColumn="0"/>
            </w:pPr>
            <w:r w:rsidRPr="00570EEF">
              <w:t>Y - following implementation of Option 3</w:t>
            </w:r>
          </w:p>
        </w:tc>
      </w:tr>
      <w:tr w:rsidR="00314EAC" w:rsidRPr="00570EEF" w14:paraId="174D3433" w14:textId="77777777" w:rsidTr="00A66122">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622" w:type="dxa"/>
          </w:tcPr>
          <w:p w14:paraId="1152A757" w14:textId="77777777" w:rsidR="00314EAC" w:rsidRPr="00570EEF" w:rsidRDefault="00314EAC" w:rsidP="00A26CEC">
            <w:pPr>
              <w:jc w:val="both"/>
            </w:pPr>
            <w:r w:rsidRPr="00570EEF">
              <w:t>Changes to business</w:t>
            </w:r>
          </w:p>
        </w:tc>
        <w:tc>
          <w:tcPr>
            <w:tcW w:w="2402" w:type="dxa"/>
          </w:tcPr>
          <w:p w14:paraId="2AEA6B14" w14:textId="77777777" w:rsidR="00314EAC" w:rsidRPr="00570EEF" w:rsidRDefault="00314EAC" w:rsidP="00A26CEC">
            <w:pPr>
              <w:jc w:val="both"/>
              <w:cnfStyle w:val="000000100000" w:firstRow="0" w:lastRow="0" w:firstColumn="0" w:lastColumn="0" w:oddVBand="0" w:evenVBand="0" w:oddHBand="1" w:evenHBand="0" w:firstRowFirstColumn="0" w:firstRowLastColumn="0" w:lastRowFirstColumn="0" w:lastRowLastColumn="0"/>
            </w:pPr>
            <w:r w:rsidRPr="00570EEF">
              <w:t>Employers provide WGEA with data on an annual basis that enable</w:t>
            </w:r>
            <w:r>
              <w:t>s</w:t>
            </w:r>
            <w:r w:rsidRPr="00570EEF">
              <w:t xml:space="preserve"> WGEA to </w:t>
            </w:r>
            <w:r>
              <w:t xml:space="preserve">calculate gender pay gaps and assess gender equality maturity </w:t>
            </w:r>
            <w:r w:rsidRPr="00570EEF">
              <w:t xml:space="preserve">and compare it to other </w:t>
            </w:r>
            <w:r>
              <w:t>relevant benchmarks</w:t>
            </w:r>
          </w:p>
        </w:tc>
        <w:tc>
          <w:tcPr>
            <w:tcW w:w="3084" w:type="dxa"/>
          </w:tcPr>
          <w:p w14:paraId="7E1ABA20" w14:textId="77777777" w:rsidR="00314EAC" w:rsidRPr="00570EEF" w:rsidRDefault="00314EAC" w:rsidP="00A26CEC">
            <w:pPr>
              <w:jc w:val="both"/>
              <w:cnfStyle w:val="000000100000" w:firstRow="0" w:lastRow="0" w:firstColumn="0" w:lastColumn="0" w:oddVBand="0" w:evenVBand="0" w:oddHBand="1" w:evenHBand="0" w:firstRowFirstColumn="0" w:firstRowLastColumn="0" w:lastRowFirstColumn="0" w:lastRowLastColumn="0"/>
            </w:pPr>
            <w:r w:rsidRPr="00570EEF">
              <w:t>Businesses that have lower organisational gender pay gaps</w:t>
            </w:r>
            <w:r>
              <w:t xml:space="preserve"> and higher maturity</w:t>
            </w:r>
            <w:r w:rsidRPr="00570EEF">
              <w:t xml:space="preserve"> may demonstrate better flexible working, female presence on governing boards, parental leave policies and other policies</w:t>
            </w:r>
          </w:p>
        </w:tc>
        <w:tc>
          <w:tcPr>
            <w:tcW w:w="1908" w:type="dxa"/>
          </w:tcPr>
          <w:p w14:paraId="626351FD" w14:textId="77777777" w:rsidR="00314EAC" w:rsidRPr="00570EEF" w:rsidRDefault="00314EAC" w:rsidP="00A26CEC">
            <w:pPr>
              <w:jc w:val="both"/>
              <w:cnfStyle w:val="000000100000" w:firstRow="0" w:lastRow="0" w:firstColumn="0" w:lastColumn="0" w:oddVBand="0" w:evenVBand="0" w:oddHBand="1" w:evenHBand="0" w:firstRowFirstColumn="0" w:firstRowLastColumn="0" w:lastRowFirstColumn="0" w:lastRowLastColumn="0"/>
            </w:pPr>
            <w:r w:rsidRPr="00570EEF">
              <w:t>Y</w:t>
            </w:r>
          </w:p>
        </w:tc>
      </w:tr>
      <w:tr w:rsidR="00314EAC" w:rsidRPr="00570EEF" w14:paraId="047F1C74" w14:textId="77777777" w:rsidTr="00A26CEC">
        <w:tc>
          <w:tcPr>
            <w:cnfStyle w:val="001000000000" w:firstRow="0" w:lastRow="0" w:firstColumn="1" w:lastColumn="0" w:oddVBand="0" w:evenVBand="0" w:oddHBand="0" w:evenHBand="0" w:firstRowFirstColumn="0" w:firstRowLastColumn="0" w:lastRowFirstColumn="0" w:lastRowLastColumn="0"/>
            <w:tcW w:w="1622" w:type="dxa"/>
          </w:tcPr>
          <w:p w14:paraId="07D8417A" w14:textId="77777777" w:rsidR="00314EAC" w:rsidRPr="00570EEF" w:rsidRDefault="00314EAC" w:rsidP="00A26CEC">
            <w:pPr>
              <w:jc w:val="both"/>
            </w:pPr>
            <w:r w:rsidRPr="00570EEF">
              <w:t>Changes to Australian workplace culture</w:t>
            </w:r>
          </w:p>
        </w:tc>
        <w:tc>
          <w:tcPr>
            <w:tcW w:w="2402" w:type="dxa"/>
          </w:tcPr>
          <w:p w14:paraId="0E549A99" w14:textId="77777777" w:rsidR="00314EAC" w:rsidRPr="00570EEF" w:rsidRDefault="00314EAC" w:rsidP="00A26CEC">
            <w:pPr>
              <w:jc w:val="both"/>
              <w:cnfStyle w:val="000000000000" w:firstRow="0" w:lastRow="0" w:firstColumn="0" w:lastColumn="0" w:oddVBand="0" w:evenVBand="0" w:oddHBand="0" w:evenHBand="0" w:firstRowFirstColumn="0" w:firstRowLastColumn="0" w:lastRowFirstColumn="0" w:lastRowLastColumn="0"/>
            </w:pPr>
            <w:r w:rsidRPr="00570EEF">
              <w:t>Prevalence</w:t>
            </w:r>
            <w:r>
              <w:t>, prevention and response</w:t>
            </w:r>
            <w:r w:rsidRPr="00570EEF">
              <w:t xml:space="preserve"> data</w:t>
            </w:r>
            <w:r>
              <w:t xml:space="preserve"> on sexual harassment and discrimination</w:t>
            </w:r>
            <w:r w:rsidRPr="00570EEF">
              <w:t xml:space="preserve"> as reported to WGEA</w:t>
            </w:r>
          </w:p>
        </w:tc>
        <w:tc>
          <w:tcPr>
            <w:tcW w:w="3084" w:type="dxa"/>
          </w:tcPr>
          <w:p w14:paraId="5EBB98AD" w14:textId="77777777" w:rsidR="00314EAC" w:rsidRPr="00570EEF" w:rsidRDefault="00314EAC" w:rsidP="00A26CEC">
            <w:pPr>
              <w:jc w:val="both"/>
              <w:cnfStyle w:val="000000000000" w:firstRow="0" w:lastRow="0" w:firstColumn="0" w:lastColumn="0" w:oddVBand="0" w:evenVBand="0" w:oddHBand="0" w:evenHBand="0" w:firstRowFirstColumn="0" w:firstRowLastColumn="0" w:lastRowFirstColumn="0" w:lastRowLastColumn="0"/>
            </w:pPr>
            <w:r w:rsidRPr="00570EEF">
              <w:t>Fewer complaints of discrimination and sexual harassment in the workplace as reported through the WGEA annual reporting cycle.</w:t>
            </w:r>
          </w:p>
        </w:tc>
        <w:tc>
          <w:tcPr>
            <w:tcW w:w="1908" w:type="dxa"/>
          </w:tcPr>
          <w:p w14:paraId="5DDD0E6C" w14:textId="77777777" w:rsidR="00314EAC" w:rsidRPr="00570EEF" w:rsidRDefault="00314EAC" w:rsidP="00A26CEC">
            <w:pPr>
              <w:jc w:val="both"/>
              <w:cnfStyle w:val="000000000000" w:firstRow="0" w:lastRow="0" w:firstColumn="0" w:lastColumn="0" w:oddVBand="0" w:evenVBand="0" w:oddHBand="0" w:evenHBand="0" w:firstRowFirstColumn="0" w:firstRowLastColumn="0" w:lastRowFirstColumn="0" w:lastRowLastColumn="0"/>
            </w:pPr>
            <w:r>
              <w:t>Y</w:t>
            </w:r>
            <w:r w:rsidRPr="00570EEF">
              <w:t>- following implementation of Option 3</w:t>
            </w:r>
          </w:p>
        </w:tc>
      </w:tr>
    </w:tbl>
    <w:p w14:paraId="09E08AB4" w14:textId="77777777" w:rsidR="00DB3C52" w:rsidRDefault="00DB3C52" w:rsidP="00314EAC">
      <w:pPr>
        <w:jc w:val="both"/>
        <w:rPr>
          <w:rStyle w:val="Heading1Char"/>
          <w:rFonts w:asciiTheme="minorHAnsi" w:hAnsiTheme="minorHAnsi" w:cstheme="minorHAnsi"/>
        </w:rPr>
      </w:pPr>
      <w:bookmarkStart w:id="132" w:name="_Toc118794761"/>
      <w:bookmarkStart w:id="133" w:name="_Toc125714749"/>
    </w:p>
    <w:p w14:paraId="5AD36ACC" w14:textId="77777777" w:rsidR="00DB3C52" w:rsidRDefault="00DB3C52">
      <w:pPr>
        <w:rPr>
          <w:rStyle w:val="Heading1Char"/>
          <w:rFonts w:asciiTheme="minorHAnsi" w:hAnsiTheme="minorHAnsi" w:cstheme="minorHAnsi"/>
        </w:rPr>
      </w:pPr>
      <w:r>
        <w:rPr>
          <w:rStyle w:val="Heading1Char"/>
          <w:rFonts w:asciiTheme="minorHAnsi" w:hAnsiTheme="minorHAnsi" w:cstheme="minorHAnsi"/>
        </w:rPr>
        <w:br w:type="page"/>
      </w:r>
    </w:p>
    <w:p w14:paraId="6A491F3D" w14:textId="0635D906" w:rsidR="00346925" w:rsidRPr="00314EAC" w:rsidRDefault="00C33433" w:rsidP="00314EAC">
      <w:pPr>
        <w:jc w:val="both"/>
        <w:rPr>
          <w:rFonts w:cstheme="minorHAnsi"/>
          <w:lang w:val="en-GB"/>
        </w:rPr>
      </w:pPr>
      <w:r w:rsidRPr="003F264A">
        <w:rPr>
          <w:rStyle w:val="Heading1Char"/>
          <w:rFonts w:asciiTheme="minorHAnsi" w:hAnsiTheme="minorHAnsi" w:cstheme="minorHAnsi"/>
        </w:rPr>
        <w:t>Appendix A</w:t>
      </w:r>
      <w:bookmarkEnd w:id="132"/>
      <w:bookmarkEnd w:id="133"/>
    </w:p>
    <w:p w14:paraId="12405BE4" w14:textId="77777777" w:rsidR="00447284" w:rsidRPr="00D4218B" w:rsidRDefault="00447284" w:rsidP="00D4218B">
      <w:pPr>
        <w:rPr>
          <w:b/>
          <w:color w:val="4472C4" w:themeColor="accent5"/>
          <w:sz w:val="28"/>
          <w:szCs w:val="20"/>
        </w:rPr>
      </w:pPr>
      <w:bookmarkStart w:id="134" w:name="_Toc118794762"/>
      <w:r w:rsidRPr="00D4218B">
        <w:rPr>
          <w:b/>
          <w:color w:val="4472C4" w:themeColor="accent5"/>
          <w:sz w:val="28"/>
          <w:szCs w:val="20"/>
        </w:rPr>
        <w:t>WGEA and the WGE Act</w:t>
      </w:r>
      <w:bookmarkEnd w:id="134"/>
    </w:p>
    <w:p w14:paraId="4A12043B" w14:textId="77777777" w:rsidR="00447284" w:rsidRPr="003F264A" w:rsidRDefault="00447284" w:rsidP="00447284">
      <w:pPr>
        <w:rPr>
          <w:rFonts w:cstheme="minorHAnsi"/>
          <w:color w:val="000000"/>
        </w:rPr>
      </w:pPr>
      <w:r w:rsidRPr="003F264A">
        <w:rPr>
          <w:rFonts w:cstheme="minorHAnsi"/>
          <w:lang w:val="en-GB"/>
        </w:rPr>
        <w:t>In 2012, the</w:t>
      </w:r>
      <w:r w:rsidRPr="003F264A">
        <w:rPr>
          <w:rFonts w:cstheme="minorHAnsi"/>
          <w:i/>
          <w:szCs w:val="20"/>
        </w:rPr>
        <w:t xml:space="preserve"> </w:t>
      </w:r>
      <w:r w:rsidRPr="003F264A">
        <w:rPr>
          <w:rFonts w:cstheme="minorHAnsi"/>
          <w:szCs w:val="20"/>
        </w:rPr>
        <w:t xml:space="preserve">WGE Act was passed and WGEA was established, replacing its predecessor, the Equal Opportunity for Women in the Workplace Agency. This </w:t>
      </w:r>
      <w:r w:rsidRPr="003F264A">
        <w:rPr>
          <w:rFonts w:cstheme="minorHAnsi"/>
          <w:color w:val="000000"/>
        </w:rPr>
        <w:t>represented a fundamental change to the way gender equality in the workplace is addressed in Australia.</w:t>
      </w:r>
    </w:p>
    <w:p w14:paraId="3039336F" w14:textId="77777777" w:rsidR="00447284" w:rsidRPr="003F264A" w:rsidRDefault="00447284" w:rsidP="00447284">
      <w:pPr>
        <w:rPr>
          <w:rFonts w:cstheme="minorHAnsi"/>
          <w:lang w:val="en-GB"/>
        </w:rPr>
      </w:pPr>
      <w:r w:rsidRPr="003F264A">
        <w:rPr>
          <w:rFonts w:cstheme="minorHAnsi"/>
          <w:color w:val="000000"/>
        </w:rPr>
        <w:t xml:space="preserve">The WGE Act: </w:t>
      </w:r>
    </w:p>
    <w:p w14:paraId="1D7707A9" w14:textId="77777777" w:rsidR="00447284" w:rsidRPr="003F264A" w:rsidRDefault="00447284" w:rsidP="003D0C74">
      <w:pPr>
        <w:pStyle w:val="ListParagraph"/>
        <w:numPr>
          <w:ilvl w:val="0"/>
          <w:numId w:val="21"/>
        </w:numPr>
        <w:rPr>
          <w:rFonts w:cstheme="minorHAnsi"/>
          <w:color w:val="000000"/>
        </w:rPr>
      </w:pPr>
      <w:r w:rsidRPr="003F264A">
        <w:rPr>
          <w:rFonts w:cstheme="minorHAnsi"/>
          <w:color w:val="000000"/>
        </w:rPr>
        <w:t>introduced a new standardised reporting framework, requiring private sector employers with 100 or more employees to report against six Gender Equality Indicators (</w:t>
      </w:r>
      <w:r w:rsidRPr="003F264A">
        <w:rPr>
          <w:rFonts w:cstheme="minorHAnsi"/>
          <w:b/>
          <w:color w:val="000000"/>
        </w:rPr>
        <w:t>GEIs</w:t>
      </w:r>
      <w:r w:rsidRPr="003F264A">
        <w:rPr>
          <w:rFonts w:cstheme="minorHAnsi"/>
          <w:color w:val="000000"/>
        </w:rPr>
        <w:t>), enabling comparative analysis across employers;</w:t>
      </w:r>
    </w:p>
    <w:p w14:paraId="7A6DAC2B" w14:textId="77777777" w:rsidR="00447284" w:rsidRPr="003F264A" w:rsidRDefault="00447284" w:rsidP="003D0C74">
      <w:pPr>
        <w:pStyle w:val="ListParagraph"/>
        <w:numPr>
          <w:ilvl w:val="0"/>
          <w:numId w:val="21"/>
        </w:numPr>
        <w:rPr>
          <w:rFonts w:cstheme="minorHAnsi"/>
          <w:color w:val="000000"/>
        </w:rPr>
      </w:pPr>
      <w:r w:rsidRPr="003F264A">
        <w:rPr>
          <w:rFonts w:cstheme="minorHAnsi"/>
          <w:color w:val="000000"/>
        </w:rPr>
        <w:t>gave WGEA new advisory, research and educational functions;</w:t>
      </w:r>
    </w:p>
    <w:p w14:paraId="5C72DC4A" w14:textId="77777777" w:rsidR="00447284" w:rsidRPr="003F264A" w:rsidRDefault="00447284" w:rsidP="003D0C74">
      <w:pPr>
        <w:pStyle w:val="ListParagraph"/>
        <w:numPr>
          <w:ilvl w:val="0"/>
          <w:numId w:val="21"/>
        </w:numPr>
        <w:rPr>
          <w:rFonts w:cstheme="minorHAnsi"/>
          <w:color w:val="000000"/>
        </w:rPr>
      </w:pPr>
      <w:r w:rsidRPr="003F264A">
        <w:rPr>
          <w:rFonts w:cstheme="minorHAnsi"/>
          <w:color w:val="000000"/>
        </w:rPr>
        <w:t>modified coverage so that all employers and employees in the work</w:t>
      </w:r>
      <w:r w:rsidR="00EF65A7">
        <w:rPr>
          <w:rFonts w:cstheme="minorHAnsi"/>
          <w:color w:val="000000"/>
        </w:rPr>
        <w:t>place, regardless of gender,</w:t>
      </w:r>
      <w:r w:rsidRPr="003F264A">
        <w:rPr>
          <w:rFonts w:cstheme="minorHAnsi"/>
          <w:color w:val="000000"/>
        </w:rPr>
        <w:t xml:space="preserve"> benefit from the educational resources of WGEA; and</w:t>
      </w:r>
    </w:p>
    <w:p w14:paraId="3D79E7A9" w14:textId="77777777" w:rsidR="00447284" w:rsidRPr="003F264A" w:rsidRDefault="00447284" w:rsidP="003D0C74">
      <w:pPr>
        <w:pStyle w:val="ListParagraph"/>
        <w:numPr>
          <w:ilvl w:val="0"/>
          <w:numId w:val="21"/>
        </w:numPr>
        <w:rPr>
          <w:rFonts w:cstheme="minorHAnsi"/>
          <w:color w:val="000000"/>
        </w:rPr>
      </w:pPr>
      <w:r w:rsidRPr="003F264A">
        <w:rPr>
          <w:rFonts w:cstheme="minorHAnsi"/>
          <w:color w:val="000000"/>
        </w:rPr>
        <w:t>provided further transparency regarding sanctions for non-compliance through the Commonwealth procurement framework of not being eligible to tender for government contracts or trade with government.</w:t>
      </w:r>
    </w:p>
    <w:p w14:paraId="08B92400" w14:textId="77777777" w:rsidR="00447284" w:rsidRPr="003F264A" w:rsidRDefault="00447284" w:rsidP="00447284">
      <w:pPr>
        <w:rPr>
          <w:rFonts w:cstheme="minorHAnsi"/>
          <w:szCs w:val="20"/>
        </w:rPr>
      </w:pPr>
      <w:r w:rsidRPr="003F264A">
        <w:rPr>
          <w:rFonts w:cstheme="minorHAnsi"/>
          <w:szCs w:val="20"/>
        </w:rPr>
        <w:t xml:space="preserve">The objects of the WGE Act are to: </w:t>
      </w:r>
    </w:p>
    <w:p w14:paraId="41A6D32A" w14:textId="77777777" w:rsidR="00447284" w:rsidRPr="003F264A" w:rsidRDefault="00447284" w:rsidP="003D0C74">
      <w:pPr>
        <w:pStyle w:val="ListParagraph"/>
        <w:numPr>
          <w:ilvl w:val="0"/>
          <w:numId w:val="3"/>
        </w:numPr>
        <w:rPr>
          <w:rFonts w:cstheme="minorHAnsi"/>
          <w:szCs w:val="20"/>
        </w:rPr>
      </w:pPr>
      <w:r w:rsidRPr="003F264A">
        <w:rPr>
          <w:rFonts w:cstheme="minorHAnsi"/>
          <w:szCs w:val="20"/>
        </w:rPr>
        <w:t xml:space="preserve">promote and improve gender equality (including equal remuneration between women and men) in employment and in the workplace; </w:t>
      </w:r>
    </w:p>
    <w:p w14:paraId="37FFD0D1" w14:textId="77777777" w:rsidR="00447284" w:rsidRPr="003F264A" w:rsidRDefault="00447284" w:rsidP="003D0C74">
      <w:pPr>
        <w:pStyle w:val="ListParagraph"/>
        <w:numPr>
          <w:ilvl w:val="0"/>
          <w:numId w:val="3"/>
        </w:numPr>
        <w:rPr>
          <w:rFonts w:cstheme="minorHAnsi"/>
          <w:szCs w:val="20"/>
        </w:rPr>
      </w:pPr>
      <w:r w:rsidRPr="003F264A">
        <w:rPr>
          <w:rFonts w:cstheme="minorHAnsi"/>
          <w:szCs w:val="20"/>
        </w:rPr>
        <w:t xml:space="preserve">support employers to remove barriers to the full and equal participation of women in the workforce, in recognition of the disadvantaged position of women in relation to employment matters; </w:t>
      </w:r>
    </w:p>
    <w:p w14:paraId="6BFAC49B" w14:textId="77777777" w:rsidR="00447284" w:rsidRPr="003F264A" w:rsidRDefault="00447284" w:rsidP="003D0C74">
      <w:pPr>
        <w:pStyle w:val="ListParagraph"/>
        <w:numPr>
          <w:ilvl w:val="0"/>
          <w:numId w:val="3"/>
        </w:numPr>
        <w:rPr>
          <w:rFonts w:cstheme="minorHAnsi"/>
          <w:szCs w:val="20"/>
        </w:rPr>
      </w:pPr>
      <w:r w:rsidRPr="003F264A">
        <w:rPr>
          <w:rFonts w:cstheme="minorHAnsi"/>
          <w:szCs w:val="20"/>
        </w:rPr>
        <w:t xml:space="preserve">promote, amongst employers, the elimination of discrimination on the basis of gender in relation to employment matters (including in relation to family and caring responsibilities); </w:t>
      </w:r>
    </w:p>
    <w:p w14:paraId="0E55509E" w14:textId="77777777" w:rsidR="00447284" w:rsidRPr="003F264A" w:rsidRDefault="00447284" w:rsidP="003D0C74">
      <w:pPr>
        <w:pStyle w:val="ListParagraph"/>
        <w:numPr>
          <w:ilvl w:val="0"/>
          <w:numId w:val="3"/>
        </w:numPr>
        <w:rPr>
          <w:rFonts w:cstheme="minorHAnsi"/>
          <w:szCs w:val="20"/>
        </w:rPr>
      </w:pPr>
      <w:r w:rsidRPr="003F264A">
        <w:rPr>
          <w:rFonts w:cstheme="minorHAnsi"/>
          <w:szCs w:val="20"/>
        </w:rPr>
        <w:t>foster workplace consultation between employers and employees on issues concerning gender equality in employment and in the workplace; and</w:t>
      </w:r>
    </w:p>
    <w:p w14:paraId="7A027CDC" w14:textId="77777777" w:rsidR="00447284" w:rsidRPr="003F264A" w:rsidRDefault="00447284" w:rsidP="003D0C74">
      <w:pPr>
        <w:pStyle w:val="ListParagraph"/>
        <w:numPr>
          <w:ilvl w:val="0"/>
          <w:numId w:val="3"/>
        </w:numPr>
        <w:rPr>
          <w:rFonts w:cstheme="minorHAnsi"/>
          <w:szCs w:val="20"/>
        </w:rPr>
      </w:pPr>
      <w:r w:rsidRPr="003F264A">
        <w:rPr>
          <w:rFonts w:cstheme="minorHAnsi"/>
          <w:szCs w:val="20"/>
        </w:rPr>
        <w:t>improve the productivity and competitiveness of Australian business through the advancement of gender equality in employment and in the workplace.</w:t>
      </w:r>
    </w:p>
    <w:p w14:paraId="4C7CFE5B" w14:textId="77777777" w:rsidR="00447284" w:rsidRPr="003F264A" w:rsidRDefault="00447284" w:rsidP="00447284">
      <w:pPr>
        <w:rPr>
          <w:rFonts w:cstheme="minorHAnsi"/>
          <w:szCs w:val="20"/>
        </w:rPr>
      </w:pPr>
      <w:r w:rsidRPr="003F264A">
        <w:rPr>
          <w:rFonts w:cstheme="minorHAnsi"/>
          <w:szCs w:val="20"/>
        </w:rPr>
        <w:t xml:space="preserve">The aim of gender equality in the workplace is broadly, to achieve equal opportunities and outcomes for all genders. Workplace gender equality requires: </w:t>
      </w:r>
    </w:p>
    <w:p w14:paraId="7236BB67" w14:textId="77777777" w:rsidR="00447284" w:rsidRPr="003F264A" w:rsidRDefault="00447284" w:rsidP="003D0C74">
      <w:pPr>
        <w:pStyle w:val="ListParagraph"/>
        <w:numPr>
          <w:ilvl w:val="0"/>
          <w:numId w:val="21"/>
        </w:numPr>
        <w:rPr>
          <w:rFonts w:cstheme="minorHAnsi"/>
          <w:color w:val="000000"/>
        </w:rPr>
      </w:pPr>
      <w:r w:rsidRPr="003F264A">
        <w:rPr>
          <w:rFonts w:cstheme="minorHAnsi"/>
          <w:color w:val="000000"/>
        </w:rPr>
        <w:t>workplaces to provide equal pay for work of equal or comparable value;</w:t>
      </w:r>
    </w:p>
    <w:p w14:paraId="38C05029" w14:textId="77777777" w:rsidR="00447284" w:rsidRPr="003F264A" w:rsidRDefault="00447284" w:rsidP="003D0C74">
      <w:pPr>
        <w:pStyle w:val="ListParagraph"/>
        <w:numPr>
          <w:ilvl w:val="0"/>
          <w:numId w:val="21"/>
        </w:numPr>
        <w:rPr>
          <w:rFonts w:cstheme="minorHAnsi"/>
          <w:color w:val="000000"/>
        </w:rPr>
      </w:pPr>
      <w:r w:rsidRPr="003F264A">
        <w:rPr>
          <w:rFonts w:cstheme="minorHAnsi"/>
          <w:color w:val="000000"/>
        </w:rPr>
        <w:t>removal of barriers to the full and equal participation of women in the workforce;</w:t>
      </w:r>
    </w:p>
    <w:p w14:paraId="44D0048B" w14:textId="77777777" w:rsidR="00447284" w:rsidRPr="003F264A" w:rsidRDefault="00447284" w:rsidP="003D0C74">
      <w:pPr>
        <w:pStyle w:val="ListParagraph"/>
        <w:numPr>
          <w:ilvl w:val="0"/>
          <w:numId w:val="21"/>
        </w:numPr>
        <w:rPr>
          <w:rFonts w:cstheme="minorHAnsi"/>
          <w:color w:val="000000"/>
        </w:rPr>
      </w:pPr>
      <w:r w:rsidRPr="003F264A">
        <w:rPr>
          <w:rFonts w:cstheme="minorHAnsi"/>
          <w:color w:val="000000"/>
        </w:rPr>
        <w:t>access to all occupations and industries, including leadership roles, regardless of gender; and</w:t>
      </w:r>
    </w:p>
    <w:p w14:paraId="7B4B258E" w14:textId="77777777" w:rsidR="00447284" w:rsidRPr="003F264A" w:rsidRDefault="00447284" w:rsidP="003D0C74">
      <w:pPr>
        <w:pStyle w:val="ListParagraph"/>
        <w:numPr>
          <w:ilvl w:val="0"/>
          <w:numId w:val="21"/>
        </w:numPr>
        <w:rPr>
          <w:rFonts w:cstheme="minorHAnsi"/>
          <w:color w:val="000000"/>
        </w:rPr>
      </w:pPr>
      <w:r w:rsidRPr="003F264A">
        <w:rPr>
          <w:rFonts w:cstheme="minorHAnsi"/>
          <w:color w:val="000000"/>
        </w:rPr>
        <w:t>elimination of discrimination on the basis of gender, particularly in relation to family and caring responsibilities. </w:t>
      </w:r>
    </w:p>
    <w:p w14:paraId="0CECA95B" w14:textId="77777777" w:rsidR="00447284" w:rsidRPr="003F264A" w:rsidRDefault="00447284" w:rsidP="00447284">
      <w:pPr>
        <w:rPr>
          <w:rFonts w:cstheme="minorHAnsi"/>
        </w:rPr>
      </w:pPr>
      <w:r w:rsidRPr="003F264A">
        <w:rPr>
          <w:rFonts w:cstheme="minorHAnsi"/>
        </w:rPr>
        <w:t>One way of measuring gender inequality is through the gender pay gap. The gender pay gap is an internationally established measure of women’s position in the economy in comparison to men. It calculates the difference between the average earnings of women and men in the workforce, expressed as a percentage of men’s earnings.</w:t>
      </w:r>
      <w:r w:rsidRPr="003F264A">
        <w:rPr>
          <w:rStyle w:val="FootnoteReference"/>
          <w:rFonts w:cstheme="minorHAnsi"/>
        </w:rPr>
        <w:footnoteReference w:id="163"/>
      </w:r>
      <w:r w:rsidRPr="003F264A">
        <w:rPr>
          <w:rFonts w:cstheme="minorHAnsi"/>
        </w:rPr>
        <w:t xml:space="preserve"> In Australia, the gender pay gap is calculated by WGEA. </w:t>
      </w:r>
    </w:p>
    <w:p w14:paraId="6E29C9C5" w14:textId="77777777" w:rsidR="00447284" w:rsidRPr="00D4218B" w:rsidRDefault="00447284" w:rsidP="00D4218B">
      <w:pPr>
        <w:rPr>
          <w:b/>
          <w:color w:val="4472C4" w:themeColor="accent5"/>
          <w:sz w:val="28"/>
          <w:szCs w:val="20"/>
        </w:rPr>
      </w:pPr>
      <w:bookmarkStart w:id="135" w:name="_Toc118794763"/>
      <w:r w:rsidRPr="00D4218B">
        <w:rPr>
          <w:b/>
          <w:color w:val="4472C4" w:themeColor="accent5"/>
          <w:sz w:val="28"/>
          <w:szCs w:val="20"/>
        </w:rPr>
        <w:t>WGEA’s reporting function</w:t>
      </w:r>
      <w:bookmarkEnd w:id="135"/>
    </w:p>
    <w:p w14:paraId="542E6FDE" w14:textId="77777777" w:rsidR="00447284" w:rsidRPr="003F264A" w:rsidRDefault="00447284" w:rsidP="00447284">
      <w:pPr>
        <w:rPr>
          <w:rFonts w:cstheme="minorHAnsi"/>
          <w:szCs w:val="20"/>
        </w:rPr>
      </w:pPr>
      <w:r w:rsidRPr="003F264A">
        <w:rPr>
          <w:rFonts w:cstheme="minorHAnsi"/>
          <w:szCs w:val="20"/>
        </w:rPr>
        <w:t xml:space="preserve">One of WGEA’s key functions is </w:t>
      </w:r>
      <w:r w:rsidR="004A2054" w:rsidRPr="003F264A">
        <w:rPr>
          <w:rFonts w:cstheme="minorHAnsi"/>
          <w:szCs w:val="20"/>
        </w:rPr>
        <w:t xml:space="preserve">the </w:t>
      </w:r>
      <w:r w:rsidRPr="003F264A">
        <w:rPr>
          <w:rFonts w:cstheme="minorHAnsi"/>
          <w:szCs w:val="20"/>
        </w:rPr>
        <w:t>collect</w:t>
      </w:r>
      <w:r w:rsidR="004A2054" w:rsidRPr="003F264A">
        <w:rPr>
          <w:rFonts w:cstheme="minorHAnsi"/>
          <w:szCs w:val="20"/>
        </w:rPr>
        <w:t>ion and analysis of annual</w:t>
      </w:r>
      <w:r w:rsidRPr="003F264A">
        <w:rPr>
          <w:rFonts w:cstheme="minorHAnsi"/>
          <w:szCs w:val="20"/>
        </w:rPr>
        <w:t xml:space="preserve"> pay data from non-public sector organisations with 100 or more employees, covering more than 4 million employees in Australia.</w:t>
      </w:r>
      <w:r w:rsidRPr="003F264A">
        <w:rPr>
          <w:rStyle w:val="FootnoteReference"/>
          <w:rFonts w:cstheme="minorHAnsi"/>
          <w:szCs w:val="20"/>
        </w:rPr>
        <w:footnoteReference w:id="164"/>
      </w:r>
      <w:r w:rsidRPr="003F264A">
        <w:rPr>
          <w:rFonts w:cstheme="minorHAnsi"/>
          <w:szCs w:val="20"/>
        </w:rPr>
        <w:t xml:space="preserve"> This data includes superannuation, bonuses and other additional payments.</w:t>
      </w:r>
    </w:p>
    <w:p w14:paraId="148687AB" w14:textId="77777777" w:rsidR="00447284" w:rsidRPr="003F264A" w:rsidRDefault="00447284" w:rsidP="00447284">
      <w:pPr>
        <w:rPr>
          <w:rFonts w:cstheme="minorHAnsi"/>
          <w:szCs w:val="20"/>
        </w:rPr>
      </w:pPr>
      <w:r w:rsidRPr="003F264A">
        <w:rPr>
          <w:rFonts w:cstheme="minorHAnsi"/>
          <w:szCs w:val="20"/>
        </w:rPr>
        <w:t xml:space="preserve">Under the WGE Act, relevant employers with 100 or more employees are required to report annually to WGEA against the six GEIs. These GEIs include: </w:t>
      </w:r>
    </w:p>
    <w:p w14:paraId="080F73CE" w14:textId="77777777" w:rsidR="00447284" w:rsidRPr="003F264A" w:rsidRDefault="00447284" w:rsidP="003D0C74">
      <w:pPr>
        <w:pStyle w:val="ListParagraph"/>
        <w:numPr>
          <w:ilvl w:val="0"/>
          <w:numId w:val="1"/>
        </w:numPr>
        <w:rPr>
          <w:rFonts w:cstheme="minorHAnsi"/>
          <w:szCs w:val="20"/>
        </w:rPr>
      </w:pPr>
      <w:r w:rsidRPr="003F264A">
        <w:rPr>
          <w:rFonts w:cstheme="minorHAnsi"/>
          <w:szCs w:val="20"/>
        </w:rPr>
        <w:t xml:space="preserve">GEI 1 – gender composition of the workforce; </w:t>
      </w:r>
    </w:p>
    <w:p w14:paraId="53DA60A7" w14:textId="77777777" w:rsidR="00447284" w:rsidRPr="003F264A" w:rsidRDefault="00447284" w:rsidP="003D0C74">
      <w:pPr>
        <w:pStyle w:val="ListParagraph"/>
        <w:numPr>
          <w:ilvl w:val="0"/>
          <w:numId w:val="1"/>
        </w:numPr>
        <w:rPr>
          <w:rFonts w:cstheme="minorHAnsi"/>
          <w:szCs w:val="20"/>
        </w:rPr>
      </w:pPr>
      <w:r w:rsidRPr="003F264A">
        <w:rPr>
          <w:rFonts w:cstheme="minorHAnsi"/>
          <w:szCs w:val="20"/>
        </w:rPr>
        <w:t xml:space="preserve">GEI 2 – gender composition of governing bodies of relevant employers; </w:t>
      </w:r>
    </w:p>
    <w:p w14:paraId="7BBAD70F" w14:textId="77777777" w:rsidR="00447284" w:rsidRPr="003F264A" w:rsidRDefault="00447284" w:rsidP="003D0C74">
      <w:pPr>
        <w:pStyle w:val="ListParagraph"/>
        <w:numPr>
          <w:ilvl w:val="0"/>
          <w:numId w:val="1"/>
        </w:numPr>
        <w:rPr>
          <w:rFonts w:cstheme="minorHAnsi"/>
          <w:szCs w:val="20"/>
        </w:rPr>
      </w:pPr>
      <w:r w:rsidRPr="003F264A">
        <w:rPr>
          <w:rFonts w:cstheme="minorHAnsi"/>
          <w:szCs w:val="20"/>
        </w:rPr>
        <w:t>GEI 3 – equal remuneration between women and men;</w:t>
      </w:r>
    </w:p>
    <w:p w14:paraId="49D945F9" w14:textId="77777777" w:rsidR="00447284" w:rsidRPr="003F264A" w:rsidRDefault="00447284" w:rsidP="003D0C74">
      <w:pPr>
        <w:pStyle w:val="ListParagraph"/>
        <w:numPr>
          <w:ilvl w:val="0"/>
          <w:numId w:val="1"/>
        </w:numPr>
        <w:rPr>
          <w:rFonts w:cstheme="minorHAnsi"/>
          <w:szCs w:val="20"/>
        </w:rPr>
      </w:pPr>
      <w:r w:rsidRPr="003F264A">
        <w:rPr>
          <w:rFonts w:cstheme="minorHAnsi"/>
          <w:szCs w:val="20"/>
        </w:rPr>
        <w:t>GEI 4 – availability and utility of employment terms, conditions and practices relating to flexible working arrangements for employees and to working arrangements supporting employees with family or caring responsibilities;</w:t>
      </w:r>
    </w:p>
    <w:p w14:paraId="2F5E2E1C" w14:textId="77777777" w:rsidR="00447284" w:rsidRPr="003F264A" w:rsidRDefault="00447284" w:rsidP="003D0C74">
      <w:pPr>
        <w:pStyle w:val="ListParagraph"/>
        <w:numPr>
          <w:ilvl w:val="0"/>
          <w:numId w:val="1"/>
        </w:numPr>
        <w:rPr>
          <w:rFonts w:cstheme="minorHAnsi"/>
          <w:szCs w:val="20"/>
        </w:rPr>
      </w:pPr>
      <w:r w:rsidRPr="003F264A">
        <w:rPr>
          <w:rFonts w:cstheme="minorHAnsi"/>
          <w:szCs w:val="20"/>
        </w:rPr>
        <w:t xml:space="preserve">GEI 5 – consultation with employees on issues concerning gender equality in the workplace; and </w:t>
      </w:r>
    </w:p>
    <w:p w14:paraId="4B1BBB0B" w14:textId="77777777" w:rsidR="00447284" w:rsidRPr="003F264A" w:rsidRDefault="00447284" w:rsidP="003D0C74">
      <w:pPr>
        <w:pStyle w:val="ListParagraph"/>
        <w:numPr>
          <w:ilvl w:val="0"/>
          <w:numId w:val="1"/>
        </w:numPr>
        <w:rPr>
          <w:rFonts w:cstheme="minorHAnsi"/>
          <w:szCs w:val="20"/>
        </w:rPr>
      </w:pPr>
      <w:r w:rsidRPr="003F264A">
        <w:rPr>
          <w:rFonts w:cstheme="minorHAnsi"/>
          <w:szCs w:val="20"/>
        </w:rPr>
        <w:t xml:space="preserve">GEI 6 – sex-based harassment and discrimination. </w:t>
      </w:r>
    </w:p>
    <w:p w14:paraId="01E36ACB" w14:textId="77777777" w:rsidR="00447284" w:rsidRPr="003F264A" w:rsidRDefault="00447284" w:rsidP="00447284">
      <w:pPr>
        <w:pStyle w:val="Default"/>
        <w:rPr>
          <w:rFonts w:asciiTheme="minorHAnsi" w:hAnsiTheme="minorHAnsi" w:cstheme="minorHAnsi"/>
          <w:color w:val="auto"/>
          <w:sz w:val="22"/>
          <w:szCs w:val="20"/>
        </w:rPr>
      </w:pPr>
      <w:r w:rsidRPr="003F264A">
        <w:rPr>
          <w:rFonts w:asciiTheme="minorHAnsi" w:hAnsiTheme="minorHAnsi" w:cstheme="minorHAnsi"/>
          <w:color w:val="auto"/>
          <w:sz w:val="22"/>
          <w:szCs w:val="20"/>
        </w:rPr>
        <w:t xml:space="preserve">Relevant employers report to WGEA through three reporting components: </w:t>
      </w:r>
    </w:p>
    <w:p w14:paraId="0C84A067" w14:textId="77777777" w:rsidR="00447284" w:rsidRPr="003F264A" w:rsidRDefault="00447284" w:rsidP="00447284">
      <w:pPr>
        <w:pStyle w:val="Default"/>
        <w:rPr>
          <w:rFonts w:asciiTheme="minorHAnsi" w:hAnsiTheme="minorHAnsi" w:cstheme="minorHAnsi"/>
          <w:color w:val="auto"/>
          <w:sz w:val="22"/>
          <w:szCs w:val="20"/>
        </w:rPr>
      </w:pPr>
    </w:p>
    <w:p w14:paraId="570A3ACD" w14:textId="77777777" w:rsidR="00447284" w:rsidRPr="003F264A" w:rsidRDefault="00447284" w:rsidP="003D0C74">
      <w:pPr>
        <w:pStyle w:val="ListParagraph"/>
        <w:numPr>
          <w:ilvl w:val="0"/>
          <w:numId w:val="25"/>
        </w:numPr>
        <w:rPr>
          <w:rFonts w:cstheme="minorHAnsi"/>
          <w:szCs w:val="20"/>
        </w:rPr>
      </w:pPr>
      <w:r w:rsidRPr="003F264A">
        <w:rPr>
          <w:rFonts w:cstheme="minorHAnsi"/>
          <w:szCs w:val="20"/>
          <w:u w:val="single"/>
        </w:rPr>
        <w:t>Reporting Questionnaire</w:t>
      </w:r>
      <w:r w:rsidRPr="003F264A">
        <w:rPr>
          <w:rFonts w:cstheme="minorHAnsi"/>
          <w:szCs w:val="20"/>
        </w:rPr>
        <w:t xml:space="preserve"> – an online survey related to an organisation’s policies, strategies and actions on gender equality, such as whether an employer has a policy on flexible working arrangements; </w:t>
      </w:r>
    </w:p>
    <w:p w14:paraId="3E7EC1D3" w14:textId="77777777" w:rsidR="00447284" w:rsidRPr="003F264A" w:rsidRDefault="00447284" w:rsidP="003D0C74">
      <w:pPr>
        <w:pStyle w:val="ListParagraph"/>
        <w:numPr>
          <w:ilvl w:val="0"/>
          <w:numId w:val="25"/>
        </w:numPr>
        <w:rPr>
          <w:rFonts w:cstheme="minorHAnsi"/>
          <w:szCs w:val="20"/>
        </w:rPr>
      </w:pPr>
      <w:r w:rsidRPr="003F264A">
        <w:rPr>
          <w:rFonts w:cstheme="minorHAnsi"/>
          <w:szCs w:val="20"/>
          <w:u w:val="single"/>
        </w:rPr>
        <w:t>Workforce Management Statistics</w:t>
      </w:r>
      <w:r w:rsidRPr="003F264A">
        <w:rPr>
          <w:rFonts w:cstheme="minorHAnsi"/>
          <w:szCs w:val="20"/>
        </w:rPr>
        <w:t xml:space="preserve"> – an excel worksheet designed to collect information about employee movements, including appointments, promotions, resignations and parental leave utilisation; and </w:t>
      </w:r>
    </w:p>
    <w:p w14:paraId="38D7B76C" w14:textId="77777777" w:rsidR="00447284" w:rsidRPr="00D4218B" w:rsidRDefault="00447284" w:rsidP="00696FEA">
      <w:pPr>
        <w:rPr>
          <w:b/>
          <w:color w:val="4472C4" w:themeColor="accent5"/>
          <w:sz w:val="28"/>
          <w:szCs w:val="20"/>
        </w:rPr>
      </w:pPr>
      <w:bookmarkStart w:id="136" w:name="_Toc118794764"/>
      <w:r w:rsidRPr="00D4218B">
        <w:rPr>
          <w:b/>
          <w:color w:val="4472C4" w:themeColor="accent5"/>
          <w:sz w:val="28"/>
          <w:szCs w:val="20"/>
        </w:rPr>
        <w:t>The Review</w:t>
      </w:r>
      <w:bookmarkEnd w:id="136"/>
    </w:p>
    <w:p w14:paraId="46A46F51" w14:textId="77777777" w:rsidR="006F0907" w:rsidRPr="003F264A" w:rsidRDefault="006F0907" w:rsidP="006F0907">
      <w:pPr>
        <w:rPr>
          <w:rFonts w:cstheme="minorHAnsi"/>
          <w:szCs w:val="20"/>
        </w:rPr>
      </w:pPr>
      <w:r w:rsidRPr="003F264A">
        <w:rPr>
          <w:rFonts w:cstheme="minorHAnsi"/>
          <w:szCs w:val="20"/>
        </w:rPr>
        <w:t xml:space="preserve">The Review team carried out consultation through a call for submissions and additional targeted roundtables. On 20 October 2021, the </w:t>
      </w:r>
      <w:r w:rsidR="008B11AB">
        <w:rPr>
          <w:rFonts w:cstheme="minorHAnsi"/>
          <w:szCs w:val="20"/>
        </w:rPr>
        <w:t xml:space="preserve">then </w:t>
      </w:r>
      <w:r w:rsidRPr="003F264A">
        <w:rPr>
          <w:rFonts w:cstheme="minorHAnsi"/>
          <w:szCs w:val="20"/>
        </w:rPr>
        <w:t>Minister for Women published a media release to announce the start of public consultation on the WGEA Review consultation</w:t>
      </w:r>
      <w:r w:rsidR="008B11AB">
        <w:rPr>
          <w:rFonts w:cstheme="minorHAnsi"/>
          <w:szCs w:val="20"/>
        </w:rPr>
        <w:t>). A consultation paper</w:t>
      </w:r>
      <w:r w:rsidRPr="003F264A">
        <w:rPr>
          <w:rFonts w:cstheme="minorHAnsi"/>
          <w:szCs w:val="20"/>
        </w:rPr>
        <w:t xml:space="preserve"> was released by the Department of Prime Minister and Cabinet and 155 submissions were received in response (a list of all submissions received is available </w:t>
      </w:r>
      <w:hyperlink r:id="rId31" w:history="1">
        <w:r w:rsidRPr="003F264A">
          <w:rPr>
            <w:rStyle w:val="Hyperlink"/>
            <w:rFonts w:cstheme="minorHAnsi"/>
            <w:szCs w:val="20"/>
          </w:rPr>
          <w:t>here</w:t>
        </w:r>
      </w:hyperlink>
      <w:r w:rsidRPr="003F264A">
        <w:rPr>
          <w:rFonts w:cstheme="minorHAnsi"/>
          <w:szCs w:val="20"/>
        </w:rPr>
        <w:t xml:space="preserve">). </w:t>
      </w:r>
    </w:p>
    <w:p w14:paraId="2D4F6266" w14:textId="77777777" w:rsidR="006F0907" w:rsidRPr="003F264A" w:rsidRDefault="006F0907" w:rsidP="006F0907">
      <w:pPr>
        <w:rPr>
          <w:rFonts w:cstheme="minorHAnsi"/>
          <w:szCs w:val="20"/>
        </w:rPr>
      </w:pPr>
      <w:r w:rsidRPr="003F264A">
        <w:rPr>
          <w:rFonts w:cstheme="minorHAnsi"/>
          <w:szCs w:val="20"/>
        </w:rPr>
        <w:t xml:space="preserve">A wide array of submissions were received from key WGEA stakeholders, including: </w:t>
      </w:r>
    </w:p>
    <w:p w14:paraId="597EB314" w14:textId="77777777" w:rsidR="006F0907" w:rsidRPr="003F264A" w:rsidRDefault="006F0907" w:rsidP="003D0C74">
      <w:pPr>
        <w:pStyle w:val="ListParagraph"/>
        <w:numPr>
          <w:ilvl w:val="0"/>
          <w:numId w:val="25"/>
        </w:numPr>
        <w:rPr>
          <w:rFonts w:cstheme="minorHAnsi"/>
          <w:szCs w:val="20"/>
        </w:rPr>
      </w:pPr>
      <w:r w:rsidRPr="003F264A">
        <w:rPr>
          <w:rFonts w:cstheme="minorHAnsi"/>
          <w:szCs w:val="20"/>
        </w:rPr>
        <w:t xml:space="preserve">Individuals (including women, men and gender diverse people); </w:t>
      </w:r>
    </w:p>
    <w:p w14:paraId="6CA8DFCD" w14:textId="77777777" w:rsidR="006F0907" w:rsidRPr="003F264A" w:rsidRDefault="006F0907" w:rsidP="003D0C74">
      <w:pPr>
        <w:pStyle w:val="ListParagraph"/>
        <w:numPr>
          <w:ilvl w:val="0"/>
          <w:numId w:val="25"/>
        </w:numPr>
        <w:rPr>
          <w:rFonts w:cstheme="minorHAnsi"/>
          <w:szCs w:val="20"/>
        </w:rPr>
      </w:pPr>
      <w:r w:rsidRPr="003F264A">
        <w:rPr>
          <w:rFonts w:cstheme="minorHAnsi"/>
          <w:szCs w:val="20"/>
        </w:rPr>
        <w:t>Medium businesses;</w:t>
      </w:r>
    </w:p>
    <w:p w14:paraId="259EBE00" w14:textId="77777777" w:rsidR="006F0907" w:rsidRPr="003F264A" w:rsidRDefault="006F0907" w:rsidP="003D0C74">
      <w:pPr>
        <w:pStyle w:val="ListParagraph"/>
        <w:numPr>
          <w:ilvl w:val="0"/>
          <w:numId w:val="25"/>
        </w:numPr>
        <w:rPr>
          <w:rFonts w:cstheme="minorHAnsi"/>
          <w:szCs w:val="20"/>
        </w:rPr>
      </w:pPr>
      <w:r w:rsidRPr="003F264A">
        <w:rPr>
          <w:rFonts w:cstheme="minorHAnsi"/>
          <w:szCs w:val="20"/>
        </w:rPr>
        <w:t xml:space="preserve">Large businesses; </w:t>
      </w:r>
    </w:p>
    <w:p w14:paraId="55EBC9A9" w14:textId="77777777" w:rsidR="006F0907" w:rsidRPr="003F264A" w:rsidRDefault="006F0907" w:rsidP="003D0C74">
      <w:pPr>
        <w:pStyle w:val="ListParagraph"/>
        <w:numPr>
          <w:ilvl w:val="0"/>
          <w:numId w:val="25"/>
        </w:numPr>
        <w:rPr>
          <w:rFonts w:cstheme="minorHAnsi"/>
          <w:szCs w:val="20"/>
        </w:rPr>
      </w:pPr>
      <w:r w:rsidRPr="003F264A">
        <w:rPr>
          <w:rFonts w:cstheme="minorHAnsi"/>
          <w:szCs w:val="20"/>
        </w:rPr>
        <w:t xml:space="preserve">Community organisations; </w:t>
      </w:r>
    </w:p>
    <w:p w14:paraId="51A4330F" w14:textId="77777777" w:rsidR="006F0907" w:rsidRPr="003F264A" w:rsidRDefault="006F0907" w:rsidP="003D0C74">
      <w:pPr>
        <w:pStyle w:val="ListParagraph"/>
        <w:numPr>
          <w:ilvl w:val="0"/>
          <w:numId w:val="25"/>
        </w:numPr>
        <w:rPr>
          <w:rFonts w:cstheme="minorHAnsi"/>
          <w:szCs w:val="20"/>
        </w:rPr>
      </w:pPr>
      <w:r w:rsidRPr="003F264A">
        <w:rPr>
          <w:rFonts w:cstheme="minorHAnsi"/>
          <w:szCs w:val="20"/>
        </w:rPr>
        <w:t xml:space="preserve">Peak bodies; </w:t>
      </w:r>
    </w:p>
    <w:p w14:paraId="2347980C" w14:textId="77777777" w:rsidR="006F0907" w:rsidRPr="003F264A" w:rsidRDefault="006F0907" w:rsidP="003D0C74">
      <w:pPr>
        <w:pStyle w:val="ListParagraph"/>
        <w:numPr>
          <w:ilvl w:val="0"/>
          <w:numId w:val="25"/>
        </w:numPr>
        <w:rPr>
          <w:rFonts w:cstheme="minorHAnsi"/>
          <w:szCs w:val="20"/>
        </w:rPr>
      </w:pPr>
      <w:r w:rsidRPr="003F264A">
        <w:rPr>
          <w:rFonts w:cstheme="minorHAnsi"/>
          <w:szCs w:val="20"/>
        </w:rPr>
        <w:t xml:space="preserve">Academics; and </w:t>
      </w:r>
    </w:p>
    <w:p w14:paraId="0CA0D6C9" w14:textId="77777777" w:rsidR="006F0907" w:rsidRPr="003F264A" w:rsidRDefault="006F0907" w:rsidP="003D0C74">
      <w:pPr>
        <w:pStyle w:val="ListParagraph"/>
        <w:numPr>
          <w:ilvl w:val="0"/>
          <w:numId w:val="25"/>
        </w:numPr>
        <w:rPr>
          <w:rFonts w:cstheme="minorHAnsi"/>
          <w:szCs w:val="20"/>
        </w:rPr>
      </w:pPr>
      <w:r w:rsidRPr="003F264A">
        <w:rPr>
          <w:rFonts w:cstheme="minorHAnsi"/>
          <w:szCs w:val="20"/>
        </w:rPr>
        <w:t xml:space="preserve">WGEA/Government. </w:t>
      </w:r>
    </w:p>
    <w:p w14:paraId="115C8901" w14:textId="77777777" w:rsidR="006F0907" w:rsidRPr="003F264A" w:rsidRDefault="006F0907" w:rsidP="006F0907">
      <w:pPr>
        <w:rPr>
          <w:rFonts w:cstheme="minorHAnsi"/>
        </w:rPr>
      </w:pPr>
      <w:r w:rsidRPr="003F264A">
        <w:rPr>
          <w:rFonts w:cstheme="minorHAnsi"/>
        </w:rPr>
        <w:t>Notable academics who contributed submissions to the Review included:</w:t>
      </w:r>
    </w:p>
    <w:p w14:paraId="2600B6BE" w14:textId="78ED4CFC" w:rsidR="006F0907" w:rsidRPr="003F264A" w:rsidRDefault="006F0907" w:rsidP="003D0C74">
      <w:pPr>
        <w:pStyle w:val="ListParagraph"/>
        <w:numPr>
          <w:ilvl w:val="0"/>
          <w:numId w:val="32"/>
        </w:numPr>
        <w:rPr>
          <w:rFonts w:cstheme="minorHAnsi"/>
          <w:szCs w:val="20"/>
        </w:rPr>
      </w:pPr>
      <w:r w:rsidRPr="003F264A">
        <w:rPr>
          <w:rFonts w:cstheme="minorHAnsi"/>
        </w:rPr>
        <w:t>Dr Leonora Risse (</w:t>
      </w:r>
      <w:r w:rsidR="004E7A70">
        <w:rPr>
          <w:rFonts w:cstheme="minorHAnsi"/>
        </w:rPr>
        <w:t xml:space="preserve">Senior Lecturer in Economics, </w:t>
      </w:r>
      <w:r w:rsidRPr="003F264A">
        <w:rPr>
          <w:rFonts w:cstheme="minorHAnsi"/>
        </w:rPr>
        <w:t xml:space="preserve">RMIT); </w:t>
      </w:r>
    </w:p>
    <w:p w14:paraId="046F6687" w14:textId="77777777" w:rsidR="006F0907" w:rsidRPr="003F264A" w:rsidRDefault="006F0907" w:rsidP="003D0C74">
      <w:pPr>
        <w:pStyle w:val="ListParagraph"/>
        <w:numPr>
          <w:ilvl w:val="0"/>
          <w:numId w:val="32"/>
        </w:numPr>
        <w:rPr>
          <w:rFonts w:cstheme="minorHAnsi"/>
          <w:szCs w:val="20"/>
        </w:rPr>
      </w:pPr>
      <w:r w:rsidRPr="003F264A">
        <w:rPr>
          <w:rFonts w:cstheme="minorHAnsi"/>
        </w:rPr>
        <w:t xml:space="preserve">Professor Marian Baird, Professor Rae Cooper and Dr Meraiah Foley (Women and Work Research Group, University of Sydney); and </w:t>
      </w:r>
    </w:p>
    <w:p w14:paraId="40BCF1CE" w14:textId="77777777" w:rsidR="006F0907" w:rsidRPr="003F264A" w:rsidRDefault="006F0907" w:rsidP="003D0C74">
      <w:pPr>
        <w:pStyle w:val="ListParagraph"/>
        <w:numPr>
          <w:ilvl w:val="0"/>
          <w:numId w:val="32"/>
        </w:numPr>
        <w:rPr>
          <w:rFonts w:cstheme="minorHAnsi"/>
          <w:szCs w:val="20"/>
        </w:rPr>
      </w:pPr>
      <w:r w:rsidRPr="003F264A">
        <w:rPr>
          <w:rFonts w:cstheme="minorHAnsi"/>
        </w:rPr>
        <w:t xml:space="preserve">Professor Susan Harris Rimmer, Professor Emeritus Glenda Strachan, and Professor Paula Brough (Griffith University). </w:t>
      </w:r>
    </w:p>
    <w:p w14:paraId="2B953E7C" w14:textId="77777777" w:rsidR="006F0907" w:rsidRPr="003F264A" w:rsidRDefault="006F0907" w:rsidP="006F0907">
      <w:pPr>
        <w:rPr>
          <w:rFonts w:cstheme="minorHAnsi"/>
        </w:rPr>
      </w:pPr>
      <w:r w:rsidRPr="003F264A">
        <w:rPr>
          <w:rFonts w:cstheme="minorHAnsi"/>
        </w:rPr>
        <w:t xml:space="preserve">Peak bodies that contributed submissions included the Australian Chamber of Commerce and Industry (ACCI), the Business Council of Australia (BCA), the Australian Industry Group (Ai Group) and the Diversity Council of Australia (DCA). Other peak bodies such as Council of Small Business Organisations Australia (COSBOA) were invited to participate in targeted roundtables. </w:t>
      </w:r>
    </w:p>
    <w:p w14:paraId="178ADBF0" w14:textId="77777777" w:rsidR="006F0907" w:rsidRPr="003F264A" w:rsidRDefault="006F0907" w:rsidP="006F0907">
      <w:pPr>
        <w:rPr>
          <w:rFonts w:cstheme="minorHAnsi"/>
        </w:rPr>
      </w:pPr>
      <w:r w:rsidRPr="003F264A">
        <w:rPr>
          <w:rFonts w:cstheme="minorHAnsi"/>
        </w:rPr>
        <w:t>Additional stakeholders consulted on the WGEA Review included:</w:t>
      </w:r>
    </w:p>
    <w:p w14:paraId="45244534" w14:textId="77777777" w:rsidR="006F0907" w:rsidRPr="003F264A" w:rsidRDefault="006F0907" w:rsidP="003D0C74">
      <w:pPr>
        <w:pStyle w:val="ListParagraph"/>
        <w:numPr>
          <w:ilvl w:val="0"/>
          <w:numId w:val="23"/>
        </w:numPr>
        <w:rPr>
          <w:rFonts w:cstheme="minorHAnsi"/>
        </w:rPr>
      </w:pPr>
      <w:r w:rsidRPr="003F264A">
        <w:rPr>
          <w:rFonts w:cstheme="minorHAnsi"/>
        </w:rPr>
        <w:t>Industry Groups;</w:t>
      </w:r>
    </w:p>
    <w:p w14:paraId="1B7FAC84" w14:textId="77777777" w:rsidR="006F0907" w:rsidRPr="003F264A" w:rsidRDefault="006F0907" w:rsidP="003D0C74">
      <w:pPr>
        <w:pStyle w:val="ListParagraph"/>
        <w:numPr>
          <w:ilvl w:val="0"/>
          <w:numId w:val="23"/>
        </w:numPr>
        <w:rPr>
          <w:rFonts w:cstheme="minorHAnsi"/>
        </w:rPr>
      </w:pPr>
      <w:r w:rsidRPr="003F264A">
        <w:rPr>
          <w:rFonts w:cstheme="minorHAnsi"/>
        </w:rPr>
        <w:t>Unions;</w:t>
      </w:r>
    </w:p>
    <w:p w14:paraId="0C0A0884" w14:textId="77777777" w:rsidR="006F0907" w:rsidRPr="003F264A" w:rsidRDefault="006F0907" w:rsidP="003D0C74">
      <w:pPr>
        <w:pStyle w:val="ListParagraph"/>
        <w:numPr>
          <w:ilvl w:val="0"/>
          <w:numId w:val="23"/>
        </w:numPr>
        <w:rPr>
          <w:rFonts w:cstheme="minorHAnsi"/>
        </w:rPr>
      </w:pPr>
      <w:r w:rsidRPr="003F264A">
        <w:rPr>
          <w:rFonts w:cstheme="minorHAnsi"/>
        </w:rPr>
        <w:t>Advocacy Groups;</w:t>
      </w:r>
    </w:p>
    <w:p w14:paraId="77F56B25" w14:textId="77777777" w:rsidR="006F0907" w:rsidRPr="003F264A" w:rsidRDefault="006F0907" w:rsidP="003D0C74">
      <w:pPr>
        <w:pStyle w:val="ListParagraph"/>
        <w:numPr>
          <w:ilvl w:val="0"/>
          <w:numId w:val="23"/>
        </w:numPr>
        <w:rPr>
          <w:rFonts w:cstheme="minorHAnsi"/>
        </w:rPr>
      </w:pPr>
      <w:r w:rsidRPr="003F264A">
        <w:rPr>
          <w:rFonts w:cstheme="minorHAnsi"/>
        </w:rPr>
        <w:t>National Women’s Alliances;</w:t>
      </w:r>
    </w:p>
    <w:p w14:paraId="1D1C5751" w14:textId="77777777" w:rsidR="006F0907" w:rsidRPr="003F264A" w:rsidRDefault="006F0907" w:rsidP="003D0C74">
      <w:pPr>
        <w:pStyle w:val="ListParagraph"/>
        <w:numPr>
          <w:ilvl w:val="0"/>
          <w:numId w:val="23"/>
        </w:numPr>
        <w:rPr>
          <w:rFonts w:cstheme="minorHAnsi"/>
        </w:rPr>
      </w:pPr>
      <w:r w:rsidRPr="003F264A">
        <w:rPr>
          <w:rFonts w:cstheme="minorHAnsi"/>
        </w:rPr>
        <w:t>Academic</w:t>
      </w:r>
      <w:r w:rsidR="00C81607" w:rsidRPr="003F264A">
        <w:rPr>
          <w:rFonts w:cstheme="minorHAnsi"/>
        </w:rPr>
        <w:t>s</w:t>
      </w:r>
      <w:r w:rsidRPr="003F264A">
        <w:rPr>
          <w:rFonts w:cstheme="minorHAnsi"/>
        </w:rPr>
        <w:t>;</w:t>
      </w:r>
    </w:p>
    <w:p w14:paraId="634E6F0D" w14:textId="77777777" w:rsidR="006F0907" w:rsidRPr="003F264A" w:rsidRDefault="006F0907" w:rsidP="003D0C74">
      <w:pPr>
        <w:pStyle w:val="ListParagraph"/>
        <w:numPr>
          <w:ilvl w:val="0"/>
          <w:numId w:val="23"/>
        </w:numPr>
        <w:rPr>
          <w:rFonts w:cstheme="minorHAnsi"/>
        </w:rPr>
      </w:pPr>
      <w:r w:rsidRPr="003F264A">
        <w:rPr>
          <w:rFonts w:cstheme="minorHAnsi"/>
        </w:rPr>
        <w:t>Federal Government Departments and Agencies;</w:t>
      </w:r>
    </w:p>
    <w:p w14:paraId="53074181" w14:textId="77777777" w:rsidR="006F0907" w:rsidRPr="003F264A" w:rsidRDefault="006F0907" w:rsidP="003D0C74">
      <w:pPr>
        <w:pStyle w:val="ListParagraph"/>
        <w:numPr>
          <w:ilvl w:val="0"/>
          <w:numId w:val="23"/>
        </w:numPr>
        <w:rPr>
          <w:rFonts w:cstheme="minorHAnsi"/>
        </w:rPr>
      </w:pPr>
      <w:r w:rsidRPr="003F264A">
        <w:rPr>
          <w:rFonts w:cstheme="minorHAnsi"/>
        </w:rPr>
        <w:t>State and Territory Governments; and</w:t>
      </w:r>
    </w:p>
    <w:p w14:paraId="5868CE66" w14:textId="77777777" w:rsidR="006F0907" w:rsidRPr="003F264A" w:rsidRDefault="006F0907" w:rsidP="003D0C74">
      <w:pPr>
        <w:pStyle w:val="ListParagraph"/>
        <w:numPr>
          <w:ilvl w:val="0"/>
          <w:numId w:val="23"/>
        </w:numPr>
        <w:rPr>
          <w:rFonts w:cstheme="minorHAnsi"/>
        </w:rPr>
      </w:pPr>
      <w:r w:rsidRPr="003F264A">
        <w:rPr>
          <w:rFonts w:cstheme="minorHAnsi"/>
        </w:rPr>
        <w:t>Statutory Office Holders.</w:t>
      </w:r>
    </w:p>
    <w:p w14:paraId="47C30568" w14:textId="77777777" w:rsidR="006F0907" w:rsidRPr="003F264A" w:rsidRDefault="00705D45" w:rsidP="006F0907">
      <w:pPr>
        <w:rPr>
          <w:rFonts w:cstheme="minorHAnsi"/>
        </w:rPr>
      </w:pPr>
      <w:r w:rsidRPr="003F264A">
        <w:rPr>
          <w:rFonts w:cstheme="minorHAnsi"/>
        </w:rPr>
        <w:t xml:space="preserve">Targeted roundtables were attended by </w:t>
      </w:r>
      <w:r w:rsidR="006F0907" w:rsidRPr="003F264A">
        <w:rPr>
          <w:rFonts w:cstheme="minorHAnsi"/>
        </w:rPr>
        <w:t xml:space="preserve">65 external stakeholders attended. A further 30 stakeholders, </w:t>
      </w:r>
      <w:r w:rsidR="006F0907" w:rsidRPr="003F264A">
        <w:rPr>
          <w:rFonts w:cstheme="minorHAnsi"/>
          <w:szCs w:val="20"/>
        </w:rPr>
        <w:t>18 federal government departmental stakeholders and 22 State and Territory officials attended the roundtable</w:t>
      </w:r>
      <w:r w:rsidR="00C81607" w:rsidRPr="003F264A">
        <w:rPr>
          <w:rFonts w:cstheme="minorHAnsi"/>
          <w:szCs w:val="20"/>
        </w:rPr>
        <w:t>s</w:t>
      </w:r>
      <w:r w:rsidR="006F0907" w:rsidRPr="003F264A">
        <w:rPr>
          <w:rFonts w:cstheme="minorHAnsi"/>
          <w:szCs w:val="20"/>
        </w:rPr>
        <w:t xml:space="preserve">. </w:t>
      </w:r>
    </w:p>
    <w:p w14:paraId="1FB34545" w14:textId="77777777" w:rsidR="006F0907" w:rsidRPr="003F264A" w:rsidRDefault="006F0907" w:rsidP="006F0907">
      <w:pPr>
        <w:rPr>
          <w:rFonts w:cstheme="minorHAnsi"/>
          <w:i/>
          <w:szCs w:val="20"/>
        </w:rPr>
      </w:pPr>
      <w:r w:rsidRPr="003F264A">
        <w:rPr>
          <w:rFonts w:cstheme="minorHAnsi"/>
          <w:szCs w:val="20"/>
        </w:rPr>
        <w:t xml:space="preserve">Following consultation the Review </w:t>
      </w:r>
      <w:r w:rsidR="00C81607" w:rsidRPr="003F264A">
        <w:rPr>
          <w:rFonts w:cstheme="minorHAnsi"/>
          <w:szCs w:val="20"/>
        </w:rPr>
        <w:t>made</w:t>
      </w:r>
      <w:r w:rsidR="0019335F" w:rsidRPr="003F264A">
        <w:rPr>
          <w:rFonts w:cstheme="minorHAnsi"/>
          <w:szCs w:val="20"/>
        </w:rPr>
        <w:t xml:space="preserve"> </w:t>
      </w:r>
      <w:r w:rsidRPr="003F264A">
        <w:rPr>
          <w:rFonts w:cstheme="minorHAnsi"/>
          <w:szCs w:val="20"/>
        </w:rPr>
        <w:t xml:space="preserve">ten recommendations to both enhance the WGE Act and make it easier for employers to report to WGEA. </w:t>
      </w:r>
      <w:r w:rsidR="00C81607" w:rsidRPr="003F264A">
        <w:rPr>
          <w:rFonts w:cstheme="minorHAnsi"/>
          <w:szCs w:val="20"/>
        </w:rPr>
        <w:t>Key</w:t>
      </w:r>
      <w:r w:rsidRPr="003F264A">
        <w:rPr>
          <w:rFonts w:cstheme="minorHAnsi"/>
          <w:szCs w:val="20"/>
        </w:rPr>
        <w:t xml:space="preserve"> recommendations of the Review include:</w:t>
      </w:r>
    </w:p>
    <w:p w14:paraId="3B751D6A" w14:textId="77777777" w:rsidR="006F0907" w:rsidRPr="003F264A" w:rsidRDefault="006F0907" w:rsidP="003D0C74">
      <w:pPr>
        <w:pStyle w:val="Default"/>
        <w:numPr>
          <w:ilvl w:val="0"/>
          <w:numId w:val="24"/>
        </w:numPr>
        <w:spacing w:after="44"/>
        <w:rPr>
          <w:rFonts w:asciiTheme="minorHAnsi" w:hAnsiTheme="minorHAnsi" w:cstheme="minorHAnsi"/>
          <w:color w:val="auto"/>
          <w:sz w:val="22"/>
          <w:szCs w:val="20"/>
        </w:rPr>
      </w:pPr>
      <w:r w:rsidRPr="003F264A">
        <w:rPr>
          <w:rFonts w:asciiTheme="minorHAnsi" w:hAnsiTheme="minorHAnsi" w:cstheme="minorHAnsi"/>
          <w:i/>
          <w:color w:val="auto"/>
          <w:sz w:val="22"/>
          <w:szCs w:val="20"/>
        </w:rPr>
        <w:t>Recommendation 1: make it easier for employers to report to WGEA and improve WGEA’s data collection</w:t>
      </w:r>
      <w:r w:rsidRPr="003F264A">
        <w:rPr>
          <w:rFonts w:asciiTheme="minorHAnsi" w:hAnsiTheme="minorHAnsi" w:cstheme="minorHAnsi"/>
          <w:color w:val="auto"/>
          <w:sz w:val="22"/>
          <w:szCs w:val="20"/>
        </w:rPr>
        <w:t xml:space="preserve"> by enabling WGEA to use data employers have already provided to government, and investing in a way to assist employers to extract other data from their own employer systems using a digital solution. It is proposed that a new Gender Data Steering Group led by senior officials will oversee research and stakeholder consultation to drive this work. </w:t>
      </w:r>
    </w:p>
    <w:p w14:paraId="16F651F0" w14:textId="77777777" w:rsidR="006F0907" w:rsidRPr="003F264A" w:rsidRDefault="006F0907" w:rsidP="003D0C74">
      <w:pPr>
        <w:pStyle w:val="Default"/>
        <w:numPr>
          <w:ilvl w:val="0"/>
          <w:numId w:val="24"/>
        </w:numPr>
        <w:spacing w:after="44"/>
        <w:rPr>
          <w:rFonts w:asciiTheme="minorHAnsi" w:hAnsiTheme="minorHAnsi" w:cstheme="minorHAnsi"/>
          <w:color w:val="auto"/>
          <w:sz w:val="22"/>
          <w:szCs w:val="20"/>
        </w:rPr>
      </w:pPr>
      <w:r w:rsidRPr="003F264A">
        <w:rPr>
          <w:rFonts w:asciiTheme="minorHAnsi" w:hAnsiTheme="minorHAnsi" w:cstheme="minorHAnsi"/>
          <w:i/>
          <w:color w:val="auto"/>
          <w:sz w:val="22"/>
          <w:szCs w:val="20"/>
        </w:rPr>
        <w:t>Recommendation 2: publish organisation gender pay gaps</w:t>
      </w:r>
      <w:r w:rsidRPr="003F264A">
        <w:rPr>
          <w:rFonts w:asciiTheme="minorHAnsi" w:hAnsiTheme="minorHAnsi" w:cstheme="minorHAnsi"/>
          <w:color w:val="auto"/>
          <w:sz w:val="22"/>
          <w:szCs w:val="20"/>
        </w:rPr>
        <w:t xml:space="preserve"> at an employer level – not just at an industry level as currently happens – to accelerate action to close them. </w:t>
      </w:r>
    </w:p>
    <w:p w14:paraId="02B22348" w14:textId="77777777" w:rsidR="006F0907" w:rsidRPr="003F264A" w:rsidRDefault="006F0907" w:rsidP="003D0C74">
      <w:pPr>
        <w:pStyle w:val="Default"/>
        <w:numPr>
          <w:ilvl w:val="0"/>
          <w:numId w:val="24"/>
        </w:numPr>
        <w:spacing w:after="44"/>
        <w:rPr>
          <w:rFonts w:asciiTheme="minorHAnsi" w:hAnsiTheme="minorHAnsi" w:cstheme="minorHAnsi"/>
          <w:color w:val="auto"/>
          <w:sz w:val="22"/>
          <w:szCs w:val="20"/>
        </w:rPr>
      </w:pPr>
      <w:r w:rsidRPr="003F264A">
        <w:rPr>
          <w:rFonts w:asciiTheme="minorHAnsi" w:hAnsiTheme="minorHAnsi" w:cstheme="minorHAnsi"/>
          <w:i/>
          <w:color w:val="auto"/>
          <w:sz w:val="22"/>
          <w:szCs w:val="20"/>
        </w:rPr>
        <w:t>Recommendation 3: bridge the ‘action gap’ with new gender equality standards that set targets</w:t>
      </w:r>
      <w:r w:rsidRPr="003F264A">
        <w:rPr>
          <w:rFonts w:asciiTheme="minorHAnsi" w:hAnsiTheme="minorHAnsi" w:cstheme="minorHAnsi"/>
          <w:color w:val="auto"/>
          <w:sz w:val="22"/>
          <w:szCs w:val="20"/>
        </w:rPr>
        <w:t xml:space="preserve"> by requiring large employers (500 or more employees) to commit to, achieve, and report to WGEA on measurable genuine targets to improve gender equality in their workplaces. </w:t>
      </w:r>
    </w:p>
    <w:p w14:paraId="07003263" w14:textId="77777777" w:rsidR="00F71D42" w:rsidRPr="00924E25" w:rsidRDefault="006F0907" w:rsidP="003D0C74">
      <w:pPr>
        <w:pStyle w:val="Default"/>
        <w:numPr>
          <w:ilvl w:val="0"/>
          <w:numId w:val="24"/>
        </w:numPr>
        <w:spacing w:after="44"/>
        <w:rPr>
          <w:rFonts w:asciiTheme="minorHAnsi" w:hAnsiTheme="minorHAnsi" w:cstheme="minorHAnsi"/>
          <w:color w:val="auto"/>
          <w:sz w:val="22"/>
          <w:szCs w:val="20"/>
        </w:rPr>
      </w:pPr>
      <w:r w:rsidRPr="003F264A">
        <w:rPr>
          <w:rFonts w:asciiTheme="minorHAnsi" w:hAnsiTheme="minorHAnsi" w:cstheme="minorHAnsi"/>
          <w:i/>
          <w:color w:val="auto"/>
          <w:sz w:val="22"/>
          <w:szCs w:val="20"/>
        </w:rPr>
        <w:t>Recommendation 4: reduce the regulatory burden for</w:t>
      </w:r>
      <w:r w:rsidRPr="003F264A">
        <w:rPr>
          <w:rFonts w:asciiTheme="minorHAnsi" w:hAnsiTheme="minorHAnsi" w:cstheme="minorHAnsi"/>
          <w:color w:val="auto"/>
          <w:sz w:val="22"/>
          <w:szCs w:val="20"/>
        </w:rPr>
        <w:t xml:space="preserve"> employers by replacing and refining particular ‘pain point’ questions in the WGEA reporting components including removing the ‘reporting levels to CEO’ question. </w:t>
      </w:r>
    </w:p>
    <w:p w14:paraId="2D99C068" w14:textId="77777777" w:rsidR="00F71D42" w:rsidRPr="003F264A" w:rsidRDefault="00F71D42" w:rsidP="004A1687">
      <w:pPr>
        <w:spacing w:after="0" w:line="240" w:lineRule="auto"/>
        <w:rPr>
          <w:rFonts w:cstheme="minorHAnsi"/>
          <w:lang w:eastAsia="en-AU"/>
        </w:rPr>
      </w:pPr>
    </w:p>
    <w:p w14:paraId="7E772857" w14:textId="77777777" w:rsidR="00F71D42" w:rsidRPr="003F264A" w:rsidRDefault="00F71D42">
      <w:pPr>
        <w:rPr>
          <w:rFonts w:cstheme="minorHAnsi"/>
          <w:b/>
        </w:rPr>
      </w:pPr>
    </w:p>
    <w:p w14:paraId="3C538901" w14:textId="77777777" w:rsidR="00180EB8" w:rsidRPr="00D4218B" w:rsidRDefault="004A1687" w:rsidP="00D4218B">
      <w:pPr>
        <w:pStyle w:val="Heading1"/>
        <w:rPr>
          <w:rFonts w:asciiTheme="minorHAnsi" w:hAnsiTheme="minorHAnsi" w:cstheme="minorHAnsi"/>
        </w:rPr>
      </w:pPr>
      <w:bookmarkStart w:id="137" w:name="_Toc118794765"/>
      <w:bookmarkStart w:id="138" w:name="_Toc125714750"/>
      <w:r w:rsidRPr="00924E25">
        <w:rPr>
          <w:rStyle w:val="Heading1Char"/>
          <w:rFonts w:asciiTheme="minorHAnsi" w:hAnsiTheme="minorHAnsi" w:cstheme="minorHAnsi"/>
        </w:rPr>
        <w:t>Appendix B</w:t>
      </w:r>
      <w:bookmarkStart w:id="139" w:name="_Toc118794766"/>
      <w:bookmarkEnd w:id="137"/>
      <w:bookmarkEnd w:id="138"/>
    </w:p>
    <w:p w14:paraId="6BBBC31A" w14:textId="77777777" w:rsidR="00F71D42" w:rsidRPr="00180EB8" w:rsidRDefault="00F71D42" w:rsidP="00180EB8">
      <w:pPr>
        <w:rPr>
          <w:rFonts w:cstheme="minorHAnsi"/>
          <w:b/>
          <w:szCs w:val="20"/>
        </w:rPr>
      </w:pPr>
      <w:r w:rsidRPr="00180EB8">
        <w:rPr>
          <w:rFonts w:cstheme="minorHAnsi"/>
          <w:b/>
          <w:color w:val="4472C4" w:themeColor="accent5"/>
          <w:sz w:val="28"/>
          <w:szCs w:val="20"/>
        </w:rPr>
        <w:t>Calculating employer level gender pay gap data under Recommendation 2 and example report</w:t>
      </w:r>
      <w:bookmarkEnd w:id="139"/>
    </w:p>
    <w:p w14:paraId="1D38B130" w14:textId="77777777" w:rsidR="00F71D42" w:rsidRPr="003F264A" w:rsidRDefault="00F71D42" w:rsidP="00F71D42">
      <w:pPr>
        <w:pStyle w:val="paragraph"/>
        <w:spacing w:before="0" w:beforeAutospacing="0" w:after="0" w:afterAutospacing="0"/>
        <w:jc w:val="both"/>
        <w:textAlignment w:val="baseline"/>
        <w:rPr>
          <w:rFonts w:asciiTheme="minorHAnsi" w:hAnsiTheme="minorHAnsi" w:cstheme="minorHAnsi"/>
          <w:b/>
          <w:sz w:val="22"/>
          <w:szCs w:val="22"/>
          <w:lang w:val="en-GB"/>
        </w:rPr>
      </w:pPr>
    </w:p>
    <w:p w14:paraId="22F231EA" w14:textId="77777777" w:rsidR="00F71D42" w:rsidRPr="00180EB8" w:rsidRDefault="00F71D42" w:rsidP="00180EB8">
      <w:pPr>
        <w:rPr>
          <w:rFonts w:cstheme="minorHAnsi"/>
          <w:b/>
          <w:szCs w:val="20"/>
        </w:rPr>
      </w:pPr>
      <w:r w:rsidRPr="00180EB8">
        <w:rPr>
          <w:rFonts w:cstheme="minorHAnsi"/>
          <w:b/>
          <w:szCs w:val="20"/>
        </w:rPr>
        <w:t>Mean gender pay gap</w:t>
      </w:r>
    </w:p>
    <w:p w14:paraId="4071AFAE" w14:textId="77777777" w:rsidR="00F71D42" w:rsidRPr="003F264A" w:rsidRDefault="00F71D42" w:rsidP="00F71D42">
      <w:pPr>
        <w:pStyle w:val="Bullets1stindent"/>
        <w:rPr>
          <w:b w:val="0"/>
        </w:rPr>
      </w:pPr>
      <w:r w:rsidRPr="003F264A">
        <w:rPr>
          <w:b w:val="0"/>
        </w:rPr>
        <w:t>The individual organisation’s mean gender pay gap will be expressed as a percentage and the average dollar difference between women’s and men’s earnings at an organisation.</w:t>
      </w:r>
    </w:p>
    <w:p w14:paraId="646D7F99" w14:textId="77777777" w:rsidR="00F71D42" w:rsidRPr="003F264A" w:rsidRDefault="00F71D42" w:rsidP="00F71D42">
      <w:pPr>
        <w:pStyle w:val="Bullets1stindent"/>
        <w:rPr>
          <w:b w:val="0"/>
        </w:rPr>
      </w:pPr>
      <w:r w:rsidRPr="003F264A">
        <w:rPr>
          <w:b w:val="0"/>
        </w:rPr>
        <w:t>Both the base salary and full-time equivalent annual remuneration gender pay gaps will be calculated. This means that part-time and casual salaries are converted to full-time equivalent earnings. The total remuneration full-time equivalent pay gap calculations include superannuation, bonuses and other additional payments.</w:t>
      </w:r>
    </w:p>
    <w:p w14:paraId="57C5052B" w14:textId="77777777" w:rsidR="00180EB8" w:rsidRDefault="00180EB8" w:rsidP="00180EB8">
      <w:pPr>
        <w:rPr>
          <w:rFonts w:cstheme="minorHAnsi"/>
          <w:b/>
          <w:szCs w:val="20"/>
        </w:rPr>
      </w:pPr>
    </w:p>
    <w:p w14:paraId="3C6434BD" w14:textId="77777777" w:rsidR="00F71D42" w:rsidRPr="00180EB8" w:rsidRDefault="00F71D42" w:rsidP="00180EB8">
      <w:pPr>
        <w:rPr>
          <w:rFonts w:cstheme="minorHAnsi"/>
          <w:b/>
          <w:szCs w:val="20"/>
        </w:rPr>
      </w:pPr>
      <w:r w:rsidRPr="00180EB8">
        <w:rPr>
          <w:rFonts w:cstheme="minorHAnsi"/>
          <w:b/>
          <w:szCs w:val="20"/>
        </w:rPr>
        <w:t>Median gender pay gap</w:t>
      </w:r>
    </w:p>
    <w:p w14:paraId="6B4802A3" w14:textId="77777777" w:rsidR="00F71D42" w:rsidRPr="003F264A" w:rsidRDefault="00F71D42" w:rsidP="00F71D42">
      <w:pPr>
        <w:pStyle w:val="Bullets1stindent"/>
        <w:rPr>
          <w:b w:val="0"/>
        </w:rPr>
      </w:pPr>
      <w:r w:rsidRPr="003F264A">
        <w:rPr>
          <w:b w:val="0"/>
        </w:rPr>
        <w:t>The individual organisation’s median gender pay gap will be expressed as a percentage and the average dollar difference between women’s and men’s earnings at an organisation.</w:t>
      </w:r>
    </w:p>
    <w:p w14:paraId="449A0819" w14:textId="77777777" w:rsidR="00F71D42" w:rsidRPr="003F264A" w:rsidRDefault="00F71D42" w:rsidP="00F71D42">
      <w:pPr>
        <w:pStyle w:val="Bullets1stindent"/>
        <w:rPr>
          <w:b w:val="0"/>
        </w:rPr>
      </w:pPr>
      <w:r w:rsidRPr="003F264A">
        <w:rPr>
          <w:b w:val="0"/>
        </w:rPr>
        <w:t>Both the base salary and full-time equivalent annual remuneration gender pay gaps will be calculated. This means that part-time and casual salaries are converted to full-time equivalent earnings. The total remuneration full-time equivalent pay gap calculations include superannuation, bonuses and other additional payments.</w:t>
      </w:r>
    </w:p>
    <w:p w14:paraId="64357BAD" w14:textId="77777777" w:rsidR="00F71D42" w:rsidRPr="003F264A" w:rsidRDefault="00F71D42" w:rsidP="00F71D42">
      <w:pPr>
        <w:pStyle w:val="Bullets1stindent"/>
        <w:rPr>
          <w:b w:val="0"/>
        </w:rPr>
      </w:pPr>
      <w:r w:rsidRPr="003F264A">
        <w:rPr>
          <w:b w:val="0"/>
        </w:rPr>
        <w:t xml:space="preserve">The median describes those figures that are in the middle of the dataset. Identifying the middle of the dataset assists in accounting for outliers, which is important given the inclusion of CEO, or the equivalent, remuneration in the calculation of employer level gender pay gap data. </w:t>
      </w:r>
    </w:p>
    <w:p w14:paraId="72D67875" w14:textId="77777777" w:rsidR="00180EB8" w:rsidRDefault="00180EB8" w:rsidP="00180EB8">
      <w:pPr>
        <w:rPr>
          <w:rFonts w:cstheme="minorHAnsi"/>
          <w:b/>
          <w:szCs w:val="20"/>
        </w:rPr>
      </w:pPr>
    </w:p>
    <w:p w14:paraId="28D80DD3" w14:textId="77777777" w:rsidR="00F71D42" w:rsidRPr="00180EB8" w:rsidRDefault="00F71D42" w:rsidP="00180EB8">
      <w:pPr>
        <w:rPr>
          <w:rFonts w:cstheme="minorHAnsi"/>
          <w:b/>
          <w:szCs w:val="20"/>
        </w:rPr>
      </w:pPr>
      <w:r w:rsidRPr="00180EB8">
        <w:rPr>
          <w:rFonts w:cstheme="minorHAnsi"/>
          <w:b/>
          <w:szCs w:val="20"/>
        </w:rPr>
        <w:t>An organisation’s quartile analysis</w:t>
      </w:r>
    </w:p>
    <w:p w14:paraId="03973218" w14:textId="77777777" w:rsidR="00F71D42" w:rsidRPr="003F264A" w:rsidRDefault="00F71D42" w:rsidP="00F71D42">
      <w:pPr>
        <w:pStyle w:val="Bullets1stindent"/>
        <w:rPr>
          <w:b w:val="0"/>
        </w:rPr>
      </w:pPr>
      <w:r w:rsidRPr="003F264A">
        <w:rPr>
          <w:b w:val="0"/>
        </w:rPr>
        <w:t xml:space="preserve">WGEA will publish employer level gender pay gaps and workforce composition by quartiles. </w:t>
      </w:r>
    </w:p>
    <w:p w14:paraId="5A697F69" w14:textId="77777777" w:rsidR="00F71D42" w:rsidRPr="003F264A" w:rsidRDefault="00F71D42" w:rsidP="00F71D42">
      <w:pPr>
        <w:pStyle w:val="Bullets1stindent"/>
        <w:rPr>
          <w:b w:val="0"/>
        </w:rPr>
      </w:pPr>
      <w:r w:rsidRPr="003F264A">
        <w:rPr>
          <w:b w:val="0"/>
        </w:rPr>
        <w:t xml:space="preserve">This means providing data on the full-time equivalent gender pay gap for the organisation’s highest paid quarter, upper middle quarter, lower middle quarter, and lowest paid quarter, along with the gender composition of each pay quartile. The gender composition will state the proportion of women and men in each quartile. </w:t>
      </w:r>
    </w:p>
    <w:p w14:paraId="1C49BDEE" w14:textId="77777777" w:rsidR="00F71D42" w:rsidRPr="003F264A" w:rsidRDefault="00F71D42" w:rsidP="00F71D42">
      <w:pPr>
        <w:pStyle w:val="Bullets1stindent"/>
        <w:rPr>
          <w:b w:val="0"/>
        </w:rPr>
      </w:pPr>
      <w:r w:rsidRPr="003F264A">
        <w:rPr>
          <w:b w:val="0"/>
        </w:rPr>
        <w:t>The average remuneration of women and men in each quartile will also be published.</w:t>
      </w:r>
    </w:p>
    <w:p w14:paraId="540824AF" w14:textId="77777777" w:rsidR="00F71D42" w:rsidRPr="003F264A" w:rsidRDefault="00F71D42" w:rsidP="00F71D42">
      <w:pPr>
        <w:pStyle w:val="Bullets1stindent"/>
        <w:rPr>
          <w:b w:val="0"/>
        </w:rPr>
      </w:pPr>
      <w:r w:rsidRPr="003F264A">
        <w:rPr>
          <w:b w:val="0"/>
        </w:rPr>
        <w:t>The quartile analysis will include all relevant employers, meaning for organisations with 100 employees at least 25 employees would be in each quartile.</w:t>
      </w:r>
    </w:p>
    <w:p w14:paraId="57742384" w14:textId="77777777" w:rsidR="00F71D42" w:rsidRPr="003F264A" w:rsidRDefault="00F71D42" w:rsidP="00F71D42">
      <w:pPr>
        <w:pStyle w:val="Heading4"/>
        <w:rPr>
          <w:rFonts w:asciiTheme="minorHAnsi" w:hAnsiTheme="minorHAnsi" w:cstheme="minorHAnsi"/>
          <w:bCs/>
          <w:i w:val="0"/>
          <w:szCs w:val="20"/>
        </w:rPr>
      </w:pPr>
    </w:p>
    <w:p w14:paraId="1D8365E8" w14:textId="77777777" w:rsidR="00F71D42" w:rsidRPr="00180EB8" w:rsidRDefault="00F71D42" w:rsidP="00180EB8">
      <w:pPr>
        <w:rPr>
          <w:rFonts w:cstheme="minorHAnsi"/>
          <w:b/>
          <w:szCs w:val="20"/>
        </w:rPr>
      </w:pPr>
      <w:r w:rsidRPr="00180EB8">
        <w:rPr>
          <w:rFonts w:cstheme="minorHAnsi"/>
          <w:b/>
          <w:szCs w:val="20"/>
        </w:rPr>
        <w:t>CEO remuneration</w:t>
      </w:r>
    </w:p>
    <w:p w14:paraId="54E93EC9" w14:textId="77777777" w:rsidR="00F71D42" w:rsidRPr="003F264A" w:rsidRDefault="00F71D42" w:rsidP="00F71D42">
      <w:pPr>
        <w:pStyle w:val="Bullets1stindent"/>
        <w:rPr>
          <w:b w:val="0"/>
        </w:rPr>
      </w:pPr>
      <w:r w:rsidRPr="003F264A">
        <w:rPr>
          <w:b w:val="0"/>
        </w:rPr>
        <w:t>The Review recommended (Recommendation 7.1.d) the inclusion of mandatory reporting of “remuneration data for Chief Executive Officers (CEOs) or the equivalent (individual remuneration would not be public but would be aggregated to calculate gender pay gaps and used for other remuneration analysis and insights).”</w:t>
      </w:r>
    </w:p>
    <w:p w14:paraId="131A8621" w14:textId="77777777" w:rsidR="00F71D42" w:rsidRPr="003F264A" w:rsidRDefault="00F71D42" w:rsidP="00F71D42">
      <w:pPr>
        <w:pStyle w:val="Bullets1stindent"/>
        <w:rPr>
          <w:b w:val="0"/>
        </w:rPr>
      </w:pPr>
      <w:r w:rsidRPr="003F264A">
        <w:rPr>
          <w:b w:val="0"/>
        </w:rPr>
        <w:t>WGEA will include CEO, or the equivalent, remuneration in gender pay gap calculations, both at aggregate and employer levels.</w:t>
      </w:r>
    </w:p>
    <w:p w14:paraId="7B98630C" w14:textId="77777777" w:rsidR="00F71D42" w:rsidRPr="00180EB8" w:rsidRDefault="00F71D42">
      <w:pPr>
        <w:rPr>
          <w:rFonts w:cstheme="minorHAnsi"/>
          <w:b/>
          <w:lang w:val="en-GB"/>
        </w:rPr>
      </w:pPr>
      <w:r w:rsidRPr="003F264A">
        <w:rPr>
          <w:rFonts w:cstheme="minorHAnsi"/>
        </w:rPr>
        <w:t>Individual CEO (or equivalent) pay information will be confidential.</w:t>
      </w:r>
    </w:p>
    <w:p w14:paraId="7688B76F" w14:textId="77777777" w:rsidR="008E1425" w:rsidRDefault="008E1425">
      <w:pPr>
        <w:rPr>
          <w:rStyle w:val="Heading1Char"/>
          <w:rFonts w:asciiTheme="minorHAnsi" w:hAnsiTheme="minorHAnsi" w:cstheme="minorHAnsi"/>
        </w:rPr>
      </w:pPr>
      <w:bookmarkStart w:id="140" w:name="_Toc118794767"/>
      <w:bookmarkStart w:id="141" w:name="_Toc125714751"/>
      <w:r>
        <w:rPr>
          <w:rStyle w:val="Heading1Char"/>
          <w:rFonts w:asciiTheme="minorHAnsi" w:hAnsiTheme="minorHAnsi" w:cstheme="minorHAnsi"/>
        </w:rPr>
        <w:br w:type="page"/>
      </w:r>
    </w:p>
    <w:p w14:paraId="201CB301" w14:textId="2710B7C9" w:rsidR="00C03612" w:rsidRPr="003F264A" w:rsidRDefault="004A1687" w:rsidP="00C03612">
      <w:pPr>
        <w:pStyle w:val="Heading1"/>
        <w:rPr>
          <w:rFonts w:asciiTheme="minorHAnsi" w:hAnsiTheme="minorHAnsi" w:cstheme="minorHAnsi"/>
        </w:rPr>
      </w:pPr>
      <w:r w:rsidRPr="00924E25">
        <w:rPr>
          <w:rStyle w:val="Heading1Char"/>
          <w:rFonts w:asciiTheme="minorHAnsi" w:hAnsiTheme="minorHAnsi" w:cstheme="minorHAnsi"/>
        </w:rPr>
        <w:t>Appendix</w:t>
      </w:r>
      <w:r w:rsidRPr="003F264A">
        <w:rPr>
          <w:rFonts w:asciiTheme="minorHAnsi" w:hAnsiTheme="minorHAnsi" w:cstheme="minorHAnsi"/>
        </w:rPr>
        <w:t xml:space="preserve"> </w:t>
      </w:r>
      <w:r>
        <w:rPr>
          <w:rFonts w:asciiTheme="minorHAnsi" w:hAnsiTheme="minorHAnsi" w:cstheme="minorHAnsi"/>
        </w:rPr>
        <w:t>C</w:t>
      </w:r>
      <w:bookmarkEnd w:id="140"/>
      <w:bookmarkEnd w:id="141"/>
    </w:p>
    <w:p w14:paraId="080BF9B8" w14:textId="47676F23" w:rsidR="00C03612" w:rsidRDefault="008E1425" w:rsidP="00C03612">
      <w:pPr>
        <w:rPr>
          <w:rStyle w:val="Heading1Char"/>
          <w:rFonts w:asciiTheme="minorHAnsi" w:eastAsiaTheme="minorHAnsi" w:hAnsiTheme="minorHAnsi" w:cstheme="minorHAnsi"/>
          <w:color w:val="auto"/>
          <w:sz w:val="22"/>
          <w:szCs w:val="22"/>
        </w:rPr>
      </w:pPr>
      <w:r>
        <w:rPr>
          <w:noProof/>
          <w:lang w:eastAsia="en-AU"/>
        </w:rPr>
        <w:drawing>
          <wp:anchor distT="0" distB="0" distL="114300" distR="114300" simplePos="0" relativeHeight="251671687" behindDoc="0" locked="0" layoutInCell="1" allowOverlap="1" wp14:anchorId="527DC504" wp14:editId="74E9CA2B">
            <wp:simplePos x="0" y="0"/>
            <wp:positionH relativeFrom="margin">
              <wp:posOffset>-734695</wp:posOffset>
            </wp:positionH>
            <wp:positionV relativeFrom="paragraph">
              <wp:posOffset>468630</wp:posOffset>
            </wp:positionV>
            <wp:extent cx="7235190" cy="5612763"/>
            <wp:effectExtent l="0" t="0" r="381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7235190" cy="5612763"/>
                    </a:xfrm>
                    <a:prstGeom prst="rect">
                      <a:avLst/>
                    </a:prstGeom>
                  </pic:spPr>
                </pic:pic>
              </a:graphicData>
            </a:graphic>
            <wp14:sizeRelH relativeFrom="page">
              <wp14:pctWidth>0</wp14:pctWidth>
            </wp14:sizeRelH>
            <wp14:sizeRelV relativeFrom="page">
              <wp14:pctHeight>0</wp14:pctHeight>
            </wp14:sizeRelV>
          </wp:anchor>
        </w:drawing>
      </w:r>
    </w:p>
    <w:p w14:paraId="4E77BED7" w14:textId="4DF5D0CE" w:rsidR="00C03612" w:rsidRDefault="00C03612" w:rsidP="00C03612">
      <w:pPr>
        <w:pStyle w:val="Heading1"/>
        <w:rPr>
          <w:rStyle w:val="Heading1Char"/>
          <w:rFonts w:asciiTheme="minorHAnsi" w:eastAsiaTheme="minorHAnsi" w:hAnsiTheme="minorHAnsi" w:cstheme="minorHAnsi"/>
          <w:color w:val="auto"/>
          <w:sz w:val="22"/>
          <w:szCs w:val="22"/>
        </w:rPr>
      </w:pPr>
    </w:p>
    <w:p w14:paraId="62E12461" w14:textId="77777777" w:rsidR="00C03612" w:rsidRDefault="00C03612" w:rsidP="00C03612">
      <w:pPr>
        <w:rPr>
          <w:rStyle w:val="Heading1Char"/>
          <w:rFonts w:asciiTheme="minorHAnsi" w:eastAsiaTheme="minorHAnsi" w:hAnsiTheme="minorHAnsi" w:cstheme="minorHAnsi"/>
          <w:color w:val="auto"/>
          <w:sz w:val="22"/>
          <w:szCs w:val="22"/>
        </w:rPr>
      </w:pPr>
      <w:r>
        <w:rPr>
          <w:rStyle w:val="Heading1Char"/>
          <w:rFonts w:asciiTheme="minorHAnsi" w:eastAsiaTheme="minorHAnsi" w:hAnsiTheme="minorHAnsi" w:cstheme="minorHAnsi"/>
          <w:color w:val="auto"/>
          <w:sz w:val="22"/>
          <w:szCs w:val="22"/>
        </w:rPr>
        <w:br w:type="page"/>
      </w:r>
    </w:p>
    <w:p w14:paraId="723D9B1D" w14:textId="77777777" w:rsidR="00180EB8" w:rsidRPr="00180EB8" w:rsidRDefault="004A1687" w:rsidP="00180EB8">
      <w:pPr>
        <w:pStyle w:val="Heading1"/>
        <w:rPr>
          <w:rFonts w:asciiTheme="minorHAnsi" w:hAnsiTheme="minorHAnsi" w:cstheme="minorHAnsi"/>
        </w:rPr>
      </w:pPr>
      <w:bookmarkStart w:id="142" w:name="_Toc118794768"/>
      <w:bookmarkStart w:id="143" w:name="_Toc125714752"/>
      <w:r w:rsidRPr="00924E25">
        <w:rPr>
          <w:rStyle w:val="Heading1Char"/>
          <w:rFonts w:asciiTheme="minorHAnsi" w:hAnsiTheme="minorHAnsi" w:cstheme="minorHAnsi"/>
        </w:rPr>
        <w:t xml:space="preserve">Appendix </w:t>
      </w:r>
      <w:r w:rsidR="00C03612">
        <w:rPr>
          <w:rStyle w:val="Heading1Char"/>
          <w:rFonts w:asciiTheme="minorHAnsi" w:hAnsiTheme="minorHAnsi" w:cstheme="minorHAnsi"/>
        </w:rPr>
        <w:t>D</w:t>
      </w:r>
      <w:bookmarkStart w:id="144" w:name="_Toc118794769"/>
      <w:bookmarkEnd w:id="142"/>
      <w:bookmarkEnd w:id="143"/>
    </w:p>
    <w:p w14:paraId="4074ADBB" w14:textId="77777777" w:rsidR="00F71D42" w:rsidRPr="00180EB8" w:rsidRDefault="00F71D42" w:rsidP="00180EB8">
      <w:pPr>
        <w:rPr>
          <w:rFonts w:cstheme="minorHAnsi"/>
          <w:b/>
          <w:color w:val="4472C4" w:themeColor="accent5"/>
          <w:sz w:val="28"/>
          <w:szCs w:val="20"/>
        </w:rPr>
      </w:pPr>
      <w:r w:rsidRPr="00180EB8">
        <w:rPr>
          <w:rFonts w:cstheme="minorHAnsi"/>
          <w:b/>
          <w:color w:val="4472C4" w:themeColor="accent5"/>
          <w:sz w:val="28"/>
          <w:szCs w:val="20"/>
        </w:rPr>
        <w:t xml:space="preserve">Detailed process </w:t>
      </w:r>
      <w:r w:rsidR="008D3C39">
        <w:rPr>
          <w:rFonts w:cstheme="minorHAnsi"/>
          <w:b/>
          <w:color w:val="4472C4" w:themeColor="accent5"/>
          <w:sz w:val="28"/>
          <w:szCs w:val="20"/>
        </w:rPr>
        <w:t>to implement</w:t>
      </w:r>
      <w:r w:rsidRPr="00180EB8">
        <w:rPr>
          <w:rFonts w:cstheme="minorHAnsi"/>
          <w:b/>
          <w:color w:val="4472C4" w:themeColor="accent5"/>
          <w:sz w:val="28"/>
          <w:szCs w:val="20"/>
        </w:rPr>
        <w:t xml:space="preserve"> Recommendations 3.1.a and 3.1.b</w:t>
      </w:r>
      <w:bookmarkEnd w:id="144"/>
    </w:p>
    <w:p w14:paraId="5739C50F" w14:textId="77777777" w:rsidR="00F71D42" w:rsidRPr="003F264A" w:rsidRDefault="00F71D42" w:rsidP="00F71D42">
      <w:pPr>
        <w:pStyle w:val="paragraph"/>
        <w:spacing w:before="0" w:beforeAutospacing="0" w:after="0" w:afterAutospacing="0"/>
        <w:jc w:val="both"/>
        <w:textAlignment w:val="baseline"/>
        <w:rPr>
          <w:rFonts w:asciiTheme="minorHAnsi" w:hAnsiTheme="minorHAnsi" w:cstheme="minorHAnsi"/>
          <w:b/>
          <w:i/>
          <w:sz w:val="22"/>
          <w:szCs w:val="22"/>
          <w:lang w:val="en-GB"/>
        </w:rPr>
      </w:pPr>
    </w:p>
    <w:p w14:paraId="5E49C064" w14:textId="77777777" w:rsidR="00F71D42" w:rsidRPr="00180EB8" w:rsidRDefault="00180EB8" w:rsidP="00180EB8">
      <w:pPr>
        <w:rPr>
          <w:rFonts w:cstheme="minorHAnsi"/>
          <w:b/>
          <w:color w:val="4472C4" w:themeColor="accent5"/>
          <w:szCs w:val="20"/>
        </w:rPr>
      </w:pPr>
      <w:r>
        <w:rPr>
          <w:rFonts w:cstheme="minorHAnsi"/>
          <w:b/>
          <w:color w:val="4472C4" w:themeColor="accent5"/>
          <w:szCs w:val="20"/>
        </w:rPr>
        <w:t>Recommendation 3.1.a</w:t>
      </w:r>
    </w:p>
    <w:p w14:paraId="4E66A467" w14:textId="77777777" w:rsidR="00F71D42" w:rsidRPr="00180EB8" w:rsidRDefault="00F71D42" w:rsidP="00180EB8">
      <w:pPr>
        <w:rPr>
          <w:rFonts w:cstheme="minorHAnsi"/>
          <w:b/>
          <w:i/>
          <w:szCs w:val="20"/>
        </w:rPr>
      </w:pPr>
      <w:r w:rsidRPr="00180EB8">
        <w:rPr>
          <w:rFonts w:cstheme="minorHAnsi"/>
          <w:b/>
          <w:i/>
          <w:szCs w:val="20"/>
        </w:rPr>
        <w:t>Process for setting and reporting on targets</w:t>
      </w:r>
    </w:p>
    <w:p w14:paraId="52BDE8B8" w14:textId="77777777" w:rsidR="00F71D42" w:rsidRPr="003F264A" w:rsidRDefault="00F71D42" w:rsidP="00F71D42">
      <w:pPr>
        <w:pStyle w:val="BodyCopy"/>
        <w:rPr>
          <w:rFonts w:cstheme="minorHAnsi"/>
          <w:sz w:val="22"/>
          <w:szCs w:val="22"/>
        </w:rPr>
      </w:pPr>
      <w:r w:rsidRPr="003F264A">
        <w:rPr>
          <w:rFonts w:cstheme="minorHAnsi"/>
          <w:sz w:val="22"/>
          <w:szCs w:val="22"/>
        </w:rPr>
        <w:t>To measure employer action on gender equality without a significant increase in reporting requirements, employers will set three gender equality targets against data they already report to WGEA on the GEIs.</w:t>
      </w:r>
    </w:p>
    <w:p w14:paraId="5A95CADC" w14:textId="77777777" w:rsidR="00F71D42" w:rsidRPr="003F264A" w:rsidRDefault="00F71D42" w:rsidP="00F71D42">
      <w:pPr>
        <w:pStyle w:val="BodyCopy"/>
        <w:rPr>
          <w:rFonts w:cstheme="minorHAnsi"/>
          <w:sz w:val="22"/>
          <w:szCs w:val="22"/>
        </w:rPr>
      </w:pPr>
      <w:r w:rsidRPr="003F264A">
        <w:rPr>
          <w:rFonts w:cstheme="minorHAnsi"/>
          <w:sz w:val="22"/>
          <w:szCs w:val="22"/>
        </w:rPr>
        <w:t>There are four main components to the process for setting, achieving and reporting on gender equality targets:</w:t>
      </w:r>
    </w:p>
    <w:p w14:paraId="3F9448F7" w14:textId="77777777" w:rsidR="00F71D42" w:rsidRPr="003F264A" w:rsidRDefault="00F71D42" w:rsidP="003D0C74">
      <w:pPr>
        <w:pStyle w:val="BodyCopy"/>
        <w:numPr>
          <w:ilvl w:val="0"/>
          <w:numId w:val="13"/>
        </w:numPr>
        <w:rPr>
          <w:rFonts w:cstheme="minorHAnsi"/>
          <w:sz w:val="22"/>
          <w:szCs w:val="22"/>
        </w:rPr>
      </w:pPr>
      <w:r w:rsidRPr="003F264A">
        <w:rPr>
          <w:rFonts w:cstheme="minorHAnsi"/>
          <w:b/>
          <w:bCs/>
          <w:sz w:val="22"/>
          <w:szCs w:val="22"/>
        </w:rPr>
        <w:t>Analyse data</w:t>
      </w:r>
      <w:r w:rsidRPr="003F264A">
        <w:rPr>
          <w:rFonts w:cstheme="minorHAnsi"/>
          <w:sz w:val="22"/>
          <w:szCs w:val="22"/>
        </w:rPr>
        <w:t>: In the first year, employers will first conduct an analysis of their gender equality data and identify opportunities for improvement. This analysis will draw on employers’ reporting data and benchmark reports from WGEA. The analysis will provide a baseline from which employers can track and measure progress towards the target.</w:t>
      </w:r>
    </w:p>
    <w:p w14:paraId="36C00CEA" w14:textId="77777777" w:rsidR="00F71D42" w:rsidRPr="003F264A" w:rsidRDefault="00F71D42" w:rsidP="003D0C74">
      <w:pPr>
        <w:pStyle w:val="BodyCopy"/>
        <w:numPr>
          <w:ilvl w:val="0"/>
          <w:numId w:val="13"/>
        </w:numPr>
        <w:rPr>
          <w:rFonts w:cstheme="minorHAnsi"/>
          <w:sz w:val="22"/>
          <w:szCs w:val="22"/>
        </w:rPr>
      </w:pPr>
      <w:r w:rsidRPr="003F264A">
        <w:rPr>
          <w:rFonts w:cstheme="minorHAnsi"/>
          <w:b/>
          <w:bCs/>
          <w:sz w:val="22"/>
          <w:szCs w:val="22"/>
        </w:rPr>
        <w:t>Identify targets</w:t>
      </w:r>
      <w:r w:rsidRPr="003F264A">
        <w:rPr>
          <w:rFonts w:cstheme="minorHAnsi"/>
          <w:sz w:val="22"/>
          <w:szCs w:val="22"/>
        </w:rPr>
        <w:t>: Employers will receive a ‘menu’ of options for targets that can be set against each GEI. Employers will choose three targets from these options that will address the opportunity for improvement that they identified in their gender equality analysis. Employers will also set the timeframe for meeting each of the three targets, between one and three years (recognising some areas take more time to improve).</w:t>
      </w:r>
    </w:p>
    <w:p w14:paraId="00BC370B" w14:textId="77777777" w:rsidR="00F71D42" w:rsidRPr="003F264A" w:rsidRDefault="00F71D42" w:rsidP="003D0C74">
      <w:pPr>
        <w:pStyle w:val="BodyCopy"/>
        <w:numPr>
          <w:ilvl w:val="0"/>
          <w:numId w:val="13"/>
        </w:numPr>
        <w:rPr>
          <w:rFonts w:cstheme="minorHAnsi"/>
          <w:sz w:val="22"/>
          <w:szCs w:val="22"/>
        </w:rPr>
      </w:pPr>
      <w:r w:rsidRPr="003F264A">
        <w:rPr>
          <w:rFonts w:cstheme="minorHAnsi"/>
          <w:b/>
          <w:bCs/>
          <w:sz w:val="22"/>
          <w:szCs w:val="22"/>
        </w:rPr>
        <w:t>Report on targets</w:t>
      </w:r>
      <w:r w:rsidRPr="003F264A">
        <w:rPr>
          <w:rFonts w:cstheme="minorHAnsi"/>
          <w:sz w:val="22"/>
          <w:szCs w:val="22"/>
        </w:rPr>
        <w:t xml:space="preserve">: Employers will report progress towards targets annually as part of their gender equality reporting to WGEA. Employers will indicate progress against their target based on the indicators and/or actions they have taken. Given that the targets and progress against them are included in reporting to WGEA, they will require CEO sign-off in line with current reporting processes. </w:t>
      </w:r>
    </w:p>
    <w:p w14:paraId="4F983FCA" w14:textId="77777777" w:rsidR="00F71D42" w:rsidRPr="003F264A" w:rsidRDefault="00F71D42" w:rsidP="003D0C74">
      <w:pPr>
        <w:pStyle w:val="BodyCopy"/>
        <w:numPr>
          <w:ilvl w:val="0"/>
          <w:numId w:val="13"/>
        </w:numPr>
        <w:rPr>
          <w:rFonts w:cstheme="minorHAnsi"/>
          <w:sz w:val="22"/>
          <w:szCs w:val="22"/>
        </w:rPr>
      </w:pPr>
      <w:r w:rsidRPr="003F264A">
        <w:rPr>
          <w:rFonts w:cstheme="minorHAnsi"/>
          <w:b/>
          <w:bCs/>
          <w:sz w:val="22"/>
          <w:szCs w:val="22"/>
        </w:rPr>
        <w:t xml:space="preserve">Achieve targets and set new targets: </w:t>
      </w:r>
      <w:r w:rsidRPr="003F264A">
        <w:rPr>
          <w:rFonts w:cstheme="minorHAnsi"/>
          <w:sz w:val="22"/>
          <w:szCs w:val="22"/>
        </w:rPr>
        <w:t xml:space="preserve">Once employers meet a target, they will set new (more ambitious) targets. The expectation under the gender equality standards is that employers maintain a minimum of three targets for gender equality. </w:t>
      </w:r>
      <w:r w:rsidR="00EF65A7">
        <w:rPr>
          <w:rFonts w:cstheme="minorHAnsi"/>
          <w:sz w:val="22"/>
          <w:szCs w:val="22"/>
        </w:rPr>
        <w:t>Targets may</w:t>
      </w:r>
      <w:r w:rsidRPr="003F264A">
        <w:rPr>
          <w:rFonts w:cstheme="minorHAnsi"/>
          <w:sz w:val="22"/>
          <w:szCs w:val="22"/>
        </w:rPr>
        <w:t xml:space="preserve"> be set against the same metric or focus area in order to maintain momentum and progress towards a longer-term goal, or set against a new area of opportunity.</w:t>
      </w:r>
    </w:p>
    <w:p w14:paraId="1ED41B54" w14:textId="77777777" w:rsidR="00F71D42" w:rsidRPr="003F264A" w:rsidRDefault="00F71D42" w:rsidP="00F71D42">
      <w:pPr>
        <w:pStyle w:val="Heading4"/>
        <w:rPr>
          <w:rFonts w:asciiTheme="minorHAnsi" w:hAnsiTheme="minorHAnsi" w:cstheme="minorHAnsi"/>
        </w:rPr>
      </w:pPr>
    </w:p>
    <w:p w14:paraId="4A291685" w14:textId="77777777" w:rsidR="00F71D42" w:rsidRPr="00180EB8" w:rsidRDefault="00F71D42" w:rsidP="00180EB8">
      <w:pPr>
        <w:rPr>
          <w:rFonts w:cstheme="minorHAnsi"/>
          <w:b/>
          <w:color w:val="4472C4" w:themeColor="accent5"/>
          <w:szCs w:val="20"/>
        </w:rPr>
      </w:pPr>
      <w:r w:rsidRPr="00180EB8">
        <w:rPr>
          <w:rFonts w:cstheme="minorHAnsi"/>
          <w:b/>
          <w:color w:val="4472C4" w:themeColor="accent5"/>
          <w:szCs w:val="20"/>
        </w:rPr>
        <w:t xml:space="preserve">Examples of targets to be set against the GEIs </w:t>
      </w:r>
    </w:p>
    <w:p w14:paraId="2551BE37" w14:textId="77777777" w:rsidR="00F71D42" w:rsidRPr="003F264A" w:rsidRDefault="00F71D42" w:rsidP="00F71D42">
      <w:pPr>
        <w:pStyle w:val="BodyText"/>
        <w:rPr>
          <w:rFonts w:asciiTheme="minorHAnsi" w:hAnsiTheme="minorHAnsi" w:cstheme="minorHAnsi"/>
          <w:szCs w:val="22"/>
        </w:rPr>
      </w:pPr>
      <w:r w:rsidRPr="003F264A">
        <w:rPr>
          <w:rFonts w:asciiTheme="minorHAnsi" w:hAnsiTheme="minorHAnsi" w:cstheme="minorHAnsi"/>
          <w:szCs w:val="22"/>
        </w:rPr>
        <w:t xml:space="preserve">This list provides examples of where employers can set targets against each of the GEIs. This list is not exhaustive. WGEA will develop tools to assist employers in meeting targets. </w:t>
      </w:r>
    </w:p>
    <w:p w14:paraId="4BFB0BE9" w14:textId="77777777" w:rsidR="00F71D42" w:rsidRPr="003F264A" w:rsidRDefault="00F71D42" w:rsidP="00F71D42">
      <w:pPr>
        <w:pStyle w:val="BodyText"/>
        <w:rPr>
          <w:rFonts w:asciiTheme="minorHAnsi" w:hAnsiTheme="minorHAnsi" w:cstheme="minorHAnsi"/>
          <w:szCs w:val="22"/>
        </w:rPr>
      </w:pPr>
    </w:p>
    <w:p w14:paraId="7904D1DE" w14:textId="77777777" w:rsidR="00F71D42" w:rsidRPr="003F264A" w:rsidRDefault="00F71D42" w:rsidP="00F71D42">
      <w:pPr>
        <w:pStyle w:val="BodyText"/>
        <w:rPr>
          <w:rFonts w:asciiTheme="minorHAnsi" w:hAnsiTheme="minorHAnsi" w:cstheme="minorHAnsi"/>
          <w:szCs w:val="22"/>
        </w:rPr>
      </w:pPr>
      <w:r w:rsidRPr="003F264A">
        <w:rPr>
          <w:rFonts w:asciiTheme="minorHAnsi" w:hAnsiTheme="minorHAnsi" w:cstheme="minorHAnsi"/>
          <w:szCs w:val="22"/>
        </w:rPr>
        <w:t>Targets against GEIs 1, 2 and 3 are more likely to be numeric and require effort over several years to achieve. Targets set against GEIs 4, 5 and 6 are more likely to involve changes in policies and/or practices within an organisation.</w:t>
      </w:r>
    </w:p>
    <w:p w14:paraId="48F424E3" w14:textId="77777777" w:rsidR="00F71D42" w:rsidRPr="003F264A" w:rsidRDefault="00F71D42" w:rsidP="00F71D42">
      <w:pPr>
        <w:rPr>
          <w:rFonts w:cstheme="minorHAnsi"/>
          <w:b/>
          <w:i/>
          <w:iCs/>
          <w:color w:val="000000" w:themeColor="text1"/>
        </w:rPr>
      </w:pPr>
    </w:p>
    <w:p w14:paraId="59380064" w14:textId="77777777" w:rsidR="00F71D42" w:rsidRPr="003F264A" w:rsidRDefault="00F71D42" w:rsidP="00F71D42">
      <w:pPr>
        <w:rPr>
          <w:rFonts w:cstheme="minorHAnsi"/>
          <w:b/>
          <w:color w:val="000000" w:themeColor="text1"/>
        </w:rPr>
      </w:pPr>
      <w:r w:rsidRPr="003F264A">
        <w:rPr>
          <w:rFonts w:cstheme="minorHAnsi"/>
          <w:b/>
          <w:color w:val="000000" w:themeColor="text1"/>
        </w:rPr>
        <w:t>GEI 1: Gender composition of the workforce</w:t>
      </w:r>
    </w:p>
    <w:p w14:paraId="5473D3B2" w14:textId="77777777" w:rsidR="00F71D42" w:rsidRPr="003F264A" w:rsidRDefault="00F71D42" w:rsidP="00F71D42">
      <w:pPr>
        <w:pStyle w:val="BodyCopy"/>
        <w:rPr>
          <w:rFonts w:cstheme="minorHAnsi"/>
          <w:sz w:val="22"/>
          <w:szCs w:val="22"/>
        </w:rPr>
      </w:pPr>
      <w:r w:rsidRPr="003F264A">
        <w:rPr>
          <w:rFonts w:cstheme="minorHAnsi"/>
          <w:sz w:val="22"/>
          <w:szCs w:val="22"/>
        </w:rPr>
        <w:t xml:space="preserve">Targets under GEI 1 will aim to achieve gender balance in an employer’s workforce. This includes targets that improve gender equality in the composition of the workforce and in the representation of managers and occupational groups. </w:t>
      </w:r>
    </w:p>
    <w:p w14:paraId="7A8D258F" w14:textId="77777777" w:rsidR="00F71D42" w:rsidRPr="003F264A" w:rsidRDefault="00F71D42" w:rsidP="003D0C74">
      <w:pPr>
        <w:pStyle w:val="ListParagraph"/>
        <w:numPr>
          <w:ilvl w:val="0"/>
          <w:numId w:val="15"/>
        </w:numPr>
        <w:spacing w:line="256" w:lineRule="auto"/>
        <w:rPr>
          <w:rFonts w:cstheme="minorHAnsi"/>
        </w:rPr>
      </w:pPr>
      <w:r w:rsidRPr="003F264A">
        <w:rPr>
          <w:rFonts w:cstheme="minorHAnsi"/>
        </w:rPr>
        <w:t>Improve gender composition in Key Management Personnel (KMP) / Manager positions by __% in __years</w:t>
      </w:r>
    </w:p>
    <w:p w14:paraId="13E6CD3F" w14:textId="77777777" w:rsidR="00F71D42" w:rsidRPr="003F264A" w:rsidRDefault="00F71D42" w:rsidP="003D0C74">
      <w:pPr>
        <w:pStyle w:val="ListParagraph"/>
        <w:numPr>
          <w:ilvl w:val="0"/>
          <w:numId w:val="15"/>
        </w:numPr>
        <w:spacing w:line="256" w:lineRule="auto"/>
        <w:rPr>
          <w:rFonts w:cstheme="minorHAnsi"/>
        </w:rPr>
      </w:pPr>
      <w:r w:rsidRPr="003F264A">
        <w:rPr>
          <w:rFonts w:cstheme="minorHAnsi"/>
        </w:rPr>
        <w:t>Improve gender composition in _______ non-manager occupational group by __% in __years</w:t>
      </w:r>
    </w:p>
    <w:p w14:paraId="185CABC0" w14:textId="77777777" w:rsidR="00F71D42" w:rsidRPr="003F264A" w:rsidRDefault="00F71D42" w:rsidP="003D0C74">
      <w:pPr>
        <w:pStyle w:val="ListParagraph"/>
        <w:numPr>
          <w:ilvl w:val="0"/>
          <w:numId w:val="15"/>
        </w:numPr>
        <w:spacing w:line="256" w:lineRule="auto"/>
        <w:rPr>
          <w:rFonts w:cstheme="minorHAnsi"/>
          <w:b/>
        </w:rPr>
      </w:pPr>
      <w:r w:rsidRPr="003F264A">
        <w:rPr>
          <w:rFonts w:cstheme="minorHAnsi"/>
        </w:rPr>
        <w:t>Improve gender composition in partnership positions by __% in __years</w:t>
      </w:r>
    </w:p>
    <w:p w14:paraId="3635B1A1" w14:textId="77777777" w:rsidR="00F71D42" w:rsidRPr="003F264A" w:rsidRDefault="00F71D42" w:rsidP="00F71D42">
      <w:pPr>
        <w:pStyle w:val="BodyCopy"/>
        <w:spacing w:before="0" w:after="0"/>
        <w:rPr>
          <w:rFonts w:cstheme="minorHAnsi"/>
          <w:b/>
          <w:sz w:val="22"/>
          <w:szCs w:val="22"/>
        </w:rPr>
      </w:pPr>
      <w:r w:rsidRPr="003F264A">
        <w:rPr>
          <w:rFonts w:cstheme="minorHAnsi"/>
          <w:b/>
          <w:sz w:val="22"/>
          <w:szCs w:val="22"/>
        </w:rPr>
        <w:t xml:space="preserve">GEI 2: Gender composition of the governing bodies of relevant employers </w:t>
      </w:r>
    </w:p>
    <w:p w14:paraId="44EC2EE7" w14:textId="77777777" w:rsidR="00F71D42" w:rsidRPr="003F264A" w:rsidRDefault="00F71D42" w:rsidP="00F71D42">
      <w:pPr>
        <w:pStyle w:val="BodyCopy"/>
        <w:rPr>
          <w:rFonts w:cstheme="minorHAnsi"/>
          <w:b/>
          <w:sz w:val="22"/>
          <w:szCs w:val="22"/>
        </w:rPr>
      </w:pPr>
      <w:r w:rsidRPr="003F264A">
        <w:rPr>
          <w:rFonts w:cstheme="minorHAnsi"/>
          <w:sz w:val="22"/>
          <w:szCs w:val="22"/>
        </w:rPr>
        <w:t>Targets under GEI 2 will aim to achieve gender balance in an employer’s governing body.</w:t>
      </w:r>
    </w:p>
    <w:p w14:paraId="33D01D59" w14:textId="77777777" w:rsidR="00F71D42" w:rsidRPr="003F264A" w:rsidRDefault="00F71D42" w:rsidP="003D0C74">
      <w:pPr>
        <w:pStyle w:val="BodyCopy"/>
        <w:numPr>
          <w:ilvl w:val="0"/>
          <w:numId w:val="16"/>
        </w:numPr>
        <w:spacing w:before="0" w:after="0"/>
        <w:rPr>
          <w:rFonts w:cstheme="minorHAnsi"/>
          <w:sz w:val="22"/>
          <w:szCs w:val="22"/>
        </w:rPr>
      </w:pPr>
      <w:r w:rsidRPr="003F264A">
        <w:rPr>
          <w:rFonts w:cstheme="minorHAnsi"/>
          <w:sz w:val="22"/>
          <w:szCs w:val="22"/>
        </w:rPr>
        <w:t>Improve gender balance on the governing body by __% in __years</w:t>
      </w:r>
    </w:p>
    <w:p w14:paraId="5202B978" w14:textId="77777777" w:rsidR="00F71D42" w:rsidRPr="003F264A" w:rsidRDefault="00F71D42" w:rsidP="00F71D42">
      <w:pPr>
        <w:pStyle w:val="ListParagraph"/>
        <w:rPr>
          <w:rFonts w:cstheme="minorHAnsi"/>
          <w:b/>
        </w:rPr>
      </w:pPr>
    </w:p>
    <w:p w14:paraId="4D921E23" w14:textId="77777777" w:rsidR="00F71D42" w:rsidRPr="003F264A" w:rsidRDefault="00F71D42" w:rsidP="00F71D42">
      <w:pPr>
        <w:pStyle w:val="BodyCopy"/>
        <w:spacing w:before="0" w:after="0"/>
        <w:rPr>
          <w:rFonts w:cstheme="minorHAnsi"/>
          <w:b/>
          <w:sz w:val="22"/>
          <w:szCs w:val="22"/>
        </w:rPr>
      </w:pPr>
      <w:r w:rsidRPr="003F264A">
        <w:rPr>
          <w:rFonts w:cstheme="minorHAnsi"/>
          <w:b/>
          <w:sz w:val="22"/>
          <w:szCs w:val="22"/>
        </w:rPr>
        <w:t xml:space="preserve">GEI 3: Equal remuneration between women and men </w:t>
      </w:r>
    </w:p>
    <w:p w14:paraId="799B13FB" w14:textId="77777777" w:rsidR="00F71D42" w:rsidRPr="003F264A" w:rsidRDefault="00F71D42" w:rsidP="00F71D42">
      <w:pPr>
        <w:pStyle w:val="BodyCopy"/>
        <w:spacing w:before="0" w:after="0"/>
        <w:rPr>
          <w:rFonts w:cstheme="minorHAnsi"/>
          <w:b/>
          <w:sz w:val="22"/>
          <w:szCs w:val="22"/>
        </w:rPr>
      </w:pPr>
      <w:r w:rsidRPr="003F264A">
        <w:rPr>
          <w:rFonts w:cstheme="minorHAnsi"/>
          <w:sz w:val="22"/>
          <w:szCs w:val="22"/>
        </w:rPr>
        <w:t xml:space="preserve">Targets under GEI 3 will aim to close the gender pay gap. Organisations </w:t>
      </w:r>
      <w:r w:rsidR="00EF65A7">
        <w:rPr>
          <w:rFonts w:cstheme="minorHAnsi"/>
          <w:sz w:val="22"/>
          <w:szCs w:val="22"/>
        </w:rPr>
        <w:t>may</w:t>
      </w:r>
      <w:r w:rsidRPr="003F264A">
        <w:rPr>
          <w:rFonts w:cstheme="minorHAnsi"/>
          <w:sz w:val="22"/>
          <w:szCs w:val="22"/>
        </w:rPr>
        <w:t xml:space="preserve"> target their overall pay gap or that within manager and/or occupational groups.</w:t>
      </w:r>
    </w:p>
    <w:p w14:paraId="4D5A7A45" w14:textId="77777777" w:rsidR="00F71D42" w:rsidRPr="003F264A" w:rsidRDefault="00F71D42" w:rsidP="003D0C74">
      <w:pPr>
        <w:pStyle w:val="ListParagraph"/>
        <w:numPr>
          <w:ilvl w:val="0"/>
          <w:numId w:val="14"/>
        </w:numPr>
        <w:spacing w:line="256" w:lineRule="auto"/>
        <w:rPr>
          <w:rFonts w:cstheme="minorHAnsi"/>
        </w:rPr>
      </w:pPr>
      <w:r w:rsidRPr="003F264A">
        <w:rPr>
          <w:rFonts w:cstheme="minorHAnsi"/>
        </w:rPr>
        <w:t>Narrow the gender pay gap by __% in __years</w:t>
      </w:r>
    </w:p>
    <w:p w14:paraId="23118D19" w14:textId="77777777" w:rsidR="00F71D42" w:rsidRPr="003F264A" w:rsidRDefault="00F71D42" w:rsidP="003D0C74">
      <w:pPr>
        <w:pStyle w:val="ListParagraph"/>
        <w:numPr>
          <w:ilvl w:val="0"/>
          <w:numId w:val="14"/>
        </w:numPr>
        <w:spacing w:line="256" w:lineRule="auto"/>
        <w:rPr>
          <w:rFonts w:cstheme="minorHAnsi"/>
        </w:rPr>
      </w:pPr>
      <w:r w:rsidRPr="003F264A">
        <w:rPr>
          <w:rFonts w:cstheme="minorHAnsi"/>
        </w:rPr>
        <w:t>Narrow the gender pay gap in KMP / Manager positions by __% in __years</w:t>
      </w:r>
    </w:p>
    <w:p w14:paraId="735EBE5D" w14:textId="77777777" w:rsidR="00F71D42" w:rsidRPr="003F264A" w:rsidRDefault="00F71D42" w:rsidP="003D0C74">
      <w:pPr>
        <w:pStyle w:val="ListParagraph"/>
        <w:numPr>
          <w:ilvl w:val="0"/>
          <w:numId w:val="14"/>
        </w:numPr>
        <w:spacing w:line="256" w:lineRule="auto"/>
        <w:rPr>
          <w:rFonts w:cstheme="minorHAnsi"/>
        </w:rPr>
      </w:pPr>
      <w:r w:rsidRPr="003F264A">
        <w:rPr>
          <w:rFonts w:cstheme="minorHAnsi"/>
        </w:rPr>
        <w:t>Narrow the gender pay gap in ______non-manager occupational group by __% in __years</w:t>
      </w:r>
    </w:p>
    <w:p w14:paraId="14B9DE2A" w14:textId="77777777" w:rsidR="00F71D42" w:rsidRPr="003F264A" w:rsidRDefault="00F71D42" w:rsidP="00F71D42">
      <w:pPr>
        <w:pStyle w:val="BodyCopy"/>
        <w:rPr>
          <w:rFonts w:cstheme="minorHAnsi"/>
          <w:b/>
          <w:sz w:val="22"/>
          <w:szCs w:val="22"/>
        </w:rPr>
      </w:pPr>
      <w:r w:rsidRPr="003F264A">
        <w:rPr>
          <w:rFonts w:cstheme="minorHAnsi"/>
          <w:b/>
          <w:sz w:val="22"/>
          <w:szCs w:val="22"/>
        </w:rPr>
        <w:t>GEI 4: Availability and utility of employment terms, conditions and practices relating to flexible working arrangements for employees and to working arrangements supporting employees with family or caring responsibilities</w:t>
      </w:r>
    </w:p>
    <w:p w14:paraId="398CA5C9" w14:textId="77777777" w:rsidR="00F71D42" w:rsidRPr="003F264A" w:rsidRDefault="00F71D42" w:rsidP="00F71D42">
      <w:pPr>
        <w:pStyle w:val="BodyCopy"/>
        <w:rPr>
          <w:rFonts w:cstheme="minorHAnsi"/>
          <w:sz w:val="22"/>
          <w:szCs w:val="22"/>
        </w:rPr>
      </w:pPr>
      <w:r w:rsidRPr="003F264A">
        <w:rPr>
          <w:rFonts w:cstheme="minorHAnsi"/>
          <w:sz w:val="22"/>
          <w:szCs w:val="22"/>
        </w:rPr>
        <w:t>Targets under GEI 4 will aim for employers to have best practice policies that support flexible working arrangements, employees with family or caring responsibilities, and employees experiencing family and domestic violence.</w:t>
      </w:r>
    </w:p>
    <w:p w14:paraId="63C0D028" w14:textId="77777777" w:rsidR="00F71D42" w:rsidRPr="003F264A" w:rsidRDefault="00F71D42" w:rsidP="003D0C74">
      <w:pPr>
        <w:pStyle w:val="BodyCopy"/>
        <w:numPr>
          <w:ilvl w:val="0"/>
          <w:numId w:val="19"/>
        </w:numPr>
        <w:rPr>
          <w:rFonts w:cstheme="minorHAnsi"/>
          <w:bCs/>
          <w:sz w:val="22"/>
          <w:szCs w:val="22"/>
        </w:rPr>
      </w:pPr>
      <w:r w:rsidRPr="003F264A">
        <w:rPr>
          <w:rFonts w:cstheme="minorHAnsi"/>
          <w:bCs/>
          <w:sz w:val="22"/>
          <w:szCs w:val="22"/>
        </w:rPr>
        <w:t>Introduce employer-funded paid parental leave, where it was not offered before</w:t>
      </w:r>
    </w:p>
    <w:p w14:paraId="76FE7AF3" w14:textId="77777777" w:rsidR="00F71D42" w:rsidRPr="003F264A" w:rsidRDefault="00F71D42" w:rsidP="003D0C74">
      <w:pPr>
        <w:pStyle w:val="BodyCopy"/>
        <w:numPr>
          <w:ilvl w:val="0"/>
          <w:numId w:val="19"/>
        </w:numPr>
        <w:spacing w:before="0" w:after="0" w:line="240" w:lineRule="auto"/>
        <w:rPr>
          <w:rFonts w:cstheme="minorHAnsi"/>
          <w:bCs/>
          <w:sz w:val="22"/>
          <w:szCs w:val="22"/>
        </w:rPr>
      </w:pPr>
      <w:r w:rsidRPr="003F264A">
        <w:rPr>
          <w:rFonts w:cstheme="minorHAnsi"/>
          <w:sz w:val="22"/>
          <w:szCs w:val="22"/>
        </w:rPr>
        <w:t>Offer employer-funded parental leave that is gender equal and remove the distinction between primary and secondary carers</w:t>
      </w:r>
    </w:p>
    <w:p w14:paraId="1BBFB61D" w14:textId="77777777" w:rsidR="00F71D42" w:rsidRPr="003F264A" w:rsidRDefault="00F71D42" w:rsidP="003D0C74">
      <w:pPr>
        <w:pStyle w:val="BodyCopy"/>
        <w:numPr>
          <w:ilvl w:val="0"/>
          <w:numId w:val="19"/>
        </w:numPr>
        <w:spacing w:before="0" w:after="0" w:line="240" w:lineRule="auto"/>
        <w:rPr>
          <w:rFonts w:cstheme="minorHAnsi"/>
          <w:bCs/>
          <w:sz w:val="22"/>
          <w:szCs w:val="22"/>
        </w:rPr>
      </w:pPr>
      <w:r w:rsidRPr="003F264A">
        <w:rPr>
          <w:rFonts w:cstheme="minorHAnsi"/>
          <w:bCs/>
          <w:sz w:val="22"/>
          <w:szCs w:val="22"/>
        </w:rPr>
        <w:t>Pay superannuation while carers are on parental leave</w:t>
      </w:r>
    </w:p>
    <w:p w14:paraId="24BA3780" w14:textId="77777777" w:rsidR="00F71D42" w:rsidRPr="003F264A" w:rsidRDefault="00F71D42" w:rsidP="003D0C74">
      <w:pPr>
        <w:pStyle w:val="BodyCopy"/>
        <w:numPr>
          <w:ilvl w:val="0"/>
          <w:numId w:val="19"/>
        </w:numPr>
        <w:spacing w:before="0" w:after="0" w:line="240" w:lineRule="auto"/>
        <w:rPr>
          <w:rFonts w:cstheme="minorHAnsi"/>
          <w:bCs/>
          <w:sz w:val="22"/>
          <w:szCs w:val="22"/>
        </w:rPr>
      </w:pPr>
      <w:r w:rsidRPr="003F264A">
        <w:rPr>
          <w:rFonts w:cstheme="minorHAnsi"/>
          <w:bCs/>
          <w:sz w:val="22"/>
          <w:szCs w:val="22"/>
        </w:rPr>
        <w:t>Remove a qualifying period for access to parental leave</w:t>
      </w:r>
    </w:p>
    <w:p w14:paraId="16EFEF7C" w14:textId="77777777" w:rsidR="00F71D42" w:rsidRPr="003F264A" w:rsidRDefault="00F71D42" w:rsidP="003D0C74">
      <w:pPr>
        <w:pStyle w:val="BodyCopy"/>
        <w:numPr>
          <w:ilvl w:val="0"/>
          <w:numId w:val="19"/>
        </w:numPr>
        <w:spacing w:before="0" w:after="0" w:line="240" w:lineRule="auto"/>
        <w:rPr>
          <w:rFonts w:cstheme="minorHAnsi"/>
          <w:bCs/>
          <w:sz w:val="22"/>
          <w:szCs w:val="22"/>
        </w:rPr>
      </w:pPr>
      <w:r w:rsidRPr="003F264A">
        <w:rPr>
          <w:rFonts w:cstheme="minorHAnsi"/>
          <w:bCs/>
          <w:sz w:val="22"/>
          <w:szCs w:val="22"/>
        </w:rPr>
        <w:t>Expand the types of formal flexible working arrangement offered</w:t>
      </w:r>
      <w:r w:rsidRPr="003F264A">
        <w:rPr>
          <w:rFonts w:cstheme="minorHAnsi"/>
          <w:b/>
          <w:sz w:val="22"/>
          <w:szCs w:val="22"/>
        </w:rPr>
        <w:tab/>
      </w:r>
    </w:p>
    <w:p w14:paraId="0DC3348D" w14:textId="77777777" w:rsidR="00F71D42" w:rsidRPr="003F264A" w:rsidRDefault="00F71D42" w:rsidP="003D0C74">
      <w:pPr>
        <w:pStyle w:val="BodyCopy"/>
        <w:numPr>
          <w:ilvl w:val="0"/>
          <w:numId w:val="19"/>
        </w:numPr>
        <w:spacing w:before="0" w:after="0" w:line="240" w:lineRule="auto"/>
        <w:rPr>
          <w:rFonts w:cstheme="minorHAnsi"/>
          <w:bCs/>
          <w:sz w:val="22"/>
          <w:szCs w:val="22"/>
        </w:rPr>
      </w:pPr>
      <w:r w:rsidRPr="003F264A">
        <w:rPr>
          <w:rFonts w:cstheme="minorHAnsi"/>
          <w:bCs/>
          <w:sz w:val="22"/>
          <w:szCs w:val="22"/>
        </w:rPr>
        <w:t>Increase the days of family and domestic violence leave offered by offering __ days of leave</w:t>
      </w:r>
    </w:p>
    <w:p w14:paraId="14C3CA29" w14:textId="77777777" w:rsidR="00F71D42" w:rsidRPr="003F264A" w:rsidRDefault="00F71D42" w:rsidP="00F71D42">
      <w:pPr>
        <w:pStyle w:val="BodyCopy"/>
        <w:spacing w:before="0" w:after="0"/>
        <w:rPr>
          <w:rFonts w:cstheme="minorHAnsi"/>
          <w:b/>
          <w:sz w:val="22"/>
          <w:szCs w:val="22"/>
        </w:rPr>
      </w:pPr>
    </w:p>
    <w:p w14:paraId="362F3E91" w14:textId="77777777" w:rsidR="00F71D42" w:rsidRPr="003F264A" w:rsidRDefault="00F71D42" w:rsidP="00F71D42">
      <w:pPr>
        <w:pStyle w:val="BodyCopy"/>
        <w:spacing w:before="0" w:after="0"/>
        <w:rPr>
          <w:rFonts w:cstheme="minorHAnsi"/>
          <w:b/>
          <w:sz w:val="22"/>
          <w:szCs w:val="22"/>
        </w:rPr>
      </w:pPr>
      <w:r w:rsidRPr="003F264A">
        <w:rPr>
          <w:rFonts w:cstheme="minorHAnsi"/>
          <w:b/>
          <w:sz w:val="22"/>
          <w:szCs w:val="22"/>
        </w:rPr>
        <w:t>GEI 5: Consultation with employees on issues concerning gender equality in the workplace</w:t>
      </w:r>
    </w:p>
    <w:p w14:paraId="4D8018F1" w14:textId="77777777" w:rsidR="00F71D42" w:rsidRPr="003F264A" w:rsidRDefault="00F71D42" w:rsidP="00F71D42">
      <w:pPr>
        <w:pStyle w:val="BodyCopy"/>
        <w:spacing w:before="0" w:after="0"/>
        <w:rPr>
          <w:rFonts w:cstheme="minorHAnsi"/>
          <w:b/>
          <w:sz w:val="22"/>
          <w:szCs w:val="22"/>
        </w:rPr>
      </w:pPr>
      <w:r w:rsidRPr="003F264A">
        <w:rPr>
          <w:rFonts w:cstheme="minorHAnsi"/>
          <w:sz w:val="22"/>
          <w:szCs w:val="22"/>
        </w:rPr>
        <w:t>Targets under GEI 5 will aim for employers to have best practice consultation policies and processes for gender equality.</w:t>
      </w:r>
    </w:p>
    <w:p w14:paraId="4649AE57" w14:textId="77777777" w:rsidR="00F71D42" w:rsidRPr="003F264A" w:rsidRDefault="00F71D42" w:rsidP="003D0C74">
      <w:pPr>
        <w:pStyle w:val="BodyCopy"/>
        <w:numPr>
          <w:ilvl w:val="0"/>
          <w:numId w:val="17"/>
        </w:numPr>
        <w:spacing w:before="0" w:after="0"/>
        <w:rPr>
          <w:rFonts w:cstheme="minorHAnsi"/>
          <w:sz w:val="22"/>
          <w:szCs w:val="22"/>
        </w:rPr>
      </w:pPr>
      <w:r w:rsidRPr="003F264A">
        <w:rPr>
          <w:rFonts w:cstheme="minorHAnsi"/>
          <w:sz w:val="22"/>
          <w:szCs w:val="22"/>
        </w:rPr>
        <w:t>Expanding consultation to include all employees</w:t>
      </w:r>
    </w:p>
    <w:p w14:paraId="13B222D0" w14:textId="77777777" w:rsidR="00F71D42" w:rsidRPr="003F264A" w:rsidRDefault="00F71D42" w:rsidP="003D0C74">
      <w:pPr>
        <w:pStyle w:val="BodyCopy"/>
        <w:numPr>
          <w:ilvl w:val="0"/>
          <w:numId w:val="17"/>
        </w:numPr>
        <w:spacing w:before="0" w:after="0"/>
        <w:rPr>
          <w:rFonts w:cstheme="minorHAnsi"/>
          <w:sz w:val="22"/>
          <w:szCs w:val="22"/>
        </w:rPr>
      </w:pPr>
      <w:r w:rsidRPr="003F264A">
        <w:rPr>
          <w:rFonts w:cstheme="minorHAnsi"/>
          <w:sz w:val="22"/>
          <w:szCs w:val="22"/>
        </w:rPr>
        <w:t>Achieving a response rate of __% of employees</w:t>
      </w:r>
    </w:p>
    <w:p w14:paraId="33EE4BEC" w14:textId="77777777" w:rsidR="00F71D42" w:rsidRPr="003F264A" w:rsidRDefault="00F71D42" w:rsidP="00F71D42">
      <w:pPr>
        <w:pStyle w:val="BodyCopy"/>
        <w:spacing w:before="0" w:after="0"/>
        <w:ind w:left="720"/>
        <w:rPr>
          <w:rFonts w:cstheme="minorHAnsi"/>
          <w:sz w:val="22"/>
          <w:szCs w:val="22"/>
        </w:rPr>
      </w:pPr>
    </w:p>
    <w:p w14:paraId="57E365B7" w14:textId="77777777" w:rsidR="00F71D42" w:rsidRPr="003F264A" w:rsidRDefault="00F71D42" w:rsidP="00F71D42">
      <w:pPr>
        <w:pStyle w:val="BodyCopy"/>
        <w:spacing w:before="0" w:after="0"/>
        <w:rPr>
          <w:rFonts w:cstheme="minorHAnsi"/>
          <w:b/>
          <w:sz w:val="22"/>
          <w:szCs w:val="22"/>
        </w:rPr>
      </w:pPr>
      <w:r w:rsidRPr="003F264A">
        <w:rPr>
          <w:rFonts w:cstheme="minorHAnsi"/>
          <w:b/>
          <w:sz w:val="22"/>
          <w:szCs w:val="22"/>
        </w:rPr>
        <w:t>GEI 6: Sex-based harassment and discrimination</w:t>
      </w:r>
    </w:p>
    <w:p w14:paraId="49C1F42C" w14:textId="77777777" w:rsidR="00F71D42" w:rsidRPr="003F264A" w:rsidRDefault="00F71D42" w:rsidP="00F71D42">
      <w:pPr>
        <w:pStyle w:val="BodyCopy"/>
        <w:spacing w:before="0" w:after="0"/>
        <w:rPr>
          <w:rFonts w:cstheme="minorHAnsi"/>
          <w:b/>
          <w:sz w:val="22"/>
          <w:szCs w:val="22"/>
        </w:rPr>
      </w:pPr>
      <w:r w:rsidRPr="003F264A">
        <w:rPr>
          <w:rFonts w:cstheme="minorHAnsi"/>
          <w:sz w:val="22"/>
          <w:szCs w:val="22"/>
        </w:rPr>
        <w:t>Targets under GEI 6 will aim for employers to have best practice policies and processes for preventing and addressing sex-based harassment and discrimination at work.</w:t>
      </w:r>
    </w:p>
    <w:p w14:paraId="30C11BE5" w14:textId="77777777" w:rsidR="00F71D42" w:rsidRPr="003F264A" w:rsidRDefault="00F71D42" w:rsidP="003D0C74">
      <w:pPr>
        <w:pStyle w:val="BodyCopy"/>
        <w:numPr>
          <w:ilvl w:val="0"/>
          <w:numId w:val="18"/>
        </w:numPr>
        <w:spacing w:before="0" w:after="0"/>
        <w:rPr>
          <w:rFonts w:cstheme="minorHAnsi"/>
          <w:sz w:val="22"/>
          <w:szCs w:val="22"/>
        </w:rPr>
      </w:pPr>
      <w:r w:rsidRPr="003F264A">
        <w:rPr>
          <w:rFonts w:cstheme="minorHAnsi"/>
          <w:sz w:val="22"/>
          <w:szCs w:val="22"/>
        </w:rPr>
        <w:t>Have best practice for preventing and addressing sex-based harassment and discrimination. (Specific examples of targets will link to Recommendation 46 from the Respect@Work report.)</w:t>
      </w:r>
    </w:p>
    <w:p w14:paraId="7B57E6D8" w14:textId="77777777" w:rsidR="00F71D42" w:rsidRPr="003F264A" w:rsidRDefault="00F71D42" w:rsidP="00F71D42">
      <w:pPr>
        <w:pStyle w:val="paragraph"/>
        <w:spacing w:before="0" w:beforeAutospacing="0" w:after="0" w:afterAutospacing="0"/>
        <w:jc w:val="both"/>
        <w:textAlignment w:val="baseline"/>
        <w:rPr>
          <w:rFonts w:asciiTheme="minorHAnsi" w:hAnsiTheme="minorHAnsi" w:cstheme="minorHAnsi"/>
          <w:sz w:val="22"/>
          <w:szCs w:val="22"/>
          <w:lang w:val="en-GB"/>
        </w:rPr>
      </w:pPr>
    </w:p>
    <w:p w14:paraId="763FF7AF" w14:textId="77777777" w:rsidR="00F71D42" w:rsidRPr="00180EB8" w:rsidRDefault="00F71D42" w:rsidP="00180EB8">
      <w:pPr>
        <w:rPr>
          <w:rFonts w:cstheme="minorHAnsi"/>
          <w:b/>
          <w:color w:val="4472C4" w:themeColor="accent5"/>
          <w:szCs w:val="20"/>
        </w:rPr>
      </w:pPr>
      <w:r w:rsidRPr="00180EB8">
        <w:rPr>
          <w:rFonts w:cstheme="minorHAnsi"/>
          <w:b/>
          <w:color w:val="4472C4" w:themeColor="accent5"/>
          <w:szCs w:val="20"/>
        </w:rPr>
        <w:t>Recommendation 3.1.b</w:t>
      </w:r>
    </w:p>
    <w:p w14:paraId="0F0DE14C" w14:textId="77777777" w:rsidR="00F71D42" w:rsidRPr="003F264A" w:rsidRDefault="00F71D42" w:rsidP="00F71D42">
      <w:pPr>
        <w:pStyle w:val="paragraph"/>
        <w:spacing w:before="0" w:beforeAutospacing="0" w:after="0" w:afterAutospacing="0"/>
        <w:jc w:val="both"/>
        <w:textAlignment w:val="baseline"/>
        <w:rPr>
          <w:rFonts w:asciiTheme="minorHAnsi" w:hAnsiTheme="minorHAnsi" w:cstheme="minorHAnsi"/>
          <w:sz w:val="22"/>
          <w:szCs w:val="22"/>
          <w:lang w:val="en-GB"/>
        </w:rPr>
      </w:pPr>
    </w:p>
    <w:p w14:paraId="2288E9AB" w14:textId="77777777" w:rsidR="00180EB8" w:rsidRDefault="00F71D42" w:rsidP="005059B2">
      <w:pPr>
        <w:pStyle w:val="BodyText"/>
        <w:rPr>
          <w:rFonts w:asciiTheme="minorHAnsi" w:hAnsiTheme="minorHAnsi" w:cstheme="minorHAnsi"/>
          <w:szCs w:val="22"/>
        </w:rPr>
      </w:pPr>
      <w:r w:rsidRPr="003F264A">
        <w:rPr>
          <w:rFonts w:asciiTheme="minorHAnsi" w:hAnsiTheme="minorHAnsi" w:cstheme="minorHAnsi"/>
          <w:szCs w:val="22"/>
        </w:rPr>
        <w:t>As is the case with the current minimum standards, having formal policies and/or strategies to support each of the GEIs will be tied to employer requirements for gender equality reporting to WGEA. An employer that has policies and/or strategies for each GEI meets the gender equality standard and the reporting requirement to WGEA.</w:t>
      </w:r>
    </w:p>
    <w:p w14:paraId="7978FC6A" w14:textId="77777777" w:rsidR="004A1687" w:rsidRPr="00180EB8" w:rsidRDefault="00180EB8" w:rsidP="00180EB8">
      <w:pPr>
        <w:rPr>
          <w:rStyle w:val="Heading1Char"/>
          <w:rFonts w:asciiTheme="minorHAnsi" w:eastAsiaTheme="minorHAnsi" w:hAnsiTheme="minorHAnsi" w:cstheme="minorHAnsi"/>
          <w:color w:val="auto"/>
          <w:sz w:val="22"/>
          <w:szCs w:val="22"/>
          <w:lang w:val="en-AU"/>
        </w:rPr>
      </w:pPr>
      <w:r>
        <w:rPr>
          <w:rFonts w:cstheme="minorHAnsi"/>
        </w:rPr>
        <w:br w:type="page"/>
      </w:r>
    </w:p>
    <w:p w14:paraId="317870A9" w14:textId="77777777" w:rsidR="00924E25" w:rsidRPr="003F264A" w:rsidRDefault="00924E25" w:rsidP="00924E25">
      <w:pPr>
        <w:pStyle w:val="Heading1"/>
        <w:rPr>
          <w:rStyle w:val="Heading1Char"/>
          <w:rFonts w:asciiTheme="minorHAnsi" w:hAnsiTheme="minorHAnsi" w:cstheme="minorHAnsi"/>
        </w:rPr>
      </w:pPr>
      <w:bookmarkStart w:id="145" w:name="_Toc118794770"/>
      <w:bookmarkStart w:id="146" w:name="_Toc125714753"/>
      <w:r w:rsidRPr="003F264A">
        <w:rPr>
          <w:rStyle w:val="Heading1Char"/>
          <w:rFonts w:asciiTheme="minorHAnsi" w:hAnsiTheme="minorHAnsi" w:cstheme="minorHAnsi"/>
        </w:rPr>
        <w:t xml:space="preserve">Appendix </w:t>
      </w:r>
      <w:r>
        <w:rPr>
          <w:rStyle w:val="Heading1Char"/>
          <w:rFonts w:asciiTheme="minorHAnsi" w:hAnsiTheme="minorHAnsi" w:cstheme="minorHAnsi"/>
        </w:rPr>
        <w:t>E</w:t>
      </w:r>
      <w:bookmarkEnd w:id="145"/>
      <w:bookmarkEnd w:id="146"/>
    </w:p>
    <w:p w14:paraId="7486CA80" w14:textId="77777777" w:rsidR="00924E25" w:rsidRDefault="00924E25" w:rsidP="00924E25">
      <w:pPr>
        <w:rPr>
          <w:rFonts w:cstheme="minorHAnsi"/>
        </w:rPr>
      </w:pPr>
      <w:r>
        <w:rPr>
          <w:rFonts w:cstheme="minorHAnsi"/>
        </w:rPr>
        <w:t>Appendix E</w:t>
      </w:r>
      <w:r w:rsidRPr="003F264A">
        <w:rPr>
          <w:rFonts w:cstheme="minorHAnsi"/>
        </w:rPr>
        <w:t xml:space="preserve"> outlines the approach taken to estimate </w:t>
      </w:r>
      <w:r w:rsidR="0014063A">
        <w:rPr>
          <w:rFonts w:cstheme="minorHAnsi"/>
        </w:rPr>
        <w:t xml:space="preserve">the </w:t>
      </w:r>
      <w:r w:rsidRPr="003F264A">
        <w:rPr>
          <w:rFonts w:cstheme="minorHAnsi"/>
        </w:rPr>
        <w:t xml:space="preserve">regulatory cost burden in the </w:t>
      </w:r>
      <w:r w:rsidR="00CF5067">
        <w:rPr>
          <w:rFonts w:cstheme="minorHAnsi"/>
          <w:lang w:val="en-GB"/>
        </w:rPr>
        <w:t>IA</w:t>
      </w:r>
      <w:r w:rsidRPr="003F264A">
        <w:rPr>
          <w:rFonts w:cstheme="minorHAnsi"/>
        </w:rPr>
        <w:t xml:space="preserve">. The </w:t>
      </w:r>
      <w:r w:rsidR="00CF5067">
        <w:rPr>
          <w:rFonts w:cstheme="minorHAnsi"/>
          <w:lang w:val="en-GB"/>
        </w:rPr>
        <w:t>IA</w:t>
      </w:r>
      <w:r w:rsidR="00CF5067" w:rsidRPr="003F264A">
        <w:rPr>
          <w:rFonts w:cstheme="minorHAnsi"/>
          <w:lang w:val="en-GB"/>
        </w:rPr>
        <w:t xml:space="preserve"> </w:t>
      </w:r>
      <w:r w:rsidRPr="003F264A">
        <w:rPr>
          <w:rFonts w:cstheme="minorHAnsi"/>
        </w:rPr>
        <w:t xml:space="preserve">provides economy-wide, annualised regulatory burden estimates for each Option, consistent with the </w:t>
      </w:r>
      <w:hyperlink r:id="rId33" w:history="1">
        <w:r w:rsidRPr="003F264A">
          <w:rPr>
            <w:rFonts w:cstheme="minorHAnsi"/>
          </w:rPr>
          <w:t>Regulatory Burden Measurement Framework</w:t>
        </w:r>
      </w:hyperlink>
      <w:r w:rsidRPr="003F264A">
        <w:rPr>
          <w:rFonts w:cstheme="minorHAnsi"/>
        </w:rPr>
        <w:t>. These costs reflect data derived from multiple sourc</w:t>
      </w:r>
      <w:r w:rsidR="00D90250">
        <w:rPr>
          <w:rFonts w:cstheme="minorHAnsi"/>
        </w:rPr>
        <w:t>es, including analysis by the OF</w:t>
      </w:r>
      <w:r w:rsidRPr="003F264A">
        <w:rPr>
          <w:rFonts w:cstheme="minorHAnsi"/>
        </w:rPr>
        <w:t xml:space="preserve">W in close consultation with WGEA, validated through direct consultation with potentially impacted entities.  </w:t>
      </w:r>
    </w:p>
    <w:p w14:paraId="721378CC" w14:textId="77777777" w:rsidR="006A59A0" w:rsidRPr="006A59A0" w:rsidRDefault="006A59A0" w:rsidP="006A59A0">
      <w:pPr>
        <w:rPr>
          <w:rFonts w:cstheme="minorHAnsi"/>
        </w:rPr>
      </w:pPr>
      <w:r>
        <w:rPr>
          <w:rFonts w:cstheme="minorHAnsi"/>
        </w:rPr>
        <w:t>For the purpose of this IA</w:t>
      </w:r>
      <w:r w:rsidRPr="006A59A0">
        <w:rPr>
          <w:rFonts w:cstheme="minorHAnsi"/>
        </w:rPr>
        <w:t>, we focus on the following three implementation options:</w:t>
      </w:r>
    </w:p>
    <w:p w14:paraId="700E2451" w14:textId="77777777" w:rsidR="006A59A0" w:rsidRPr="001023CA" w:rsidRDefault="006A59A0" w:rsidP="003D0C74">
      <w:pPr>
        <w:pStyle w:val="ListParagraph"/>
        <w:numPr>
          <w:ilvl w:val="0"/>
          <w:numId w:val="18"/>
        </w:numPr>
        <w:rPr>
          <w:rFonts w:cstheme="minorHAnsi"/>
        </w:rPr>
      </w:pPr>
      <w:r w:rsidRPr="001023CA">
        <w:rPr>
          <w:rFonts w:cstheme="minorHAnsi"/>
        </w:rPr>
        <w:t>Option 1 – Maintain the status quo</w:t>
      </w:r>
    </w:p>
    <w:p w14:paraId="69941B27" w14:textId="77777777" w:rsidR="006A59A0" w:rsidRPr="001023CA" w:rsidRDefault="006A59A0" w:rsidP="003D0C74">
      <w:pPr>
        <w:pStyle w:val="ListParagraph"/>
        <w:numPr>
          <w:ilvl w:val="0"/>
          <w:numId w:val="18"/>
        </w:numPr>
        <w:rPr>
          <w:rFonts w:cstheme="minorHAnsi"/>
        </w:rPr>
      </w:pPr>
      <w:r w:rsidRPr="001023CA">
        <w:rPr>
          <w:rFonts w:cstheme="minorHAnsi"/>
        </w:rPr>
        <w:t xml:space="preserve">Option 2 – Implement Recommendation 4 (reduce regulatory burden) </w:t>
      </w:r>
    </w:p>
    <w:p w14:paraId="71E29E60" w14:textId="77777777" w:rsidR="006A59A0" w:rsidRPr="001023CA" w:rsidRDefault="006A59A0" w:rsidP="003D0C74">
      <w:pPr>
        <w:pStyle w:val="ListParagraph"/>
        <w:numPr>
          <w:ilvl w:val="0"/>
          <w:numId w:val="18"/>
        </w:numPr>
        <w:rPr>
          <w:rFonts w:cstheme="minorHAnsi"/>
        </w:rPr>
      </w:pPr>
      <w:r w:rsidRPr="001023CA">
        <w:rPr>
          <w:rFonts w:cstheme="minorHAnsi"/>
        </w:rPr>
        <w:t xml:space="preserve">Option 3 – Implement Recommendations 2,3,4 and 7 (preferred option) </w:t>
      </w:r>
    </w:p>
    <w:p w14:paraId="1DE2C8B5" w14:textId="77777777" w:rsidR="006A59A0" w:rsidRPr="006A59A0" w:rsidRDefault="006A59A0" w:rsidP="006A59A0">
      <w:pPr>
        <w:rPr>
          <w:rFonts w:cstheme="minorHAnsi"/>
        </w:rPr>
      </w:pPr>
      <w:r w:rsidRPr="006A59A0">
        <w:rPr>
          <w:rFonts w:cstheme="minorHAnsi"/>
        </w:rPr>
        <w:t xml:space="preserve">The regulatory impact specifically focuses on regulatory impacts of each option and the regulatory compliance burden on regulated entities. </w:t>
      </w:r>
    </w:p>
    <w:p w14:paraId="203A76BC" w14:textId="41413FE4" w:rsidR="006A59A0" w:rsidRPr="006A59A0" w:rsidRDefault="006A59A0" w:rsidP="006A59A0">
      <w:pPr>
        <w:rPr>
          <w:rFonts w:cstheme="minorHAnsi"/>
        </w:rPr>
      </w:pPr>
      <w:r w:rsidRPr="006A59A0">
        <w:rPr>
          <w:rFonts w:cstheme="minorHAnsi"/>
        </w:rPr>
        <w:t xml:space="preserve">Regulatory costs form a subset of the overall impacts (costs and benefits) of implementing </w:t>
      </w:r>
      <w:r w:rsidR="0014063A">
        <w:rPr>
          <w:rFonts w:cstheme="minorHAnsi"/>
        </w:rPr>
        <w:t xml:space="preserve">the </w:t>
      </w:r>
      <w:r w:rsidRPr="006A59A0">
        <w:rPr>
          <w:rFonts w:cstheme="minorHAnsi"/>
        </w:rPr>
        <w:t>WGEA Review recommendations. It is an Australian Government requirement that any proposed new or changed regulation must include quantification of the increase or decrease in regulatory costs imposed on businesses, community organisations and individuals. The identification and quantification of regulatory costs must be conducted in accordance with the Regulatory Burden Measurement Framework.</w:t>
      </w:r>
    </w:p>
    <w:p w14:paraId="7DE9DFDD" w14:textId="77777777" w:rsidR="006A59A0" w:rsidRDefault="006A59A0" w:rsidP="006A59A0">
      <w:pPr>
        <w:rPr>
          <w:rFonts w:cstheme="minorHAnsi"/>
        </w:rPr>
      </w:pPr>
      <w:r w:rsidRPr="006A59A0">
        <w:rPr>
          <w:rFonts w:cstheme="minorHAnsi"/>
        </w:rPr>
        <w:t>In accordance with g</w:t>
      </w:r>
      <w:r>
        <w:rPr>
          <w:rFonts w:cstheme="minorHAnsi"/>
        </w:rPr>
        <w:t>overnment requirements, this IA</w:t>
      </w:r>
      <w:r w:rsidRPr="006A59A0">
        <w:rPr>
          <w:rFonts w:cstheme="minorHAnsi"/>
        </w:rPr>
        <w:t xml:space="preserve"> calculates the estimated regulatory burden for Options 2 and 3 (noting that Option 1, as the status quo, presents no additional regulatory burden). The approach to determine this is set out below with further information on the costing methodology.</w:t>
      </w:r>
    </w:p>
    <w:p w14:paraId="103E0BC3" w14:textId="77777777" w:rsidR="006A59A0" w:rsidRPr="00A62356" w:rsidRDefault="006A59A0" w:rsidP="006A59A0">
      <w:pPr>
        <w:rPr>
          <w:rFonts w:cstheme="minorHAnsi"/>
          <w:b/>
          <w:color w:val="4472C4" w:themeColor="accent5"/>
          <w:sz w:val="28"/>
          <w:szCs w:val="20"/>
        </w:rPr>
      </w:pPr>
      <w:r w:rsidRPr="00A62356">
        <w:rPr>
          <w:rFonts w:cstheme="minorHAnsi"/>
          <w:b/>
          <w:color w:val="4472C4" w:themeColor="accent5"/>
          <w:sz w:val="28"/>
          <w:szCs w:val="20"/>
        </w:rPr>
        <w:t>Regulatory costs</w:t>
      </w:r>
    </w:p>
    <w:p w14:paraId="3755EFAA" w14:textId="77777777" w:rsidR="006A59A0" w:rsidRPr="006A59A0" w:rsidRDefault="006A59A0" w:rsidP="006A59A0">
      <w:pPr>
        <w:rPr>
          <w:rFonts w:cstheme="minorHAnsi"/>
        </w:rPr>
      </w:pPr>
      <w:r w:rsidRPr="006A59A0">
        <w:rPr>
          <w:rFonts w:cstheme="minorHAnsi"/>
        </w:rPr>
        <w:t>Under the Regulatory Burden Measurement Framework, only certain costs associated with the implementation of WGEA Review recommendations are categorised as ‘regulatory’. The primary categories of regulatory costs are:</w:t>
      </w:r>
    </w:p>
    <w:p w14:paraId="76D80C98" w14:textId="77777777" w:rsidR="006A59A0" w:rsidRPr="001023CA" w:rsidRDefault="006A59A0" w:rsidP="003D0C74">
      <w:pPr>
        <w:pStyle w:val="ListParagraph"/>
        <w:numPr>
          <w:ilvl w:val="0"/>
          <w:numId w:val="18"/>
        </w:numPr>
        <w:rPr>
          <w:rFonts w:cstheme="minorHAnsi"/>
        </w:rPr>
      </w:pPr>
      <w:r w:rsidRPr="001023CA">
        <w:rPr>
          <w:rFonts w:cstheme="minorHAnsi"/>
        </w:rPr>
        <w:t>Administrative compliance costs - costs incurred by regulated entities primarily to demonstrate compliance with the regulation. For example, the time and costs associated with keeping records and notifying government of certain activities.</w:t>
      </w:r>
    </w:p>
    <w:p w14:paraId="59681A21" w14:textId="77777777" w:rsidR="006A59A0" w:rsidRPr="006A59A0" w:rsidRDefault="006A59A0" w:rsidP="003D0C74">
      <w:pPr>
        <w:pStyle w:val="ListParagraph"/>
        <w:numPr>
          <w:ilvl w:val="0"/>
          <w:numId w:val="18"/>
        </w:numPr>
        <w:rPr>
          <w:rFonts w:cstheme="minorHAnsi"/>
        </w:rPr>
      </w:pPr>
      <w:r w:rsidRPr="006A59A0">
        <w:rPr>
          <w:rFonts w:cstheme="minorHAnsi"/>
        </w:rPr>
        <w:t>Substantive compliance costs – costs incurred to deliver the regulated outcomes being sought. Examples: costs of training employees on regulatory requirements, professional services required to meet regulatory requirements</w:t>
      </w:r>
    </w:p>
    <w:p w14:paraId="09BF4805" w14:textId="77777777" w:rsidR="006A59A0" w:rsidRPr="006A59A0" w:rsidRDefault="006A59A0" w:rsidP="003D0C74">
      <w:pPr>
        <w:pStyle w:val="ListParagraph"/>
        <w:numPr>
          <w:ilvl w:val="0"/>
          <w:numId w:val="18"/>
        </w:numPr>
        <w:rPr>
          <w:rFonts w:cstheme="minorHAnsi"/>
        </w:rPr>
      </w:pPr>
      <w:r w:rsidRPr="006A59A0">
        <w:rPr>
          <w:rFonts w:cstheme="minorHAnsi"/>
        </w:rPr>
        <w:t>Delay costs – the expenses and loss of income incurred by a regulated income as a result of an application delay, or an approval delay.</w:t>
      </w:r>
    </w:p>
    <w:p w14:paraId="0A3AAE1A" w14:textId="77777777" w:rsidR="006A59A0" w:rsidRPr="006A59A0" w:rsidRDefault="006A59A0" w:rsidP="006A59A0">
      <w:pPr>
        <w:rPr>
          <w:rFonts w:cstheme="minorHAnsi"/>
        </w:rPr>
      </w:pPr>
      <w:r w:rsidRPr="006A59A0">
        <w:rPr>
          <w:rFonts w:cstheme="minorHAnsi"/>
        </w:rPr>
        <w:t>There are several types of costs specifically excluded from the Regulatory Burden Measurement Framework. These include, for example, opportunity costs, business-as-usual costs, enforcement / compliance costs (such as fines for failing to comply with regulation). These costs are not categorised as regulatory costs, and therefore are not quantified under this RIS.</w:t>
      </w:r>
    </w:p>
    <w:p w14:paraId="0835DD76" w14:textId="77777777" w:rsidR="006A59A0" w:rsidRPr="00A62356" w:rsidRDefault="006A59A0" w:rsidP="006A59A0">
      <w:pPr>
        <w:rPr>
          <w:rFonts w:cstheme="minorHAnsi"/>
          <w:b/>
          <w:color w:val="4472C4" w:themeColor="accent5"/>
          <w:sz w:val="28"/>
          <w:szCs w:val="20"/>
        </w:rPr>
      </w:pPr>
      <w:r w:rsidRPr="00A62356">
        <w:rPr>
          <w:rFonts w:cstheme="minorHAnsi"/>
          <w:b/>
          <w:color w:val="4472C4" w:themeColor="accent5"/>
          <w:sz w:val="28"/>
          <w:szCs w:val="20"/>
        </w:rPr>
        <w:t>Regulated or relevant entities</w:t>
      </w:r>
    </w:p>
    <w:p w14:paraId="157DAC52" w14:textId="77777777" w:rsidR="006A59A0" w:rsidRPr="006A59A0" w:rsidRDefault="006A59A0" w:rsidP="006A59A0">
      <w:pPr>
        <w:rPr>
          <w:rFonts w:cstheme="minorHAnsi"/>
        </w:rPr>
      </w:pPr>
      <w:r w:rsidRPr="006A59A0">
        <w:rPr>
          <w:rFonts w:cstheme="minorHAnsi"/>
        </w:rPr>
        <w:t xml:space="preserve">Given the regulatory impact assessment focuses only on regulatory costs, by definition it focuses on regulated or relevant entities (employers) only. </w:t>
      </w:r>
    </w:p>
    <w:p w14:paraId="11487EF6" w14:textId="77777777" w:rsidR="006A59A0" w:rsidRPr="006A59A0" w:rsidRDefault="006A59A0" w:rsidP="006A59A0">
      <w:pPr>
        <w:rPr>
          <w:rFonts w:cstheme="minorHAnsi"/>
        </w:rPr>
      </w:pPr>
      <w:r w:rsidRPr="006A59A0">
        <w:rPr>
          <w:rFonts w:cstheme="minorHAnsi"/>
        </w:rPr>
        <w:t xml:space="preserve">Stakeholders to which the </w:t>
      </w:r>
      <w:r w:rsidR="004A159E">
        <w:rPr>
          <w:rFonts w:cstheme="minorHAnsi"/>
        </w:rPr>
        <w:t>WGE Act</w:t>
      </w:r>
      <w:r w:rsidRPr="006A59A0">
        <w:rPr>
          <w:rFonts w:cstheme="minorHAnsi"/>
        </w:rPr>
        <w:t xml:space="preserve"> would apply, and therefore the focus of this regulatory cost analysis, are:</w:t>
      </w:r>
    </w:p>
    <w:p w14:paraId="253B6D8C" w14:textId="77777777" w:rsidR="006A59A0" w:rsidRPr="006A59A0" w:rsidRDefault="006A59A0" w:rsidP="003D0C74">
      <w:pPr>
        <w:pStyle w:val="ListParagraph"/>
        <w:numPr>
          <w:ilvl w:val="0"/>
          <w:numId w:val="18"/>
        </w:numPr>
        <w:rPr>
          <w:rFonts w:cstheme="minorHAnsi"/>
        </w:rPr>
      </w:pPr>
      <w:r w:rsidRPr="006A59A0">
        <w:rPr>
          <w:rFonts w:cstheme="minorHAnsi"/>
        </w:rPr>
        <w:t xml:space="preserve">Business: Business in the context of reporting to </w:t>
      </w:r>
      <w:r w:rsidR="004A159E">
        <w:rPr>
          <w:rFonts w:cstheme="minorHAnsi"/>
        </w:rPr>
        <w:t>WGEA</w:t>
      </w:r>
      <w:r w:rsidRPr="006A59A0">
        <w:rPr>
          <w:rFonts w:cstheme="minorHAnsi"/>
        </w:rPr>
        <w:t xml:space="preserve"> are for-profit organisations that are large employers (those with 500 or more employees in Australia) and medium-sized employers (those with 100 to 499 employees in Australia). Small employers (those with fewer than 100 employees in Australia) are excluded.</w:t>
      </w:r>
    </w:p>
    <w:p w14:paraId="73E666F4" w14:textId="77777777" w:rsidR="006A59A0" w:rsidRPr="006A59A0" w:rsidRDefault="006A59A0" w:rsidP="003D0C74">
      <w:pPr>
        <w:pStyle w:val="ListParagraph"/>
        <w:numPr>
          <w:ilvl w:val="0"/>
          <w:numId w:val="18"/>
        </w:numPr>
        <w:rPr>
          <w:rFonts w:cstheme="minorHAnsi"/>
        </w:rPr>
      </w:pPr>
      <w:r w:rsidRPr="006A59A0">
        <w:rPr>
          <w:rFonts w:cstheme="minorHAnsi"/>
        </w:rPr>
        <w:t>Community organisations: Not-for-profit organisations that are large employers (those with 500 or more employees in Australia) and medium-sized employers (those with 100 to 499 employees in Australia). Small employers (those with fewer than 100 employees in Australia) are excluded.</w:t>
      </w:r>
    </w:p>
    <w:p w14:paraId="69088956" w14:textId="77777777" w:rsidR="006A59A0" w:rsidRPr="006A59A0" w:rsidRDefault="006A59A0" w:rsidP="006A59A0">
      <w:pPr>
        <w:rPr>
          <w:rFonts w:cstheme="minorHAnsi"/>
        </w:rPr>
      </w:pPr>
      <w:r w:rsidRPr="006A59A0">
        <w:rPr>
          <w:rFonts w:cstheme="minorHAnsi"/>
        </w:rPr>
        <w:t xml:space="preserve">Individuals are not regulated entities under the </w:t>
      </w:r>
      <w:r w:rsidR="004A159E">
        <w:rPr>
          <w:rFonts w:cstheme="minorHAnsi"/>
        </w:rPr>
        <w:t>WGE Act</w:t>
      </w:r>
      <w:r w:rsidRPr="006A59A0">
        <w:rPr>
          <w:rFonts w:cstheme="minorHAnsi"/>
        </w:rPr>
        <w:t xml:space="preserve"> and therefore excluded from this regulatory cost analysis.</w:t>
      </w:r>
    </w:p>
    <w:p w14:paraId="07899B43" w14:textId="77777777" w:rsidR="006A59A0" w:rsidRPr="003F264A" w:rsidRDefault="006A59A0" w:rsidP="006A59A0">
      <w:pPr>
        <w:rPr>
          <w:rFonts w:cstheme="minorHAnsi"/>
        </w:rPr>
      </w:pPr>
      <w:r w:rsidRPr="006A59A0">
        <w:rPr>
          <w:rFonts w:cstheme="minorHAnsi"/>
        </w:rPr>
        <w:t>The regulatory costs and impacts have been considered through the lens of these specific stakeholder groups.</w:t>
      </w:r>
    </w:p>
    <w:p w14:paraId="451605D9" w14:textId="77777777" w:rsidR="00924E25" w:rsidRPr="003F264A" w:rsidRDefault="00924E25" w:rsidP="00924E25">
      <w:pPr>
        <w:pStyle w:val="BodyText"/>
        <w:rPr>
          <w:rStyle w:val="Bold"/>
          <w:rFonts w:asciiTheme="minorHAnsi" w:hAnsiTheme="minorHAnsi" w:cstheme="minorHAnsi"/>
          <w:b w:val="0"/>
        </w:rPr>
      </w:pPr>
      <w:r w:rsidRPr="003F264A">
        <w:rPr>
          <w:rFonts w:asciiTheme="minorHAnsi" w:hAnsiTheme="minorHAnsi" w:cstheme="minorHAnsi"/>
          <w:sz w:val="20"/>
        </w:rPr>
        <w:t xml:space="preserve"> </w:t>
      </w:r>
    </w:p>
    <w:p w14:paraId="78EB2B9F" w14:textId="77777777" w:rsidR="00924E25" w:rsidRPr="00180EB8" w:rsidRDefault="00924E25" w:rsidP="00180EB8">
      <w:pPr>
        <w:rPr>
          <w:rFonts w:cstheme="minorHAnsi"/>
          <w:b/>
          <w:color w:val="4472C4" w:themeColor="accent5"/>
          <w:sz w:val="28"/>
          <w:szCs w:val="20"/>
        </w:rPr>
      </w:pPr>
      <w:bookmarkStart w:id="147" w:name="_Toc84925851"/>
      <w:bookmarkStart w:id="148" w:name="_Toc84925924"/>
      <w:bookmarkStart w:id="149" w:name="_Toc86045168"/>
      <w:bookmarkStart w:id="150" w:name="_Toc86070065"/>
      <w:bookmarkStart w:id="151" w:name="_Toc86667990"/>
      <w:bookmarkStart w:id="152" w:name="_Toc118794771"/>
      <w:r w:rsidRPr="00180EB8">
        <w:rPr>
          <w:rFonts w:cstheme="minorHAnsi"/>
          <w:b/>
          <w:color w:val="4472C4" w:themeColor="accent5"/>
          <w:sz w:val="28"/>
          <w:szCs w:val="20"/>
        </w:rPr>
        <w:t>Methodology</w:t>
      </w:r>
      <w:bookmarkEnd w:id="147"/>
      <w:bookmarkEnd w:id="148"/>
      <w:bookmarkEnd w:id="149"/>
      <w:bookmarkEnd w:id="150"/>
      <w:bookmarkEnd w:id="151"/>
      <w:bookmarkEnd w:id="152"/>
      <w:r w:rsidRPr="00180EB8">
        <w:rPr>
          <w:rFonts w:cstheme="minorHAnsi"/>
          <w:b/>
          <w:color w:val="4472C4" w:themeColor="accent5"/>
          <w:sz w:val="28"/>
          <w:szCs w:val="20"/>
        </w:rPr>
        <w:t xml:space="preserve"> </w:t>
      </w:r>
    </w:p>
    <w:p w14:paraId="70F57223" w14:textId="77777777" w:rsidR="00924E25" w:rsidRPr="003F264A" w:rsidRDefault="00924E25" w:rsidP="00924E25">
      <w:pPr>
        <w:rPr>
          <w:rFonts w:cstheme="minorHAnsi"/>
        </w:rPr>
      </w:pPr>
      <w:r w:rsidRPr="003F264A">
        <w:rPr>
          <w:rFonts w:cstheme="minorHAnsi"/>
        </w:rPr>
        <w:t>The regulatory cost estimates included in this document have been developed in accordance with the following approach:</w:t>
      </w:r>
    </w:p>
    <w:p w14:paraId="1328A0D4" w14:textId="77777777" w:rsidR="00924E25" w:rsidRPr="003F264A" w:rsidRDefault="00924E25" w:rsidP="003D0C74">
      <w:pPr>
        <w:numPr>
          <w:ilvl w:val="0"/>
          <w:numId w:val="43"/>
        </w:numPr>
        <w:tabs>
          <w:tab w:val="num" w:pos="360"/>
        </w:tabs>
        <w:rPr>
          <w:rFonts w:cstheme="minorHAnsi"/>
        </w:rPr>
      </w:pPr>
      <w:r w:rsidRPr="003F264A">
        <w:rPr>
          <w:rFonts w:cstheme="minorHAnsi"/>
        </w:rPr>
        <w:t xml:space="preserve">Identifying the activities that would influence regulatory costs of a regulated entity under the relevant Option. </w:t>
      </w:r>
    </w:p>
    <w:p w14:paraId="18AE9F16" w14:textId="77777777" w:rsidR="00924E25" w:rsidRPr="003F264A" w:rsidRDefault="00924E25" w:rsidP="003D0C74">
      <w:pPr>
        <w:numPr>
          <w:ilvl w:val="0"/>
          <w:numId w:val="43"/>
        </w:numPr>
        <w:tabs>
          <w:tab w:val="num" w:pos="360"/>
        </w:tabs>
        <w:rPr>
          <w:rFonts w:cstheme="minorHAnsi"/>
        </w:rPr>
      </w:pPr>
      <w:r w:rsidRPr="003F264A">
        <w:rPr>
          <w:rFonts w:cstheme="minorHAnsi"/>
        </w:rPr>
        <w:t>Categorising the frequency of the activity as either new regulatory requirements (i.e. an initial cost incurring in Initial Year only) or ongoing (if occurrence is known and frequent more than once, e.g. ongoing reporting / monitoring obligations).</w:t>
      </w:r>
    </w:p>
    <w:p w14:paraId="7E19E010" w14:textId="77777777" w:rsidR="00924E25" w:rsidRPr="003F264A" w:rsidRDefault="00924E25" w:rsidP="003D0C74">
      <w:pPr>
        <w:numPr>
          <w:ilvl w:val="0"/>
          <w:numId w:val="43"/>
        </w:numPr>
        <w:tabs>
          <w:tab w:val="num" w:pos="360"/>
        </w:tabs>
        <w:rPr>
          <w:rFonts w:cstheme="minorHAnsi"/>
        </w:rPr>
      </w:pPr>
      <w:r w:rsidRPr="003F264A">
        <w:rPr>
          <w:rFonts w:cstheme="minorHAnsi"/>
        </w:rPr>
        <w:t>Estimating the resource effort (time taken) to comply with that requirement, taking the average-level scenario for each activity (see Assumptions below).</w:t>
      </w:r>
    </w:p>
    <w:p w14:paraId="41B5B42F" w14:textId="77777777" w:rsidR="00924E25" w:rsidRPr="003F264A" w:rsidRDefault="00924E25" w:rsidP="003D0C74">
      <w:pPr>
        <w:numPr>
          <w:ilvl w:val="0"/>
          <w:numId w:val="43"/>
        </w:numPr>
        <w:tabs>
          <w:tab w:val="num" w:pos="360"/>
        </w:tabs>
        <w:rPr>
          <w:rFonts w:cstheme="minorHAnsi"/>
        </w:rPr>
      </w:pPr>
      <w:r w:rsidRPr="003F264A">
        <w:rPr>
          <w:rFonts w:cstheme="minorHAnsi"/>
        </w:rPr>
        <w:t>Estimating the labour costs associated with a regulatory task, by multiplying the time taken to complete the required compliance activity (average-level scenario) by the expected annual frequency of each activity and by the hourly cost for the relevant staff.</w:t>
      </w:r>
    </w:p>
    <w:p w14:paraId="72CE37FA" w14:textId="77777777" w:rsidR="00924E25" w:rsidRPr="003F264A" w:rsidRDefault="00924E25" w:rsidP="003D0C74">
      <w:pPr>
        <w:numPr>
          <w:ilvl w:val="0"/>
          <w:numId w:val="43"/>
        </w:numPr>
        <w:tabs>
          <w:tab w:val="num" w:pos="360"/>
        </w:tabs>
        <w:rPr>
          <w:rFonts w:cstheme="minorHAnsi"/>
        </w:rPr>
      </w:pPr>
      <w:r w:rsidRPr="003F264A">
        <w:rPr>
          <w:rFonts w:cstheme="minorHAnsi"/>
        </w:rPr>
        <w:t xml:space="preserve">This provides the annual cost of complying with the regulatory requirements for each activity per Option and entity group as relevant, and produces a yearly per-entity regulatory cost. </w:t>
      </w:r>
    </w:p>
    <w:p w14:paraId="6C4667E8" w14:textId="77777777" w:rsidR="00924E25" w:rsidRPr="003F264A" w:rsidRDefault="00924E25" w:rsidP="003D0C74">
      <w:pPr>
        <w:numPr>
          <w:ilvl w:val="0"/>
          <w:numId w:val="43"/>
        </w:numPr>
        <w:tabs>
          <w:tab w:val="num" w:pos="360"/>
        </w:tabs>
        <w:rPr>
          <w:rFonts w:cstheme="minorHAnsi"/>
        </w:rPr>
      </w:pPr>
      <w:r w:rsidRPr="003F264A">
        <w:rPr>
          <w:rFonts w:cstheme="minorHAnsi"/>
        </w:rPr>
        <w:t xml:space="preserve">Multiplying each yearly per-entity regulatory cost by the total number of expected economy-wide number of regulated entities (see Assumptions) for each entity group. This was calculated over the default 10-years of regulation considered by the Regulatory Burden Measurement Framework. </w:t>
      </w:r>
    </w:p>
    <w:p w14:paraId="640D134F" w14:textId="77777777" w:rsidR="00924E25" w:rsidRPr="003F264A" w:rsidRDefault="00924E25" w:rsidP="003D0C74">
      <w:pPr>
        <w:numPr>
          <w:ilvl w:val="0"/>
          <w:numId w:val="43"/>
        </w:numPr>
        <w:tabs>
          <w:tab w:val="num" w:pos="360"/>
        </w:tabs>
        <w:rPr>
          <w:rFonts w:cstheme="minorHAnsi"/>
        </w:rPr>
      </w:pPr>
      <w:r w:rsidRPr="003F264A">
        <w:rPr>
          <w:rFonts w:cstheme="minorHAnsi"/>
        </w:rPr>
        <w:t xml:space="preserve">Dividing the sum of all yearly, economy-wide costs for each entity group over the 10-years (per Option) by 10, to derive the average annualised regulatory burden for each Option. </w:t>
      </w:r>
    </w:p>
    <w:p w14:paraId="64AAAA6B" w14:textId="77777777" w:rsidR="00924E25" w:rsidRPr="00180EB8" w:rsidRDefault="00924E25" w:rsidP="00180EB8">
      <w:pPr>
        <w:rPr>
          <w:rFonts w:cstheme="minorHAnsi"/>
          <w:b/>
          <w:color w:val="4472C4" w:themeColor="accent5"/>
          <w:sz w:val="28"/>
          <w:szCs w:val="20"/>
        </w:rPr>
      </w:pPr>
      <w:bookmarkStart w:id="153" w:name="_Toc118794772"/>
      <w:r w:rsidRPr="00180EB8">
        <w:rPr>
          <w:rFonts w:cstheme="minorHAnsi"/>
          <w:b/>
          <w:color w:val="4472C4" w:themeColor="accent5"/>
          <w:sz w:val="28"/>
          <w:szCs w:val="20"/>
        </w:rPr>
        <w:t>Assumptions and sources</w:t>
      </w:r>
      <w:bookmarkEnd w:id="153"/>
    </w:p>
    <w:p w14:paraId="0258BA38" w14:textId="77777777" w:rsidR="00924E25" w:rsidRPr="003F264A" w:rsidRDefault="00924E25" w:rsidP="00924E25">
      <w:pPr>
        <w:rPr>
          <w:rFonts w:cstheme="minorHAnsi"/>
        </w:rPr>
      </w:pPr>
      <w:r w:rsidRPr="003F264A">
        <w:rPr>
          <w:rFonts w:cstheme="minorHAnsi"/>
        </w:rPr>
        <w:t xml:space="preserve">The key assumptions and sources used for regulatory cost estimates are described below: </w:t>
      </w:r>
    </w:p>
    <w:p w14:paraId="20ECA6AD" w14:textId="77777777" w:rsidR="00924E25" w:rsidRPr="003F264A" w:rsidRDefault="00924E25" w:rsidP="003D0C74">
      <w:pPr>
        <w:pStyle w:val="ListParagraph"/>
        <w:numPr>
          <w:ilvl w:val="0"/>
          <w:numId w:val="44"/>
        </w:numPr>
        <w:tabs>
          <w:tab w:val="num" w:pos="360"/>
        </w:tabs>
        <w:rPr>
          <w:rFonts w:cstheme="minorHAnsi"/>
        </w:rPr>
      </w:pPr>
      <w:r w:rsidRPr="003F264A">
        <w:rPr>
          <w:rFonts w:cstheme="minorHAnsi"/>
          <w:b/>
        </w:rPr>
        <w:t xml:space="preserve">Initial set-up or ongoing costs: </w:t>
      </w:r>
      <w:r w:rsidRPr="003F264A">
        <w:rPr>
          <w:rFonts w:cstheme="minorHAnsi"/>
        </w:rPr>
        <w:t>These classifications were derived from analysis of the nature of the regulatory activities prescribed to regulated entities, broken down per individual regulated entity for each considered Option.</w:t>
      </w:r>
    </w:p>
    <w:p w14:paraId="31C2F465" w14:textId="77777777" w:rsidR="00924E25" w:rsidRPr="003F264A" w:rsidRDefault="00924E25" w:rsidP="00924E25">
      <w:pPr>
        <w:pStyle w:val="ListParagraph"/>
        <w:rPr>
          <w:rFonts w:cstheme="minorHAnsi"/>
        </w:rPr>
      </w:pPr>
    </w:p>
    <w:p w14:paraId="1F26A45B" w14:textId="77777777" w:rsidR="00924E25" w:rsidRPr="003F264A" w:rsidRDefault="00924E25" w:rsidP="00924E25">
      <w:pPr>
        <w:pStyle w:val="ListParagraph"/>
        <w:rPr>
          <w:rFonts w:cstheme="minorHAnsi"/>
        </w:rPr>
      </w:pPr>
      <w:r w:rsidRPr="003F264A">
        <w:rPr>
          <w:rFonts w:cstheme="minorHAnsi"/>
        </w:rPr>
        <w:t xml:space="preserve">Initial set-up costs (Initial Year activities) were assumed to occur once in the first year a regulated entity is required to report to WGEA (Option 1 business-as-usual) and/or first year of Option adoption (i.e. Option 2 and Option 3). The initial setup costs include initial onboarding or reporting activities for example getting internal human resources and payroll systems ready to comply with changes in reporting requirements. </w:t>
      </w:r>
    </w:p>
    <w:p w14:paraId="287BEC7C" w14:textId="77777777" w:rsidR="00924E25" w:rsidRPr="003F264A" w:rsidRDefault="00924E25" w:rsidP="00924E25">
      <w:pPr>
        <w:pStyle w:val="ListParagraph"/>
        <w:rPr>
          <w:rFonts w:cstheme="minorHAnsi"/>
        </w:rPr>
      </w:pPr>
    </w:p>
    <w:p w14:paraId="352C1814" w14:textId="77777777" w:rsidR="00924E25" w:rsidRPr="003F264A" w:rsidRDefault="00924E25" w:rsidP="00924E25">
      <w:pPr>
        <w:pStyle w:val="ListParagraph"/>
        <w:rPr>
          <w:rFonts w:cstheme="minorHAnsi"/>
        </w:rPr>
      </w:pPr>
      <w:r w:rsidRPr="003F264A">
        <w:rPr>
          <w:rFonts w:cstheme="minorHAnsi"/>
        </w:rPr>
        <w:t xml:space="preserve">Ongoing costs (Post-Initial Year ongoing activities) include ongoing reporting/ monitoring/ maintenance obligation for each regulated entities.  Ongoing costs maintained constant prices and were not inflated to take account of inflation over the default 10-year duration of regulation calculated (per the </w:t>
      </w:r>
      <w:hyperlink r:id="rId34" w:history="1">
        <w:r w:rsidRPr="003F264A">
          <w:rPr>
            <w:rStyle w:val="Hyperlink"/>
            <w:rFonts w:eastAsia="Times" w:cstheme="minorHAnsi"/>
            <w:lang w:eastAsia="en-AU"/>
          </w:rPr>
          <w:t>Regulatory Burden Measurement Framework</w:t>
        </w:r>
      </w:hyperlink>
      <w:r w:rsidRPr="003F264A">
        <w:rPr>
          <w:rFonts w:cstheme="minorHAnsi"/>
        </w:rPr>
        <w:t xml:space="preserve">). </w:t>
      </w:r>
    </w:p>
    <w:p w14:paraId="77A49898" w14:textId="77777777" w:rsidR="00924E25" w:rsidRPr="003F264A" w:rsidRDefault="00924E25" w:rsidP="00924E25">
      <w:pPr>
        <w:pStyle w:val="ListParagraph"/>
        <w:rPr>
          <w:rFonts w:cstheme="minorHAnsi"/>
        </w:rPr>
      </w:pPr>
    </w:p>
    <w:p w14:paraId="007EFD8D" w14:textId="77777777" w:rsidR="00924E25" w:rsidRPr="003F264A" w:rsidRDefault="00924E25" w:rsidP="003D0C74">
      <w:pPr>
        <w:pStyle w:val="ListParagraph"/>
        <w:numPr>
          <w:ilvl w:val="0"/>
          <w:numId w:val="44"/>
        </w:numPr>
        <w:tabs>
          <w:tab w:val="num" w:pos="360"/>
        </w:tabs>
        <w:rPr>
          <w:rFonts w:cstheme="minorHAnsi"/>
          <w:b/>
        </w:rPr>
      </w:pPr>
      <w:r w:rsidRPr="003F264A">
        <w:rPr>
          <w:rFonts w:cstheme="minorHAnsi"/>
          <w:b/>
        </w:rPr>
        <w:t xml:space="preserve">Annual number of regulated entities: </w:t>
      </w:r>
      <w:r w:rsidRPr="003F264A">
        <w:rPr>
          <w:rFonts w:cstheme="minorHAnsi"/>
        </w:rPr>
        <w:t>The estimated number of regulated entities over the default 10-year duration calculated are projected based on the number of “submission groups” reporting to the WGEA for 2021–22 reporting period as of 17 October 2020. Under the existing reporting arrangements, entities or organisations report their data to WGEA based on submission groups noting that 60 per cent of submission group contains a single entity (i.e. one employing ABN) and the remaining 40 per cent are corporate submission groups with more than one employing ABN.</w:t>
      </w:r>
    </w:p>
    <w:p w14:paraId="22D1C74B" w14:textId="77777777" w:rsidR="00924E25" w:rsidRPr="003F264A" w:rsidRDefault="00924E25" w:rsidP="00924E25">
      <w:pPr>
        <w:pStyle w:val="ListParagraph"/>
        <w:rPr>
          <w:rFonts w:cstheme="minorHAnsi"/>
          <w:b/>
        </w:rPr>
      </w:pPr>
    </w:p>
    <w:p w14:paraId="64D73D25" w14:textId="77777777" w:rsidR="00924E25" w:rsidRDefault="00924E25" w:rsidP="00924E25">
      <w:pPr>
        <w:pStyle w:val="ListParagraph"/>
        <w:rPr>
          <w:rFonts w:cstheme="minorHAnsi"/>
        </w:rPr>
      </w:pPr>
      <w:r w:rsidRPr="003F264A">
        <w:rPr>
          <w:rFonts w:cstheme="minorHAnsi"/>
        </w:rPr>
        <w:t>We separate the regulated entities into two groups of organisations – businesses and community organisations. We then separate each group into two different size based on the number of employees – large employers (those with 500 or more employees) and medium-sized employers (those with 100 to 499 employees). Further, we assume that all new large employers transition from an existing medium-sized employers.</w:t>
      </w:r>
    </w:p>
    <w:p w14:paraId="3051A2ED" w14:textId="77777777" w:rsidR="00B01A9F" w:rsidRDefault="00B01A9F" w:rsidP="00924E25">
      <w:pPr>
        <w:pStyle w:val="ListParagraph"/>
        <w:rPr>
          <w:rFonts w:cstheme="minorHAnsi"/>
        </w:rPr>
      </w:pPr>
    </w:p>
    <w:p w14:paraId="46E41E3C" w14:textId="77777777" w:rsidR="00B01A9F" w:rsidRPr="00B01A9F" w:rsidRDefault="00B01A9F" w:rsidP="00B01A9F">
      <w:pPr>
        <w:pStyle w:val="ListParagraph"/>
        <w:rPr>
          <w:rFonts w:cstheme="minorHAnsi"/>
        </w:rPr>
      </w:pPr>
      <w:r w:rsidRPr="00B01A9F">
        <w:rPr>
          <w:rFonts w:cstheme="minorHAnsi"/>
        </w:rPr>
        <w:t xml:space="preserve">In Year 0 (i.e. prior to </w:t>
      </w:r>
      <w:r>
        <w:rPr>
          <w:rFonts w:cstheme="minorHAnsi"/>
        </w:rPr>
        <w:t>any legislative</w:t>
      </w:r>
      <w:r w:rsidRPr="00B01A9F">
        <w:rPr>
          <w:rFonts w:cstheme="minorHAnsi"/>
        </w:rPr>
        <w:t xml:space="preserve"> changes), </w:t>
      </w:r>
      <w:r>
        <w:rPr>
          <w:rFonts w:cstheme="minorHAnsi"/>
        </w:rPr>
        <w:t>it is assumed that there</w:t>
      </w:r>
      <w:r w:rsidRPr="00B01A9F">
        <w:rPr>
          <w:rFonts w:cstheme="minorHAnsi"/>
        </w:rPr>
        <w:t xml:space="preserve"> are:</w:t>
      </w:r>
    </w:p>
    <w:p w14:paraId="3868D038" w14:textId="77777777" w:rsidR="00B01A9F" w:rsidRDefault="00B01A9F" w:rsidP="003D0C74">
      <w:pPr>
        <w:pStyle w:val="ListParagraph"/>
        <w:numPr>
          <w:ilvl w:val="0"/>
          <w:numId w:val="47"/>
        </w:numPr>
        <w:rPr>
          <w:rFonts w:cstheme="minorHAnsi"/>
        </w:rPr>
      </w:pPr>
      <w:r w:rsidRPr="00B01A9F">
        <w:rPr>
          <w:rFonts w:cstheme="minorHAnsi"/>
        </w:rPr>
        <w:t>2,617 medium businesses in scope</w:t>
      </w:r>
    </w:p>
    <w:p w14:paraId="2808C7D1" w14:textId="77777777" w:rsidR="00B01A9F" w:rsidRDefault="00B01A9F" w:rsidP="003D0C74">
      <w:pPr>
        <w:pStyle w:val="ListParagraph"/>
        <w:numPr>
          <w:ilvl w:val="0"/>
          <w:numId w:val="47"/>
        </w:numPr>
        <w:rPr>
          <w:rFonts w:cstheme="minorHAnsi"/>
        </w:rPr>
      </w:pPr>
      <w:r w:rsidRPr="001023CA">
        <w:rPr>
          <w:rFonts w:cstheme="minorHAnsi"/>
        </w:rPr>
        <w:t>1,238 large business in scope</w:t>
      </w:r>
    </w:p>
    <w:p w14:paraId="73E65DBC" w14:textId="77777777" w:rsidR="00B01A9F" w:rsidRDefault="00B01A9F" w:rsidP="003D0C74">
      <w:pPr>
        <w:pStyle w:val="ListParagraph"/>
        <w:numPr>
          <w:ilvl w:val="0"/>
          <w:numId w:val="47"/>
        </w:numPr>
        <w:rPr>
          <w:rFonts w:cstheme="minorHAnsi"/>
        </w:rPr>
      </w:pPr>
      <w:r w:rsidRPr="001023CA">
        <w:rPr>
          <w:rFonts w:cstheme="minorHAnsi"/>
        </w:rPr>
        <w:t>1,012 medium community organisations in scope</w:t>
      </w:r>
    </w:p>
    <w:p w14:paraId="67A6FA11" w14:textId="77777777" w:rsidR="00B01A9F" w:rsidRPr="001023CA" w:rsidRDefault="00B01A9F" w:rsidP="003D0C74">
      <w:pPr>
        <w:pStyle w:val="ListParagraph"/>
        <w:numPr>
          <w:ilvl w:val="0"/>
          <w:numId w:val="47"/>
        </w:numPr>
        <w:rPr>
          <w:rFonts w:cstheme="minorHAnsi"/>
        </w:rPr>
      </w:pPr>
      <w:r w:rsidRPr="001023CA">
        <w:rPr>
          <w:rFonts w:cstheme="minorHAnsi"/>
        </w:rPr>
        <w:t>399 large community organisations in scope</w:t>
      </w:r>
    </w:p>
    <w:p w14:paraId="0BD45949" w14:textId="77777777" w:rsidR="00924E25" w:rsidRPr="003F264A" w:rsidRDefault="00924E25" w:rsidP="00924E25">
      <w:pPr>
        <w:pStyle w:val="ListParagraph"/>
        <w:rPr>
          <w:rFonts w:cstheme="minorHAnsi"/>
        </w:rPr>
      </w:pPr>
    </w:p>
    <w:p w14:paraId="6C7209B4" w14:textId="77777777" w:rsidR="00924E25" w:rsidRPr="003F264A" w:rsidRDefault="00924E25" w:rsidP="00924E25">
      <w:pPr>
        <w:pStyle w:val="ListParagraph"/>
        <w:rPr>
          <w:rFonts w:cstheme="minorHAnsi"/>
        </w:rPr>
      </w:pPr>
      <w:r w:rsidRPr="003F264A">
        <w:rPr>
          <w:rFonts w:cstheme="minorHAnsi"/>
        </w:rPr>
        <w:t xml:space="preserve">We assume the number of regulated entities will grow each year – over the default 10-year duration – based on the average annual growth rate of </w:t>
      </w:r>
      <w:r w:rsidRPr="003F264A">
        <w:rPr>
          <w:rFonts w:cstheme="minorHAnsi"/>
          <w:b/>
        </w:rPr>
        <w:t>2.84 per cent</w:t>
      </w:r>
      <w:r w:rsidRPr="003F264A">
        <w:rPr>
          <w:rFonts w:cstheme="minorHAnsi"/>
        </w:rPr>
        <w:t xml:space="preserve"> for businesses and </w:t>
      </w:r>
      <w:r w:rsidRPr="003F264A">
        <w:rPr>
          <w:rFonts w:cstheme="minorHAnsi"/>
          <w:b/>
        </w:rPr>
        <w:t>1.73 per cent</w:t>
      </w:r>
      <w:r w:rsidRPr="003F264A">
        <w:rPr>
          <w:rFonts w:cstheme="minorHAnsi"/>
        </w:rPr>
        <w:t xml:space="preserve"> for community organisations. </w:t>
      </w:r>
      <w:r w:rsidR="00901BC1">
        <w:t>The average annual growth rate for businesses is calculated based on the data from Australian Bureau of Statistics (Count of Australian Businesses) between 2016-17 and 2021-22; while the average annual growth rate of community organisations is calculated based on the number of registered charities from Australian Charities and Not-for-Profits Commission (ACNC) unpublished data between July 2017 and July 2022</w:t>
      </w:r>
      <w:r w:rsidRPr="003F264A">
        <w:rPr>
          <w:rFonts w:cstheme="minorHAnsi"/>
        </w:rPr>
        <w:t>.</w:t>
      </w:r>
      <w:r w:rsidRPr="003F264A">
        <w:rPr>
          <w:rStyle w:val="FootnoteReference"/>
          <w:rFonts w:cstheme="minorHAnsi"/>
        </w:rPr>
        <w:footnoteReference w:id="165"/>
      </w:r>
      <w:r w:rsidRPr="003F264A">
        <w:rPr>
          <w:rFonts w:cstheme="minorHAnsi"/>
        </w:rPr>
        <w:t xml:space="preserve"> </w:t>
      </w:r>
    </w:p>
    <w:p w14:paraId="6DEB2377" w14:textId="77777777" w:rsidR="00924E25" w:rsidRPr="003F264A" w:rsidRDefault="00924E25" w:rsidP="00924E25">
      <w:pPr>
        <w:pStyle w:val="ListParagraph"/>
        <w:rPr>
          <w:rFonts w:cstheme="minorHAnsi"/>
          <w:b/>
        </w:rPr>
      </w:pPr>
      <w:r w:rsidRPr="003F264A">
        <w:rPr>
          <w:rFonts w:cstheme="minorHAnsi"/>
        </w:rPr>
        <w:t xml:space="preserve"> </w:t>
      </w:r>
    </w:p>
    <w:p w14:paraId="70BC8DC7" w14:textId="77777777" w:rsidR="00924E25" w:rsidRPr="003F264A" w:rsidRDefault="00924E25" w:rsidP="003D0C74">
      <w:pPr>
        <w:pStyle w:val="ListParagraph"/>
        <w:numPr>
          <w:ilvl w:val="0"/>
          <w:numId w:val="44"/>
        </w:numPr>
        <w:tabs>
          <w:tab w:val="num" w:pos="360"/>
        </w:tabs>
        <w:rPr>
          <w:rFonts w:cstheme="minorHAnsi"/>
          <w:b/>
        </w:rPr>
      </w:pPr>
      <w:r w:rsidRPr="003F264A">
        <w:rPr>
          <w:rFonts w:cstheme="minorHAnsi"/>
          <w:b/>
        </w:rPr>
        <w:t xml:space="preserve">Resource efforts: </w:t>
      </w:r>
      <w:r w:rsidRPr="003F264A">
        <w:rPr>
          <w:rFonts w:cstheme="minorHAnsi"/>
        </w:rPr>
        <w:t xml:space="preserve">These were estimated time-taken to comply with the regulatory activities prescribed per individual regulated entity (within the business sector or community organisation) for each considered Option. </w:t>
      </w:r>
      <w:r w:rsidR="00D90250">
        <w:rPr>
          <w:rFonts w:cstheme="minorHAnsi"/>
        </w:rPr>
        <w:t>This analysis was informed by OF</w:t>
      </w:r>
      <w:r w:rsidRPr="003F264A">
        <w:rPr>
          <w:rFonts w:cstheme="minorHAnsi"/>
        </w:rPr>
        <w:t xml:space="preserve">W’s current understanding – in close consultation with WGEA – of the potential future regulatory activities under each Option, as detailed in the WGEA Review (and where activities were considered within the scope of the </w:t>
      </w:r>
      <w:hyperlink r:id="rId35" w:history="1">
        <w:r w:rsidRPr="003F264A">
          <w:rPr>
            <w:rStyle w:val="Hyperlink"/>
            <w:rFonts w:eastAsia="Times" w:cstheme="minorHAnsi"/>
            <w:lang w:eastAsia="en-AU"/>
          </w:rPr>
          <w:t>Regulatory Burden Measurement Framework</w:t>
        </w:r>
      </w:hyperlink>
      <w:r w:rsidRPr="003F264A">
        <w:rPr>
          <w:rFonts w:cstheme="minorHAnsi"/>
        </w:rPr>
        <w:t>).</w:t>
      </w:r>
    </w:p>
    <w:p w14:paraId="0C980DBF" w14:textId="77777777" w:rsidR="00924E25" w:rsidRPr="003F264A" w:rsidRDefault="00924E25" w:rsidP="00924E25">
      <w:pPr>
        <w:pStyle w:val="ListParagraph"/>
        <w:rPr>
          <w:rFonts w:cstheme="minorHAnsi"/>
          <w:b/>
        </w:rPr>
      </w:pPr>
    </w:p>
    <w:p w14:paraId="40541501" w14:textId="77777777" w:rsidR="00924E25" w:rsidRPr="003F264A" w:rsidRDefault="00924E25" w:rsidP="00924E25">
      <w:pPr>
        <w:pStyle w:val="ListParagraph"/>
        <w:rPr>
          <w:rFonts w:cstheme="minorHAnsi"/>
        </w:rPr>
      </w:pPr>
      <w:r w:rsidRPr="003F264A">
        <w:rPr>
          <w:rFonts w:cstheme="minorHAnsi"/>
        </w:rPr>
        <w:t xml:space="preserve">In calculating resource effort, due to a large spectrum of users, industry sectors and organisational types, the estimated resource efforts are the average hours it would take across all regulated entities to comply with the reporting requirements. We assume the resource efforts are similar between business and community organisations. However, the resource efforts are estimated to be different between a large employer and a medium-sized employer. </w:t>
      </w:r>
    </w:p>
    <w:p w14:paraId="74B69F2D" w14:textId="77777777" w:rsidR="00924E25" w:rsidRPr="003F264A" w:rsidRDefault="00924E25" w:rsidP="00924E25">
      <w:pPr>
        <w:pStyle w:val="ListParagraph"/>
        <w:rPr>
          <w:rFonts w:cstheme="minorHAnsi"/>
        </w:rPr>
      </w:pPr>
    </w:p>
    <w:p w14:paraId="1D057D0F" w14:textId="77777777" w:rsidR="00924E25" w:rsidRPr="003F264A" w:rsidRDefault="00924E25" w:rsidP="00924E25">
      <w:pPr>
        <w:pStyle w:val="ListParagraph"/>
        <w:rPr>
          <w:rFonts w:cstheme="minorHAnsi"/>
          <w:b/>
        </w:rPr>
      </w:pPr>
      <w:r w:rsidRPr="003F264A">
        <w:rPr>
          <w:rFonts w:cstheme="minorHAnsi"/>
        </w:rPr>
        <w:t>We estimate that the resource efforts in the Initial Year of regulatory activities for each considered Option are larger than the regulatory activities for subsequent years (i.e. Post-Initial year). We also assume the ongoing resource efforts Post-Initial year are identical every year for the 10-year regulatory period.</w:t>
      </w:r>
    </w:p>
    <w:p w14:paraId="769B57BA" w14:textId="77777777" w:rsidR="00924E25" w:rsidRPr="003F264A" w:rsidRDefault="00924E25" w:rsidP="00924E25">
      <w:pPr>
        <w:pStyle w:val="ListParagraph"/>
        <w:rPr>
          <w:rFonts w:cstheme="minorHAnsi"/>
          <w:b/>
        </w:rPr>
      </w:pPr>
    </w:p>
    <w:p w14:paraId="40816C03" w14:textId="77777777" w:rsidR="00924E25" w:rsidRPr="003F264A" w:rsidRDefault="00924E25" w:rsidP="003D0C74">
      <w:pPr>
        <w:pStyle w:val="ListParagraph"/>
        <w:numPr>
          <w:ilvl w:val="0"/>
          <w:numId w:val="44"/>
        </w:numPr>
        <w:tabs>
          <w:tab w:val="num" w:pos="360"/>
        </w:tabs>
        <w:spacing w:after="0" w:line="240" w:lineRule="auto"/>
        <w:rPr>
          <w:rFonts w:cstheme="minorHAnsi"/>
          <w:b/>
        </w:rPr>
      </w:pPr>
      <w:r w:rsidRPr="003F264A">
        <w:rPr>
          <w:rFonts w:cstheme="minorHAnsi"/>
          <w:b/>
        </w:rPr>
        <w:t xml:space="preserve">Labour rates: </w:t>
      </w:r>
      <w:r w:rsidRPr="003F264A">
        <w:rPr>
          <w:rFonts w:eastAsia="Times" w:cstheme="minorHAnsi"/>
          <w:lang w:eastAsia="en-AU"/>
        </w:rPr>
        <w:t xml:space="preserve">In accordance with Australian Government guidance, the default hourly labour rate contained within the Regulatory Burden Measurement Framework was used. This was based on average weekly earnings, adjusted to include income tax. This provided an economy-wide value for employees of $45.50 per hour. This value was then scaled up using a multiplier of 1.75 (or 75 per cent as it is input into the Regulatory Burden Measure) to account for the non-wage labour on-costs (for example, payroll tax and superannuation) and overhead costs (for example, rent, telephone, electricity and information technology equipment expenses). This resulted in a scaled-up rate of </w:t>
      </w:r>
      <w:r w:rsidRPr="003F264A">
        <w:rPr>
          <w:rFonts w:eastAsia="Times" w:cstheme="minorHAnsi"/>
          <w:b/>
          <w:lang w:eastAsia="en-AU"/>
        </w:rPr>
        <w:t>$79.63 per hour</w:t>
      </w:r>
      <w:r w:rsidRPr="003F264A">
        <w:rPr>
          <w:rFonts w:eastAsia="Times" w:cstheme="minorHAnsi"/>
          <w:lang w:eastAsia="en-AU"/>
        </w:rPr>
        <w:t xml:space="preserve"> ($45.50 multiplied by 1.75). Australian Government guidance is that this default rate be used in cases where regulation cuts across a number of sectors, as is the case for WGEA’s reporting requirements. Note - The rates are in accordance to the published rate outlined in the </w:t>
      </w:r>
      <w:hyperlink r:id="rId36" w:history="1">
        <w:r w:rsidRPr="003F264A">
          <w:rPr>
            <w:rStyle w:val="Hyperlink"/>
            <w:rFonts w:eastAsia="Times" w:cstheme="minorHAnsi"/>
            <w:lang w:eastAsia="en-AU"/>
          </w:rPr>
          <w:t>Regulatory Burden Measurement Framework</w:t>
        </w:r>
      </w:hyperlink>
      <w:r w:rsidRPr="003F264A">
        <w:rPr>
          <w:rFonts w:eastAsia="Times" w:cstheme="minorHAnsi"/>
          <w:lang w:eastAsia="en-AU"/>
        </w:rPr>
        <w:t xml:space="preserve"> (i.e. </w:t>
      </w:r>
      <w:r w:rsidRPr="003F264A">
        <w:rPr>
          <w:rFonts w:eastAsia="Times" w:cstheme="minorHAnsi"/>
          <w:i/>
          <w:lang w:eastAsia="en-AU"/>
        </w:rPr>
        <w:t>Appendix 2: Default Work-related and non-work-related labour rates updated on 28 June 2022</w:t>
      </w:r>
      <w:r w:rsidRPr="003F264A">
        <w:rPr>
          <w:rFonts w:eastAsia="Times" w:cstheme="minorHAnsi"/>
          <w:lang w:eastAsia="en-AU"/>
        </w:rPr>
        <w:t>) accessed on 19 October 2022.</w:t>
      </w:r>
    </w:p>
    <w:p w14:paraId="7778F2CF" w14:textId="77777777" w:rsidR="003D0C74" w:rsidRDefault="003D0C74">
      <w:pPr>
        <w:rPr>
          <w:rStyle w:val="Heading1Char"/>
          <w:rFonts w:asciiTheme="minorHAnsi" w:eastAsiaTheme="minorHAnsi" w:hAnsiTheme="minorHAnsi" w:cstheme="minorHAnsi"/>
          <w:color w:val="auto"/>
          <w:sz w:val="22"/>
          <w:szCs w:val="22"/>
        </w:rPr>
        <w:sectPr w:rsidR="003D0C74" w:rsidSect="003D0C74">
          <w:pgSz w:w="11906" w:h="16838"/>
          <w:pgMar w:top="1440" w:right="1440" w:bottom="1440" w:left="1440" w:header="709" w:footer="709" w:gutter="0"/>
          <w:cols w:space="708"/>
          <w:docGrid w:linePitch="360"/>
        </w:sectPr>
      </w:pPr>
    </w:p>
    <w:p w14:paraId="4F0C81F4" w14:textId="32AFD3AA" w:rsidR="00FD20BC" w:rsidRPr="00FD20BC" w:rsidRDefault="00FD20BC" w:rsidP="00CA51F5">
      <w:pPr>
        <w:pStyle w:val="Heading1"/>
        <w:rPr>
          <w:rFonts w:eastAsia="Meiryo" w:cstheme="minorHAnsi"/>
          <w:color w:val="000000" w:themeColor="text1"/>
          <w:sz w:val="24"/>
          <w:szCs w:val="24"/>
          <w:lang w:eastAsia="en-GB"/>
        </w:rPr>
      </w:pPr>
      <w:bookmarkStart w:id="154" w:name="_Toc125714754"/>
      <w:r w:rsidRPr="00CA51F5">
        <w:rPr>
          <w:rStyle w:val="Heading1Char"/>
          <w:rFonts w:asciiTheme="minorHAnsi" w:hAnsiTheme="minorHAnsi" w:cstheme="minorHAnsi"/>
        </w:rPr>
        <w:t>Appendix</w:t>
      </w:r>
      <w:r w:rsidRPr="00FD20BC">
        <w:rPr>
          <w:rFonts w:cstheme="minorHAnsi"/>
          <w:lang w:eastAsia="en-GB"/>
        </w:rPr>
        <w:t xml:space="preserve"> F – Summary of Feedback</w:t>
      </w:r>
      <w:bookmarkEnd w:id="154"/>
    </w:p>
    <w:p w14:paraId="2DE23C77" w14:textId="77777777" w:rsidR="00FD20BC" w:rsidRPr="00FD20BC" w:rsidRDefault="00FD20BC" w:rsidP="00FD20BC">
      <w:pPr>
        <w:rPr>
          <w:b/>
        </w:rPr>
      </w:pPr>
      <w:r w:rsidRPr="00FD20BC">
        <w:rPr>
          <w:b/>
        </w:rPr>
        <w:t xml:space="preserve">PART ONE: </w:t>
      </w:r>
    </w:p>
    <w:p w14:paraId="5B367E5D" w14:textId="77777777" w:rsidR="00FD20BC" w:rsidRPr="00FD20BC" w:rsidRDefault="00FD20BC" w:rsidP="00FD20BC">
      <w:pPr>
        <w:rPr>
          <w:b/>
        </w:rPr>
      </w:pPr>
      <w:r w:rsidRPr="00FD20BC">
        <w:rPr>
          <w:b/>
        </w:rPr>
        <w:t>Recommendation Two – Publish Organisation Gender Pay Gaps to Accelerate Action to Close Them.</w:t>
      </w:r>
    </w:p>
    <w:tbl>
      <w:tblPr>
        <w:tblStyle w:val="GridTable5Dark-Accent1"/>
        <w:tblW w:w="5000" w:type="pct"/>
        <w:tblLayout w:type="fixed"/>
        <w:tblLook w:val="04A0" w:firstRow="1" w:lastRow="0" w:firstColumn="1" w:lastColumn="0" w:noHBand="0" w:noVBand="1"/>
      </w:tblPr>
      <w:tblGrid>
        <w:gridCol w:w="703"/>
        <w:gridCol w:w="4254"/>
        <w:gridCol w:w="8991"/>
      </w:tblGrid>
      <w:tr w:rsidR="00FD20BC" w:rsidRPr="00FD20BC" w14:paraId="42380AA1" w14:textId="77777777" w:rsidTr="00FD20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 w:type="pct"/>
          </w:tcPr>
          <w:p w14:paraId="549AAD85" w14:textId="77777777" w:rsidR="00FD20BC" w:rsidRPr="00FD20BC" w:rsidRDefault="00FD20BC" w:rsidP="00FD20BC">
            <w:pPr>
              <w:spacing w:after="200" w:line="276" w:lineRule="auto"/>
              <w:ind w:right="874"/>
              <w:rPr>
                <w:rFonts w:ascii="Calibri" w:eastAsia="Calibri" w:hAnsi="Calibri"/>
                <w:lang w:val="en-US" w:bidi="en-US"/>
              </w:rPr>
            </w:pPr>
          </w:p>
        </w:tc>
        <w:tc>
          <w:tcPr>
            <w:tcW w:w="1525" w:type="pct"/>
          </w:tcPr>
          <w:p w14:paraId="4CFFAB32" w14:textId="77777777" w:rsidR="00FD20BC" w:rsidRPr="00FD20BC" w:rsidRDefault="00FD20BC" w:rsidP="00FD20BC">
            <w:pPr>
              <w:spacing w:after="200" w:line="276" w:lineRule="auto"/>
              <w:ind w:right="874"/>
              <w:cnfStyle w:val="100000000000" w:firstRow="1" w:lastRow="0" w:firstColumn="0" w:lastColumn="0" w:oddVBand="0" w:evenVBand="0" w:oddHBand="0"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Question</w:t>
            </w:r>
          </w:p>
        </w:tc>
        <w:tc>
          <w:tcPr>
            <w:tcW w:w="3223" w:type="pct"/>
          </w:tcPr>
          <w:p w14:paraId="07577BE1" w14:textId="77777777" w:rsidR="00FD20BC" w:rsidRPr="00FD20BC" w:rsidRDefault="00FD20BC" w:rsidP="00FD20BC">
            <w:pPr>
              <w:spacing w:after="200" w:line="276" w:lineRule="auto"/>
              <w:ind w:right="874"/>
              <w:cnfStyle w:val="100000000000" w:firstRow="1" w:lastRow="0" w:firstColumn="0" w:lastColumn="0" w:oddVBand="0" w:evenVBand="0" w:oddHBand="0"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Summary of Response</w:t>
            </w:r>
          </w:p>
        </w:tc>
      </w:tr>
      <w:tr w:rsidR="00FD20BC" w:rsidRPr="00FD20BC" w14:paraId="2D9D77B2" w14:textId="77777777" w:rsidTr="00FD20BC">
        <w:trPr>
          <w:cnfStyle w:val="000000100000" w:firstRow="0" w:lastRow="0" w:firstColumn="0" w:lastColumn="0" w:oddVBand="0" w:evenVBand="0" w:oddHBand="1" w:evenHBand="0" w:firstRowFirstColumn="0" w:firstRowLastColumn="0" w:lastRowFirstColumn="0" w:lastRowLastColumn="0"/>
          <w:trHeight w:val="3454"/>
        </w:trPr>
        <w:tc>
          <w:tcPr>
            <w:cnfStyle w:val="001000000000" w:firstRow="0" w:lastRow="0" w:firstColumn="1" w:lastColumn="0" w:oddVBand="0" w:evenVBand="0" w:oddHBand="0" w:evenHBand="0" w:firstRowFirstColumn="0" w:firstRowLastColumn="0" w:lastRowFirstColumn="0" w:lastRowLastColumn="0"/>
            <w:tcW w:w="252" w:type="pct"/>
          </w:tcPr>
          <w:p w14:paraId="7AFC9C8C" w14:textId="77777777" w:rsidR="00FD20BC" w:rsidRPr="00FD20BC" w:rsidRDefault="00FD20BC" w:rsidP="00FD20BC">
            <w:pPr>
              <w:spacing w:after="200" w:line="276" w:lineRule="auto"/>
              <w:ind w:left="243" w:right="512"/>
              <w:rPr>
                <w:rFonts w:ascii="Calibri" w:eastAsia="Calibri" w:hAnsi="Calibri"/>
                <w:szCs w:val="28"/>
                <w:lang w:val="en-US" w:bidi="en-US"/>
              </w:rPr>
            </w:pPr>
            <w:r w:rsidRPr="00FD20BC">
              <w:rPr>
                <w:rFonts w:ascii="Calibri" w:eastAsia="Calibri" w:hAnsi="Calibri"/>
                <w:szCs w:val="28"/>
                <w:lang w:val="en-US" w:bidi="en-US"/>
              </w:rPr>
              <w:t>1</w:t>
            </w:r>
          </w:p>
        </w:tc>
        <w:tc>
          <w:tcPr>
            <w:tcW w:w="1525" w:type="pct"/>
          </w:tcPr>
          <w:p w14:paraId="480EB3CD" w14:textId="77777777" w:rsidR="00FD20BC" w:rsidRPr="00FD20BC" w:rsidRDefault="00FD20BC" w:rsidP="00FD20BC">
            <w:pPr>
              <w:spacing w:after="200" w:line="276" w:lineRule="auto"/>
              <w:ind w:left="243" w:right="512"/>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bCs/>
                <w:szCs w:val="28"/>
                <w:lang w:val="en-US" w:bidi="en-US"/>
              </w:rPr>
              <w:t>WGEA will publish employer level gender pay gaps in quartiles. Do you have any comments on presenting gender pay gap data in quartiles?</w:t>
            </w:r>
          </w:p>
        </w:tc>
        <w:tc>
          <w:tcPr>
            <w:tcW w:w="3223" w:type="pct"/>
          </w:tcPr>
          <w:p w14:paraId="77148C92" w14:textId="77777777" w:rsidR="00FD20BC" w:rsidRPr="00FD20BC" w:rsidRDefault="00FD20BC" w:rsidP="00FD20BC">
            <w:pPr>
              <w:spacing w:after="200" w:line="276" w:lineRule="auto"/>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 xml:space="preserve">Comments revealed that there was confusion as to the definition of ‘quartiles’. Employers were concerned that this would increase their reporting burden and might have to report quarterly. There also was confusion between the gender pay gap and equal pay. Some employers were concerned that the inclusion of CEO salary would skew the data. </w:t>
            </w:r>
          </w:p>
          <w:p w14:paraId="6A61B9B8" w14:textId="77777777" w:rsidR="00FD20BC" w:rsidRPr="00FD20BC" w:rsidRDefault="00FD20BC" w:rsidP="00FD20BC">
            <w:pPr>
              <w:spacing w:after="200" w:line="276" w:lineRule="auto"/>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 xml:space="preserve">There were a number of comments from companies worried that organisational pay gaps would present ‘misleading’ results, especially from employers from male dominated industries who raised concerns about workforce participation. </w:t>
            </w:r>
          </w:p>
          <w:p w14:paraId="421EAB46" w14:textId="77777777" w:rsidR="00FD20BC" w:rsidRPr="00FD20BC" w:rsidRDefault="00FD20BC" w:rsidP="00FD20BC">
            <w:pPr>
              <w:spacing w:after="200" w:line="276" w:lineRule="auto"/>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 xml:space="preserve">A number of employers stated that the data would be more helpful if a ‘like for like’ comparison was able to be done as to specific job roles. </w:t>
            </w:r>
          </w:p>
        </w:tc>
      </w:tr>
      <w:tr w:rsidR="00FD20BC" w:rsidRPr="00FD20BC" w14:paraId="19879C0B" w14:textId="77777777" w:rsidTr="00FD20BC">
        <w:tc>
          <w:tcPr>
            <w:cnfStyle w:val="001000000000" w:firstRow="0" w:lastRow="0" w:firstColumn="1" w:lastColumn="0" w:oddVBand="0" w:evenVBand="0" w:oddHBand="0" w:evenHBand="0" w:firstRowFirstColumn="0" w:firstRowLastColumn="0" w:lastRowFirstColumn="0" w:lastRowLastColumn="0"/>
            <w:tcW w:w="252" w:type="pct"/>
          </w:tcPr>
          <w:p w14:paraId="0D05A449" w14:textId="77777777" w:rsidR="00FD20BC" w:rsidRPr="00FD20BC" w:rsidRDefault="00FD20BC" w:rsidP="00FD20BC">
            <w:pPr>
              <w:spacing w:after="200" w:line="276" w:lineRule="auto"/>
              <w:ind w:left="243" w:right="512"/>
              <w:rPr>
                <w:rFonts w:ascii="Calibri" w:eastAsia="Calibri" w:hAnsi="Calibri"/>
                <w:szCs w:val="28"/>
                <w:lang w:val="en-US" w:bidi="en-US"/>
              </w:rPr>
            </w:pPr>
            <w:r w:rsidRPr="00FD20BC">
              <w:rPr>
                <w:rFonts w:ascii="Calibri" w:eastAsia="Calibri" w:hAnsi="Calibri"/>
                <w:szCs w:val="28"/>
                <w:lang w:val="en-US" w:bidi="en-US"/>
              </w:rPr>
              <w:t>2</w:t>
            </w:r>
          </w:p>
        </w:tc>
        <w:tc>
          <w:tcPr>
            <w:tcW w:w="1525" w:type="pct"/>
          </w:tcPr>
          <w:p w14:paraId="2C7C35F9" w14:textId="77777777" w:rsidR="00FD20BC" w:rsidRPr="00FD20BC" w:rsidRDefault="00FD20BC" w:rsidP="00FD20BC">
            <w:pPr>
              <w:spacing w:after="200" w:line="276" w:lineRule="auto"/>
              <w:ind w:left="243" w:right="512"/>
              <w:cnfStyle w:val="000000000000" w:firstRow="0" w:lastRow="0" w:firstColumn="0" w:lastColumn="0" w:oddVBand="0" w:evenVBand="0" w:oddHBand="0" w:evenHBand="0" w:firstRowFirstColumn="0" w:firstRowLastColumn="0" w:lastRowFirstColumn="0" w:lastRowLastColumn="0"/>
              <w:rPr>
                <w:rFonts w:ascii="Calibri" w:eastAsia="Calibri" w:hAnsi="Calibri"/>
                <w:bCs/>
                <w:szCs w:val="28"/>
                <w:lang w:val="en-US" w:bidi="en-US"/>
              </w:rPr>
            </w:pPr>
            <w:r w:rsidRPr="00FD20BC">
              <w:rPr>
                <w:rFonts w:ascii="Calibri" w:eastAsia="Calibri" w:hAnsi="Calibri"/>
                <w:bCs/>
                <w:szCs w:val="28"/>
                <w:lang w:val="en-US" w:bidi="en-US"/>
              </w:rPr>
              <w:t>Do you have any comments about privacy, noting individual employee remuneration data will not be made public?</w:t>
            </w:r>
          </w:p>
        </w:tc>
        <w:tc>
          <w:tcPr>
            <w:tcW w:w="3223" w:type="pct"/>
          </w:tcPr>
          <w:p w14:paraId="342F66CD" w14:textId="77777777" w:rsidR="00FD20BC" w:rsidRPr="00FD20BC" w:rsidRDefault="00FD20BC" w:rsidP="00FD20BC">
            <w:pPr>
              <w:spacing w:after="200" w:line="276" w:lineRule="auto"/>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Concerns mainly raised regarding smaller companies and the potential ability to identify individuals. In particular concerns about individual salaries being revealed (even if de-identified).</w:t>
            </w:r>
          </w:p>
        </w:tc>
      </w:tr>
      <w:tr w:rsidR="00FD20BC" w:rsidRPr="00FD20BC" w14:paraId="70D61B7D" w14:textId="77777777" w:rsidTr="00FD2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027A161C" w14:textId="77777777" w:rsidR="00FD20BC" w:rsidRPr="00FD20BC" w:rsidRDefault="00FD20BC" w:rsidP="00FD20BC">
            <w:pPr>
              <w:spacing w:after="200" w:line="276" w:lineRule="auto"/>
              <w:ind w:left="243" w:right="512"/>
              <w:rPr>
                <w:rFonts w:ascii="Calibri" w:eastAsia="Calibri" w:hAnsi="Calibri"/>
                <w:szCs w:val="28"/>
                <w:lang w:val="en-US" w:bidi="en-US"/>
              </w:rPr>
            </w:pPr>
            <w:r w:rsidRPr="00FD20BC">
              <w:rPr>
                <w:rFonts w:ascii="Calibri" w:eastAsia="Calibri" w:hAnsi="Calibri"/>
                <w:szCs w:val="28"/>
                <w:lang w:val="en-US" w:bidi="en-US"/>
              </w:rPr>
              <w:t>3</w:t>
            </w:r>
          </w:p>
        </w:tc>
        <w:tc>
          <w:tcPr>
            <w:tcW w:w="1525" w:type="pct"/>
          </w:tcPr>
          <w:p w14:paraId="20AEE7EC" w14:textId="77777777" w:rsidR="00FD20BC" w:rsidRPr="00FD20BC" w:rsidRDefault="00FD20BC" w:rsidP="00FD20BC">
            <w:pPr>
              <w:spacing w:after="200" w:line="276" w:lineRule="auto"/>
              <w:ind w:left="243" w:right="512"/>
              <w:cnfStyle w:val="000000100000" w:firstRow="0" w:lastRow="0" w:firstColumn="0" w:lastColumn="0" w:oddVBand="0" w:evenVBand="0" w:oddHBand="1" w:evenHBand="0" w:firstRowFirstColumn="0" w:firstRowLastColumn="0" w:lastRowFirstColumn="0" w:lastRowLastColumn="0"/>
              <w:rPr>
                <w:rFonts w:ascii="Calibri" w:eastAsia="Calibri" w:hAnsi="Calibri"/>
                <w:bCs/>
                <w:szCs w:val="28"/>
                <w:lang w:val="en-US" w:bidi="en-US"/>
              </w:rPr>
            </w:pPr>
            <w:r w:rsidRPr="00FD20BC">
              <w:rPr>
                <w:rFonts w:ascii="Calibri" w:eastAsia="Calibri" w:hAnsi="Calibri"/>
                <w:bCs/>
                <w:szCs w:val="28"/>
                <w:lang w:val="en-US" w:bidi="en-US"/>
              </w:rPr>
              <w:t>Would you prefer organisation pay gaps to be published as:</w:t>
            </w:r>
          </w:p>
          <w:p w14:paraId="7104019B" w14:textId="77777777" w:rsidR="00FD20BC" w:rsidRPr="00FD20BC" w:rsidRDefault="00FD20BC" w:rsidP="003D0C74">
            <w:pPr>
              <w:numPr>
                <w:ilvl w:val="0"/>
                <w:numId w:val="62"/>
              </w:numPr>
              <w:spacing w:after="200" w:line="276" w:lineRule="auto"/>
              <w:ind w:right="512"/>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bCs/>
                <w:szCs w:val="28"/>
                <w:lang w:val="en-US" w:bidi="en-US"/>
              </w:rPr>
            </w:pPr>
            <w:r w:rsidRPr="00FD20BC">
              <w:rPr>
                <w:rFonts w:ascii="Calibri" w:eastAsia="Calibri" w:hAnsi="Calibri"/>
                <w:bCs/>
                <w:szCs w:val="28"/>
                <w:lang w:val="en-US" w:bidi="en-US"/>
              </w:rPr>
              <w:t>The full time equivalent annual remuneration gender pay gap</w:t>
            </w:r>
          </w:p>
          <w:p w14:paraId="41BE82FB" w14:textId="77777777" w:rsidR="00FD20BC" w:rsidRPr="00FD20BC" w:rsidRDefault="00FD20BC" w:rsidP="003D0C74">
            <w:pPr>
              <w:numPr>
                <w:ilvl w:val="0"/>
                <w:numId w:val="62"/>
              </w:numPr>
              <w:spacing w:after="200" w:line="276" w:lineRule="auto"/>
              <w:ind w:right="512"/>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bCs/>
                <w:szCs w:val="28"/>
                <w:lang w:val="en-US" w:bidi="en-US"/>
              </w:rPr>
            </w:pPr>
            <w:r w:rsidRPr="00FD20BC">
              <w:rPr>
                <w:rFonts w:ascii="Calibri" w:eastAsia="Calibri" w:hAnsi="Calibri"/>
                <w:bCs/>
                <w:szCs w:val="28"/>
                <w:lang w:val="en-US" w:bidi="en-US"/>
              </w:rPr>
              <w:t xml:space="preserve">The hourly remuneration gender pay gap (noting employers would have to report additional data to WGEA to enable this calculation. </w:t>
            </w:r>
          </w:p>
        </w:tc>
        <w:tc>
          <w:tcPr>
            <w:tcW w:w="3223" w:type="pct"/>
          </w:tcPr>
          <w:p w14:paraId="44B3B1C6" w14:textId="77777777" w:rsidR="00FD20BC" w:rsidRPr="00FD20BC" w:rsidRDefault="00FD20BC" w:rsidP="00FD20BC">
            <w:pPr>
              <w:spacing w:after="200" w:line="276" w:lineRule="auto"/>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The majority of stakeholders preferred full time equivalent annual remuneration gender pay gap</w:t>
            </w:r>
          </w:p>
          <w:p w14:paraId="3CB7C38F" w14:textId="77777777" w:rsidR="00FD20BC" w:rsidRPr="00FD20BC" w:rsidRDefault="00FD20BC" w:rsidP="00FD20BC">
            <w:pPr>
              <w:spacing w:after="200" w:line="276" w:lineRule="auto"/>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A small number preferred an hourly remuneration gender pay gap (noting employers would have to report additional data to WGEA to enable this calculation).</w:t>
            </w:r>
          </w:p>
        </w:tc>
      </w:tr>
      <w:tr w:rsidR="00FD20BC" w:rsidRPr="00FD20BC" w14:paraId="4CAE874F" w14:textId="77777777" w:rsidTr="00FD20BC">
        <w:tc>
          <w:tcPr>
            <w:cnfStyle w:val="001000000000" w:firstRow="0" w:lastRow="0" w:firstColumn="1" w:lastColumn="0" w:oddVBand="0" w:evenVBand="0" w:oddHBand="0" w:evenHBand="0" w:firstRowFirstColumn="0" w:firstRowLastColumn="0" w:lastRowFirstColumn="0" w:lastRowLastColumn="0"/>
            <w:tcW w:w="252" w:type="pct"/>
          </w:tcPr>
          <w:p w14:paraId="60E982BE" w14:textId="77777777" w:rsidR="00FD20BC" w:rsidRPr="00FD20BC" w:rsidRDefault="00FD20BC" w:rsidP="00FD20BC">
            <w:pPr>
              <w:spacing w:after="200" w:line="276" w:lineRule="auto"/>
              <w:ind w:left="243" w:right="512"/>
              <w:rPr>
                <w:rFonts w:ascii="Calibri" w:eastAsia="Calibri" w:hAnsi="Calibri"/>
                <w:szCs w:val="28"/>
                <w:lang w:val="en-US" w:bidi="en-US"/>
              </w:rPr>
            </w:pPr>
            <w:r w:rsidRPr="00FD20BC">
              <w:rPr>
                <w:rFonts w:ascii="Calibri" w:eastAsia="Calibri" w:hAnsi="Calibri"/>
                <w:szCs w:val="28"/>
                <w:lang w:val="en-US" w:bidi="en-US"/>
              </w:rPr>
              <w:t>4</w:t>
            </w:r>
          </w:p>
        </w:tc>
        <w:tc>
          <w:tcPr>
            <w:tcW w:w="1525" w:type="pct"/>
          </w:tcPr>
          <w:p w14:paraId="7949A86F" w14:textId="77777777" w:rsidR="00FD20BC" w:rsidRPr="00FD20BC" w:rsidRDefault="00FD20BC" w:rsidP="00FD20BC">
            <w:pPr>
              <w:spacing w:after="200" w:line="276" w:lineRule="auto"/>
              <w:ind w:left="243" w:right="512"/>
              <w:cnfStyle w:val="000000000000" w:firstRow="0" w:lastRow="0" w:firstColumn="0" w:lastColumn="0" w:oddVBand="0" w:evenVBand="0" w:oddHBand="0" w:evenHBand="0" w:firstRowFirstColumn="0" w:firstRowLastColumn="0" w:lastRowFirstColumn="0" w:lastRowLastColumn="0"/>
              <w:rPr>
                <w:rFonts w:ascii="Calibri" w:eastAsia="Calibri" w:hAnsi="Calibri"/>
                <w:bCs/>
                <w:szCs w:val="28"/>
                <w:lang w:val="en-US" w:bidi="en-US"/>
              </w:rPr>
            </w:pPr>
            <w:r w:rsidRPr="00FD20BC">
              <w:rPr>
                <w:rFonts w:ascii="Calibri" w:eastAsia="Calibri" w:hAnsi="Calibri"/>
                <w:bCs/>
                <w:szCs w:val="28"/>
                <w:lang w:val="en-US" w:bidi="en-US"/>
              </w:rPr>
              <w:t>What method of gender pay gap calculation would you find most useful?</w:t>
            </w:r>
          </w:p>
        </w:tc>
        <w:tc>
          <w:tcPr>
            <w:tcW w:w="3223" w:type="pct"/>
          </w:tcPr>
          <w:p w14:paraId="19CF9C5E" w14:textId="77777777" w:rsidR="00FD20BC" w:rsidRPr="00FD20BC" w:rsidRDefault="00FD20BC" w:rsidP="00FD20BC">
            <w:pPr>
              <w:spacing w:after="200" w:line="276" w:lineRule="auto"/>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 xml:space="preserve">Over half of responders indicated that both the mean and median would be useful. </w:t>
            </w:r>
          </w:p>
        </w:tc>
      </w:tr>
      <w:tr w:rsidR="00FD20BC" w:rsidRPr="00FD20BC" w14:paraId="0C5C4169" w14:textId="77777777" w:rsidTr="00FD2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5E89AE46" w14:textId="77777777" w:rsidR="00FD20BC" w:rsidRPr="00FD20BC" w:rsidRDefault="00FD20BC" w:rsidP="00FD20BC">
            <w:pPr>
              <w:spacing w:after="200" w:line="276" w:lineRule="auto"/>
              <w:ind w:left="243" w:right="512"/>
              <w:rPr>
                <w:rFonts w:ascii="Calibri" w:eastAsia="Calibri" w:hAnsi="Calibri"/>
                <w:szCs w:val="28"/>
                <w:lang w:val="en-US" w:bidi="en-US"/>
              </w:rPr>
            </w:pPr>
            <w:r w:rsidRPr="00FD20BC">
              <w:rPr>
                <w:rFonts w:ascii="Calibri" w:eastAsia="Calibri" w:hAnsi="Calibri"/>
                <w:szCs w:val="28"/>
                <w:lang w:val="en-US" w:bidi="en-US"/>
              </w:rPr>
              <w:t>5</w:t>
            </w:r>
          </w:p>
        </w:tc>
        <w:tc>
          <w:tcPr>
            <w:tcW w:w="1525" w:type="pct"/>
          </w:tcPr>
          <w:p w14:paraId="62EFA5B2" w14:textId="77777777" w:rsidR="00FD20BC" w:rsidRPr="00FD20BC" w:rsidRDefault="00FD20BC" w:rsidP="00FD20BC">
            <w:pPr>
              <w:spacing w:after="200" w:line="276" w:lineRule="auto"/>
              <w:ind w:left="243" w:right="512"/>
              <w:cnfStyle w:val="000000100000" w:firstRow="0" w:lastRow="0" w:firstColumn="0" w:lastColumn="0" w:oddVBand="0" w:evenVBand="0" w:oddHBand="1" w:evenHBand="0" w:firstRowFirstColumn="0" w:firstRowLastColumn="0" w:lastRowFirstColumn="0" w:lastRowLastColumn="0"/>
              <w:rPr>
                <w:rFonts w:ascii="Calibri" w:eastAsia="Calibri" w:hAnsi="Calibri"/>
                <w:bCs/>
                <w:szCs w:val="28"/>
                <w:lang w:val="en-US" w:bidi="en-US"/>
              </w:rPr>
            </w:pPr>
            <w:r w:rsidRPr="00FD20BC">
              <w:rPr>
                <w:rFonts w:ascii="Calibri" w:eastAsia="Calibri" w:hAnsi="Calibri"/>
                <w:bCs/>
                <w:szCs w:val="28"/>
                <w:lang w:val="en-US" w:bidi="en-US"/>
              </w:rPr>
              <w:t>Would your organisation welcome the opportunity to provide individual narrative alongside your gender pay gap data?</w:t>
            </w:r>
          </w:p>
        </w:tc>
        <w:tc>
          <w:tcPr>
            <w:tcW w:w="3223" w:type="pct"/>
          </w:tcPr>
          <w:p w14:paraId="1EB47795" w14:textId="77777777" w:rsidR="00FD20BC" w:rsidRPr="00FD20BC" w:rsidRDefault="00FD20BC" w:rsidP="00FD20BC">
            <w:pPr>
              <w:spacing w:after="200" w:line="276" w:lineRule="auto"/>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A strong majority of stakeholders indicated that they would welcome the opportunity to provide individual narrative alongside their organisation’s gender pay gap data.</w:t>
            </w:r>
          </w:p>
        </w:tc>
      </w:tr>
      <w:tr w:rsidR="00FD20BC" w:rsidRPr="00FD20BC" w14:paraId="29A54400" w14:textId="77777777" w:rsidTr="00FD20BC">
        <w:tc>
          <w:tcPr>
            <w:cnfStyle w:val="001000000000" w:firstRow="0" w:lastRow="0" w:firstColumn="1" w:lastColumn="0" w:oddVBand="0" w:evenVBand="0" w:oddHBand="0" w:evenHBand="0" w:firstRowFirstColumn="0" w:firstRowLastColumn="0" w:lastRowFirstColumn="0" w:lastRowLastColumn="0"/>
            <w:tcW w:w="252" w:type="pct"/>
          </w:tcPr>
          <w:p w14:paraId="4A46080D" w14:textId="77777777" w:rsidR="00FD20BC" w:rsidRPr="00FD20BC" w:rsidRDefault="00FD20BC" w:rsidP="00FD20BC">
            <w:pPr>
              <w:spacing w:after="200" w:line="276" w:lineRule="auto"/>
              <w:ind w:left="243" w:right="512"/>
              <w:rPr>
                <w:rFonts w:ascii="Calibri" w:eastAsia="Calibri" w:hAnsi="Calibri"/>
                <w:szCs w:val="28"/>
                <w:lang w:val="en-US" w:bidi="en-US"/>
              </w:rPr>
            </w:pPr>
            <w:r w:rsidRPr="00FD20BC">
              <w:rPr>
                <w:rFonts w:ascii="Calibri" w:eastAsia="Calibri" w:hAnsi="Calibri"/>
                <w:szCs w:val="28"/>
                <w:lang w:val="en-US" w:bidi="en-US"/>
              </w:rPr>
              <w:t>6</w:t>
            </w:r>
          </w:p>
        </w:tc>
        <w:tc>
          <w:tcPr>
            <w:tcW w:w="1525" w:type="pct"/>
          </w:tcPr>
          <w:p w14:paraId="7BAFA952" w14:textId="77777777" w:rsidR="00FD20BC" w:rsidRPr="00FD20BC" w:rsidRDefault="00FD20BC" w:rsidP="00FD20BC">
            <w:pPr>
              <w:spacing w:after="200" w:line="276" w:lineRule="auto"/>
              <w:ind w:left="243" w:right="512"/>
              <w:cnfStyle w:val="000000000000" w:firstRow="0" w:lastRow="0" w:firstColumn="0" w:lastColumn="0" w:oddVBand="0" w:evenVBand="0" w:oddHBand="0" w:evenHBand="0" w:firstRowFirstColumn="0" w:firstRowLastColumn="0" w:lastRowFirstColumn="0" w:lastRowLastColumn="0"/>
              <w:rPr>
                <w:rFonts w:ascii="Calibri" w:eastAsia="Calibri" w:hAnsi="Calibri"/>
                <w:bCs/>
                <w:szCs w:val="28"/>
                <w:lang w:val="en-US" w:bidi="en-US"/>
              </w:rPr>
            </w:pPr>
            <w:r w:rsidRPr="00FD20BC">
              <w:rPr>
                <w:rFonts w:ascii="Calibri" w:eastAsia="Calibri" w:hAnsi="Calibri"/>
                <w:bCs/>
                <w:szCs w:val="28"/>
                <w:lang w:val="en-US" w:bidi="en-US"/>
              </w:rPr>
              <w:t>Would your organisation welcome WGEA providing general information on factors that contribute to the gender pay gap and how the gender pay gap is calculated and interpreted alongside employer-level pay gap data?</w:t>
            </w:r>
          </w:p>
        </w:tc>
        <w:tc>
          <w:tcPr>
            <w:tcW w:w="3223" w:type="pct"/>
          </w:tcPr>
          <w:p w14:paraId="1CFF9D63" w14:textId="77777777" w:rsidR="00FD20BC" w:rsidRPr="00FD20BC" w:rsidRDefault="00FD20BC" w:rsidP="00FD20BC">
            <w:pPr>
              <w:spacing w:after="200" w:line="276" w:lineRule="auto"/>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 xml:space="preserve">There was strong support for WGEA providing information and explaining the gender pay gap for those who are not familiar with the metric. Some employers thought it would be useful for WGEA to provide industry information. </w:t>
            </w:r>
          </w:p>
          <w:p w14:paraId="15459657" w14:textId="77777777" w:rsidR="00FD20BC" w:rsidRPr="00FD20BC" w:rsidRDefault="00FD20BC" w:rsidP="00FD20BC">
            <w:pPr>
              <w:spacing w:after="200" w:line="276" w:lineRule="auto"/>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 xml:space="preserve">Some confusion as to whether this would be employer-specific or public/ private. </w:t>
            </w:r>
          </w:p>
        </w:tc>
      </w:tr>
      <w:tr w:rsidR="00FD20BC" w:rsidRPr="00FD20BC" w14:paraId="32EAE914" w14:textId="77777777" w:rsidTr="00FD2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Pr>
          <w:p w14:paraId="442E76E9" w14:textId="77777777" w:rsidR="00FD20BC" w:rsidRPr="00FD20BC" w:rsidRDefault="00FD20BC" w:rsidP="00FD20BC">
            <w:pPr>
              <w:spacing w:after="200" w:line="276" w:lineRule="auto"/>
              <w:ind w:left="243" w:right="468"/>
              <w:rPr>
                <w:rFonts w:ascii="Calibri" w:eastAsia="Calibri" w:hAnsi="Calibri"/>
                <w:szCs w:val="28"/>
                <w:lang w:val="en-US" w:bidi="en-US"/>
              </w:rPr>
            </w:pPr>
            <w:r w:rsidRPr="00FD20BC">
              <w:rPr>
                <w:rFonts w:ascii="Calibri" w:eastAsia="Calibri" w:hAnsi="Calibri"/>
                <w:szCs w:val="28"/>
                <w:lang w:val="en-US" w:bidi="en-US"/>
              </w:rPr>
              <w:t>7</w:t>
            </w:r>
          </w:p>
        </w:tc>
        <w:tc>
          <w:tcPr>
            <w:tcW w:w="1525" w:type="pct"/>
          </w:tcPr>
          <w:p w14:paraId="4594AA5A" w14:textId="77777777" w:rsidR="00FD20BC" w:rsidRPr="00FD20BC" w:rsidRDefault="00FD20BC" w:rsidP="00FD20BC">
            <w:pPr>
              <w:spacing w:after="200" w:line="276" w:lineRule="auto"/>
              <w:ind w:left="243" w:right="468"/>
              <w:cnfStyle w:val="000000100000" w:firstRow="0" w:lastRow="0" w:firstColumn="0" w:lastColumn="0" w:oddVBand="0" w:evenVBand="0" w:oddHBand="1" w:evenHBand="0" w:firstRowFirstColumn="0" w:firstRowLastColumn="0" w:lastRowFirstColumn="0" w:lastRowLastColumn="0"/>
              <w:rPr>
                <w:rFonts w:ascii="Calibri" w:eastAsia="Calibri" w:hAnsi="Calibri"/>
                <w:bCs/>
                <w:szCs w:val="28"/>
                <w:lang w:val="en-US" w:bidi="en-US"/>
              </w:rPr>
            </w:pPr>
            <w:r w:rsidRPr="00FD20BC">
              <w:rPr>
                <w:rFonts w:ascii="Calibri" w:eastAsia="Calibri" w:hAnsi="Calibri"/>
                <w:bCs/>
                <w:szCs w:val="28"/>
                <w:lang w:val="en-US" w:bidi="en-US"/>
              </w:rPr>
              <w:t>The quartile analysis would provide additional context to employer level gender pay gaps including organisational composition by gender. What other information or context would you like to see alongside employer level gender pay gap data?</w:t>
            </w:r>
          </w:p>
        </w:tc>
        <w:tc>
          <w:tcPr>
            <w:tcW w:w="3223" w:type="pct"/>
          </w:tcPr>
          <w:p w14:paraId="73581323" w14:textId="77777777" w:rsidR="00FD20BC" w:rsidRPr="00FD20BC" w:rsidRDefault="00FD20BC" w:rsidP="00FD20BC">
            <w:pPr>
              <w:spacing w:after="200" w:line="276" w:lineRule="auto"/>
              <w:ind w:left="299" w:right="621"/>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Many suggestions for additional information:</w:t>
            </w:r>
          </w:p>
          <w:p w14:paraId="14E31AC1" w14:textId="77777777" w:rsidR="00FD20BC" w:rsidRPr="00FD20BC" w:rsidRDefault="00FD20BC" w:rsidP="003D0C74">
            <w:pPr>
              <w:numPr>
                <w:ilvl w:val="0"/>
                <w:numId w:val="63"/>
              </w:numPr>
              <w:spacing w:after="200" w:line="276" w:lineRule="auto"/>
              <w:ind w:left="299" w:right="621" w:firstLine="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Industry</w:t>
            </w:r>
          </w:p>
          <w:p w14:paraId="67862D76" w14:textId="77777777" w:rsidR="00FD20BC" w:rsidRPr="00FD20BC" w:rsidRDefault="00FD20BC" w:rsidP="003D0C74">
            <w:pPr>
              <w:numPr>
                <w:ilvl w:val="0"/>
                <w:numId w:val="63"/>
              </w:numPr>
              <w:spacing w:after="200" w:line="276" w:lineRule="auto"/>
              <w:ind w:left="299" w:right="621" w:firstLine="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Profession</w:t>
            </w:r>
          </w:p>
          <w:p w14:paraId="218AEF6C" w14:textId="77777777" w:rsidR="00FD20BC" w:rsidRPr="00FD20BC" w:rsidRDefault="00FD20BC" w:rsidP="003D0C74">
            <w:pPr>
              <w:numPr>
                <w:ilvl w:val="0"/>
                <w:numId w:val="63"/>
              </w:numPr>
              <w:spacing w:after="200" w:line="276" w:lineRule="auto"/>
              <w:ind w:left="299" w:right="621" w:firstLine="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Level in the organisation</w:t>
            </w:r>
          </w:p>
          <w:p w14:paraId="6A0FB6C2" w14:textId="77777777" w:rsidR="00FD20BC" w:rsidRPr="00FD20BC" w:rsidRDefault="00FD20BC" w:rsidP="003D0C74">
            <w:pPr>
              <w:numPr>
                <w:ilvl w:val="0"/>
                <w:numId w:val="63"/>
              </w:numPr>
              <w:spacing w:after="200" w:line="276" w:lineRule="auto"/>
              <w:ind w:left="299" w:right="621" w:firstLine="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Age</w:t>
            </w:r>
          </w:p>
          <w:p w14:paraId="77E316FA" w14:textId="77777777" w:rsidR="00FD20BC" w:rsidRPr="00FD20BC" w:rsidRDefault="00FD20BC" w:rsidP="003D0C74">
            <w:pPr>
              <w:numPr>
                <w:ilvl w:val="0"/>
                <w:numId w:val="63"/>
              </w:numPr>
              <w:spacing w:after="200" w:line="276" w:lineRule="auto"/>
              <w:ind w:left="299" w:right="621" w:firstLine="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Location</w:t>
            </w:r>
          </w:p>
          <w:p w14:paraId="5DF5613D" w14:textId="77777777" w:rsidR="00FD20BC" w:rsidRPr="00FD20BC" w:rsidRDefault="00FD20BC" w:rsidP="003D0C74">
            <w:pPr>
              <w:numPr>
                <w:ilvl w:val="0"/>
                <w:numId w:val="63"/>
              </w:numPr>
              <w:spacing w:after="200" w:line="276" w:lineRule="auto"/>
              <w:ind w:left="299" w:right="621" w:firstLine="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Length of service</w:t>
            </w:r>
          </w:p>
          <w:p w14:paraId="29A05B12" w14:textId="77777777" w:rsidR="00FD20BC" w:rsidRPr="00FD20BC" w:rsidRDefault="00FD20BC" w:rsidP="003D0C74">
            <w:pPr>
              <w:numPr>
                <w:ilvl w:val="0"/>
                <w:numId w:val="63"/>
              </w:numPr>
              <w:spacing w:after="200" w:line="276" w:lineRule="auto"/>
              <w:ind w:left="299" w:right="621" w:firstLine="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Level of education</w:t>
            </w:r>
          </w:p>
          <w:p w14:paraId="07D28953" w14:textId="77777777" w:rsidR="00FD20BC" w:rsidRPr="00FD20BC" w:rsidRDefault="00FD20BC" w:rsidP="003D0C74">
            <w:pPr>
              <w:numPr>
                <w:ilvl w:val="0"/>
                <w:numId w:val="63"/>
              </w:numPr>
              <w:spacing w:after="200" w:line="276" w:lineRule="auto"/>
              <w:ind w:left="299" w:right="621" w:firstLine="0"/>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Potential strategies to resolve gender pay gap</w:t>
            </w:r>
          </w:p>
        </w:tc>
      </w:tr>
      <w:tr w:rsidR="00FD20BC" w:rsidRPr="00FD20BC" w14:paraId="677DD685" w14:textId="77777777" w:rsidTr="00FD20BC">
        <w:tc>
          <w:tcPr>
            <w:cnfStyle w:val="001000000000" w:firstRow="0" w:lastRow="0" w:firstColumn="1" w:lastColumn="0" w:oddVBand="0" w:evenVBand="0" w:oddHBand="0" w:evenHBand="0" w:firstRowFirstColumn="0" w:firstRowLastColumn="0" w:lastRowFirstColumn="0" w:lastRowLastColumn="0"/>
            <w:tcW w:w="252" w:type="pct"/>
          </w:tcPr>
          <w:p w14:paraId="78FC7962" w14:textId="77777777" w:rsidR="00FD20BC" w:rsidRPr="00FD20BC" w:rsidRDefault="00FD20BC" w:rsidP="00FD20BC">
            <w:pPr>
              <w:spacing w:after="200" w:line="276" w:lineRule="auto"/>
              <w:ind w:left="243" w:right="468"/>
              <w:rPr>
                <w:rFonts w:ascii="Calibri" w:eastAsia="Calibri" w:hAnsi="Calibri"/>
                <w:szCs w:val="28"/>
                <w:lang w:val="en-US" w:bidi="en-US"/>
              </w:rPr>
            </w:pPr>
            <w:r w:rsidRPr="00FD20BC">
              <w:rPr>
                <w:rFonts w:ascii="Calibri" w:eastAsia="Calibri" w:hAnsi="Calibri"/>
                <w:szCs w:val="28"/>
                <w:lang w:val="en-US" w:bidi="en-US"/>
              </w:rPr>
              <w:t>8</w:t>
            </w:r>
          </w:p>
        </w:tc>
        <w:tc>
          <w:tcPr>
            <w:tcW w:w="1525" w:type="pct"/>
          </w:tcPr>
          <w:p w14:paraId="08C98BA2" w14:textId="77777777" w:rsidR="00FD20BC" w:rsidRPr="00FD20BC" w:rsidRDefault="00FD20BC" w:rsidP="00FD20BC">
            <w:pPr>
              <w:spacing w:after="200" w:line="276" w:lineRule="auto"/>
              <w:ind w:left="243" w:right="468"/>
              <w:cnfStyle w:val="000000000000" w:firstRow="0" w:lastRow="0" w:firstColumn="0" w:lastColumn="0" w:oddVBand="0" w:evenVBand="0" w:oddHBand="0" w:evenHBand="0" w:firstRowFirstColumn="0" w:firstRowLastColumn="0" w:lastRowFirstColumn="0" w:lastRowLastColumn="0"/>
              <w:rPr>
                <w:rFonts w:ascii="Calibri" w:eastAsia="Calibri" w:hAnsi="Calibri"/>
                <w:bCs/>
                <w:szCs w:val="28"/>
                <w:lang w:val="en-US" w:bidi="en-US"/>
              </w:rPr>
            </w:pPr>
            <w:r w:rsidRPr="00FD20BC">
              <w:rPr>
                <w:rFonts w:ascii="Calibri" w:eastAsia="Calibri" w:hAnsi="Calibri"/>
                <w:bCs/>
                <w:szCs w:val="28"/>
                <w:lang w:val="en-US" w:bidi="en-US"/>
              </w:rPr>
              <w:t>Do you have any further comments on any aspect of the implementation of pay gap transparency?</w:t>
            </w:r>
          </w:p>
        </w:tc>
        <w:tc>
          <w:tcPr>
            <w:tcW w:w="3223" w:type="pct"/>
          </w:tcPr>
          <w:p w14:paraId="36FE7009" w14:textId="77777777" w:rsidR="00FD20BC" w:rsidRPr="00FD20BC" w:rsidRDefault="00FD20BC" w:rsidP="00FD20BC">
            <w:pPr>
              <w:spacing w:after="200" w:line="276" w:lineRule="auto"/>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 xml:space="preserve">Concerns about publishing gender pay gaps distracting from work companies are doing and causing undue reputational damage i.e. “naming and shaming”. Concern it does not take into account enough nuance. </w:t>
            </w:r>
          </w:p>
          <w:p w14:paraId="5A1CED39" w14:textId="77777777" w:rsidR="00FD20BC" w:rsidRPr="00FD20BC" w:rsidRDefault="00FD20BC" w:rsidP="00FD20BC">
            <w:pPr>
              <w:spacing w:after="200" w:line="276" w:lineRule="auto"/>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 xml:space="preserve">Some companies asking for timing indication and expressing a preference for a lead time. </w:t>
            </w:r>
          </w:p>
          <w:p w14:paraId="22C58963" w14:textId="77777777" w:rsidR="00FD20BC" w:rsidRPr="00FD20BC" w:rsidRDefault="00FD20BC" w:rsidP="00FD20BC">
            <w:pPr>
              <w:spacing w:after="200" w:line="276" w:lineRule="auto"/>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Numerous employers expressing support for transparent pay gaps.</w:t>
            </w:r>
          </w:p>
          <w:p w14:paraId="0F34611A" w14:textId="77777777" w:rsidR="00FD20BC" w:rsidRPr="00FD20BC" w:rsidRDefault="00FD20BC" w:rsidP="00FD20BC">
            <w:pPr>
              <w:spacing w:after="200" w:line="276" w:lineRule="auto"/>
              <w:ind w:left="299" w:right="621"/>
              <w:cnfStyle w:val="000000000000" w:firstRow="0" w:lastRow="0" w:firstColumn="0" w:lastColumn="0" w:oddVBand="0" w:evenVBand="0" w:oddHBand="0" w:evenHBand="0" w:firstRowFirstColumn="0" w:firstRowLastColumn="0" w:lastRowFirstColumn="0" w:lastRowLastColumn="0"/>
              <w:rPr>
                <w:rFonts w:ascii="Calibri" w:eastAsia="Calibri" w:hAnsi="Calibri"/>
                <w:lang w:val="en-US" w:bidi="en-US"/>
              </w:rPr>
            </w:pPr>
            <w:r w:rsidRPr="00FD20BC">
              <w:rPr>
                <w:rFonts w:ascii="Calibri" w:eastAsia="Calibri" w:hAnsi="Calibri"/>
                <w:lang w:val="en-US" w:bidi="en-US"/>
              </w:rPr>
              <w:t xml:space="preserve">Some concerns about generating extra regulatory burden for employers. </w:t>
            </w:r>
          </w:p>
        </w:tc>
      </w:tr>
    </w:tbl>
    <w:p w14:paraId="619B8F5F" w14:textId="77777777" w:rsidR="00FD20BC" w:rsidRPr="00FD20BC" w:rsidRDefault="00FD20BC" w:rsidP="00FD20BC"/>
    <w:p w14:paraId="27D80E4C" w14:textId="77777777" w:rsidR="00FD20BC" w:rsidRPr="00FD20BC" w:rsidRDefault="00FD20BC" w:rsidP="00FD20BC">
      <w:pPr>
        <w:rPr>
          <w:b/>
        </w:rPr>
      </w:pPr>
      <w:r w:rsidRPr="00FD20BC">
        <w:rPr>
          <w:b/>
        </w:rPr>
        <w:t>PART TWO: Recommendation Three – Bridge the ‘Action Gap’ with New Gender Equality Standards</w:t>
      </w:r>
    </w:p>
    <w:tbl>
      <w:tblPr>
        <w:tblStyle w:val="GridTable5Dark-Accent1"/>
        <w:tblW w:w="5000" w:type="pct"/>
        <w:tblLook w:val="04A0" w:firstRow="1" w:lastRow="0" w:firstColumn="1" w:lastColumn="0" w:noHBand="0" w:noVBand="1"/>
      </w:tblPr>
      <w:tblGrid>
        <w:gridCol w:w="778"/>
        <w:gridCol w:w="2477"/>
        <w:gridCol w:w="10693"/>
      </w:tblGrid>
      <w:tr w:rsidR="00FD20BC" w:rsidRPr="00FD20BC" w14:paraId="112EAD88" w14:textId="77777777" w:rsidTr="00FD20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 w:type="pct"/>
          </w:tcPr>
          <w:p w14:paraId="26A94AD5" w14:textId="77777777" w:rsidR="00FD20BC" w:rsidRPr="00FD20BC" w:rsidRDefault="00FD20BC" w:rsidP="00FD20BC">
            <w:pPr>
              <w:spacing w:after="160" w:line="259" w:lineRule="auto"/>
            </w:pPr>
          </w:p>
        </w:tc>
        <w:tc>
          <w:tcPr>
            <w:tcW w:w="888" w:type="pct"/>
          </w:tcPr>
          <w:p w14:paraId="47A8A352" w14:textId="77777777" w:rsidR="00FD20BC" w:rsidRPr="00FD20BC" w:rsidRDefault="00FD20BC" w:rsidP="00FD20BC">
            <w:pPr>
              <w:spacing w:after="160" w:line="259" w:lineRule="auto"/>
              <w:cnfStyle w:val="100000000000" w:firstRow="1" w:lastRow="0" w:firstColumn="0" w:lastColumn="0" w:oddVBand="0" w:evenVBand="0" w:oddHBand="0" w:evenHBand="0" w:firstRowFirstColumn="0" w:firstRowLastColumn="0" w:lastRowFirstColumn="0" w:lastRowLastColumn="0"/>
            </w:pPr>
            <w:r w:rsidRPr="00FD20BC">
              <w:t>Question</w:t>
            </w:r>
          </w:p>
        </w:tc>
        <w:tc>
          <w:tcPr>
            <w:tcW w:w="3833" w:type="pct"/>
          </w:tcPr>
          <w:p w14:paraId="2B8E67BE" w14:textId="77777777" w:rsidR="00FD20BC" w:rsidRPr="00FD20BC" w:rsidRDefault="00FD20BC" w:rsidP="00FD20BC">
            <w:pPr>
              <w:spacing w:after="160" w:line="259" w:lineRule="auto"/>
              <w:cnfStyle w:val="100000000000" w:firstRow="1" w:lastRow="0" w:firstColumn="0" w:lastColumn="0" w:oddVBand="0" w:evenVBand="0" w:oddHBand="0" w:evenHBand="0" w:firstRowFirstColumn="0" w:firstRowLastColumn="0" w:lastRowFirstColumn="0" w:lastRowLastColumn="0"/>
            </w:pPr>
            <w:r w:rsidRPr="00FD20BC">
              <w:t>Summary of Response</w:t>
            </w:r>
          </w:p>
        </w:tc>
      </w:tr>
      <w:tr w:rsidR="00FD20BC" w:rsidRPr="00FD20BC" w14:paraId="0CBF21F3" w14:textId="77777777" w:rsidTr="00FD2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pct"/>
          </w:tcPr>
          <w:p w14:paraId="46C3F526" w14:textId="77777777" w:rsidR="00FD20BC" w:rsidRPr="00FD20BC" w:rsidRDefault="00FD20BC" w:rsidP="00FD20BC">
            <w:pPr>
              <w:spacing w:after="160" w:line="259" w:lineRule="auto"/>
            </w:pPr>
            <w:r w:rsidRPr="00FD20BC">
              <w:t>1</w:t>
            </w:r>
          </w:p>
        </w:tc>
        <w:tc>
          <w:tcPr>
            <w:tcW w:w="888" w:type="pct"/>
          </w:tcPr>
          <w:p w14:paraId="66A09C3A"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rPr>
                <w:bCs/>
                <w:lang w:bidi="en-US"/>
              </w:rPr>
            </w:pPr>
            <w:r w:rsidRPr="00FD20BC">
              <w:rPr>
                <w:bCs/>
                <w:lang w:bidi="en-US"/>
              </w:rPr>
              <w:t>Do you have any comments on your organisation’s ability to develop measurable and genuine targets?</w:t>
            </w:r>
          </w:p>
        </w:tc>
        <w:tc>
          <w:tcPr>
            <w:tcW w:w="3833" w:type="pct"/>
          </w:tcPr>
          <w:p w14:paraId="3A964CB7" w14:textId="77777777" w:rsidR="00FD20BC" w:rsidRPr="00FD20BC" w:rsidRDefault="00FD20BC" w:rsidP="003D0C74">
            <w:pPr>
              <w:numPr>
                <w:ilvl w:val="0"/>
                <w:numId w:val="64"/>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Many employers were concerned about resourcing and the time this would take.</w:t>
            </w:r>
          </w:p>
          <w:p w14:paraId="3309D4AF" w14:textId="77777777" w:rsidR="00FD20BC" w:rsidRPr="00FD20BC" w:rsidRDefault="00FD20BC" w:rsidP="003D0C74">
            <w:pPr>
              <w:numPr>
                <w:ilvl w:val="0"/>
                <w:numId w:val="64"/>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Concerns were raised from employers who already set their own targets on how WGEA’s targets would be more useful.</w:t>
            </w:r>
          </w:p>
          <w:p w14:paraId="1B310D00" w14:textId="77777777" w:rsidR="00FD20BC" w:rsidRPr="00FD20BC" w:rsidRDefault="00FD20BC" w:rsidP="003D0C74">
            <w:pPr>
              <w:numPr>
                <w:ilvl w:val="0"/>
                <w:numId w:val="64"/>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Some employers were concerned that targets might appear tokenistic. </w:t>
            </w:r>
          </w:p>
          <w:p w14:paraId="43CC8128" w14:textId="77777777" w:rsidR="00FD20BC" w:rsidRPr="00FD20BC" w:rsidRDefault="00FD20BC" w:rsidP="003D0C74">
            <w:pPr>
              <w:numPr>
                <w:ilvl w:val="0"/>
                <w:numId w:val="64"/>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Concerns were raised by companies in male-dominated industries as to how this change would actually help create organisational change.</w:t>
            </w:r>
          </w:p>
          <w:p w14:paraId="1783B24D" w14:textId="77777777" w:rsidR="00FD20BC" w:rsidRPr="00FD20BC" w:rsidRDefault="00FD20BC" w:rsidP="003D0C74">
            <w:pPr>
              <w:numPr>
                <w:ilvl w:val="0"/>
                <w:numId w:val="64"/>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Clearer guidance and support from WGEA on how to achieve targets would be helpful. </w:t>
            </w:r>
          </w:p>
          <w:p w14:paraId="325BF47D" w14:textId="77777777" w:rsidR="00FD20BC" w:rsidRPr="00FD20BC" w:rsidRDefault="00FD20BC" w:rsidP="003D0C74">
            <w:pPr>
              <w:numPr>
                <w:ilvl w:val="0"/>
                <w:numId w:val="64"/>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One university sector employer in Victoria asked if current Victorian targets would be aligned with WGEA’s targets.</w:t>
            </w:r>
          </w:p>
        </w:tc>
      </w:tr>
      <w:tr w:rsidR="00FD20BC" w:rsidRPr="00FD20BC" w14:paraId="010E2F77" w14:textId="77777777" w:rsidTr="00FD20BC">
        <w:tc>
          <w:tcPr>
            <w:cnfStyle w:val="001000000000" w:firstRow="0" w:lastRow="0" w:firstColumn="1" w:lastColumn="0" w:oddVBand="0" w:evenVBand="0" w:oddHBand="0" w:evenHBand="0" w:firstRowFirstColumn="0" w:firstRowLastColumn="0" w:lastRowFirstColumn="0" w:lastRowLastColumn="0"/>
            <w:tcW w:w="279" w:type="pct"/>
          </w:tcPr>
          <w:p w14:paraId="1B862625" w14:textId="77777777" w:rsidR="00FD20BC" w:rsidRPr="00FD20BC" w:rsidRDefault="00FD20BC" w:rsidP="00FD20BC">
            <w:pPr>
              <w:spacing w:after="160" w:line="259" w:lineRule="auto"/>
            </w:pPr>
            <w:r w:rsidRPr="00FD20BC">
              <w:t>2</w:t>
            </w:r>
          </w:p>
          <w:p w14:paraId="04721C22" w14:textId="77777777" w:rsidR="00FD20BC" w:rsidRPr="00FD20BC" w:rsidRDefault="00FD20BC" w:rsidP="00FD20BC">
            <w:pPr>
              <w:spacing w:after="160" w:line="259" w:lineRule="auto"/>
            </w:pPr>
          </w:p>
        </w:tc>
        <w:tc>
          <w:tcPr>
            <w:tcW w:w="888" w:type="pct"/>
          </w:tcPr>
          <w:p w14:paraId="28ADEACB"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rPr>
                <w:bCs/>
                <w:lang w:bidi="en-US"/>
              </w:rPr>
            </w:pPr>
            <w:r w:rsidRPr="00FD20BC">
              <w:rPr>
                <w:bCs/>
                <w:lang w:bidi="en-US"/>
              </w:rPr>
              <w:t>What targets would be most helpful for you in measuring progress on gender equality in your organisation?</w:t>
            </w:r>
          </w:p>
        </w:tc>
        <w:tc>
          <w:tcPr>
            <w:tcW w:w="3833" w:type="pct"/>
          </w:tcPr>
          <w:p w14:paraId="33152831"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There was a relatively even spread from employers drawing attention to all GEIs (1-6). This included, gender balance, women in leadership positions, equal remuneration, part-time/ full time.</w:t>
            </w:r>
          </w:p>
          <w:p w14:paraId="4DB3AD5A"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 xml:space="preserve"> </w:t>
            </w:r>
          </w:p>
        </w:tc>
      </w:tr>
      <w:tr w:rsidR="00FD20BC" w:rsidRPr="00FD20BC" w14:paraId="31097000" w14:textId="77777777" w:rsidTr="00FD2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pct"/>
          </w:tcPr>
          <w:p w14:paraId="183F8C93" w14:textId="77777777" w:rsidR="00FD20BC" w:rsidRPr="00FD20BC" w:rsidRDefault="00FD20BC" w:rsidP="00FD20BC">
            <w:pPr>
              <w:spacing w:after="160" w:line="259" w:lineRule="auto"/>
            </w:pPr>
            <w:r w:rsidRPr="00FD20BC">
              <w:t>3</w:t>
            </w:r>
          </w:p>
        </w:tc>
        <w:tc>
          <w:tcPr>
            <w:tcW w:w="888" w:type="pct"/>
          </w:tcPr>
          <w:p w14:paraId="59009A8D"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rPr>
                <w:bCs/>
                <w:lang w:bidi="en-US"/>
              </w:rPr>
            </w:pPr>
            <w:r w:rsidRPr="00FD20BC">
              <w:rPr>
                <w:bCs/>
                <w:lang w:bidi="en-US"/>
              </w:rPr>
              <w:t>What level of support would your organisation find helpful when setting gender equality targets?</w:t>
            </w:r>
          </w:p>
        </w:tc>
        <w:tc>
          <w:tcPr>
            <w:tcW w:w="3833" w:type="pct"/>
          </w:tcPr>
          <w:p w14:paraId="0735EC94"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Stakeholders engaged with suggestions including: </w:t>
            </w:r>
          </w:p>
          <w:p w14:paraId="3AC1A15D" w14:textId="77777777" w:rsidR="00FD20BC" w:rsidRPr="00FD20BC" w:rsidRDefault="00FD20BC" w:rsidP="003D0C74">
            <w:pPr>
              <w:numPr>
                <w:ilvl w:val="0"/>
                <w:numId w:val="64"/>
              </w:numPr>
              <w:contextualSpacing/>
              <w:cnfStyle w:val="000000100000" w:firstRow="0" w:lastRow="0" w:firstColumn="0" w:lastColumn="0" w:oddVBand="0" w:evenVBand="0" w:oddHBand="1" w:evenHBand="0" w:firstRowFirstColumn="0" w:firstRowLastColumn="0" w:lastRowFirstColumn="0" w:lastRowLastColumn="0"/>
            </w:pPr>
            <w:r w:rsidRPr="00FD20BC">
              <w:t>Guidance</w:t>
            </w:r>
          </w:p>
          <w:p w14:paraId="31583E15" w14:textId="77777777" w:rsidR="00FD20BC" w:rsidRPr="00FD20BC" w:rsidRDefault="00FD20BC" w:rsidP="003D0C74">
            <w:pPr>
              <w:numPr>
                <w:ilvl w:val="0"/>
                <w:numId w:val="64"/>
              </w:numPr>
              <w:contextualSpacing/>
              <w:cnfStyle w:val="000000100000" w:firstRow="0" w:lastRow="0" w:firstColumn="0" w:lastColumn="0" w:oddVBand="0" w:evenVBand="0" w:oddHBand="1" w:evenHBand="0" w:firstRowFirstColumn="0" w:firstRowLastColumn="0" w:lastRowFirstColumn="0" w:lastRowLastColumn="0"/>
            </w:pPr>
            <w:r w:rsidRPr="00FD20BC">
              <w:t>Benchmarks</w:t>
            </w:r>
          </w:p>
          <w:p w14:paraId="2152888B" w14:textId="77777777" w:rsidR="00FD20BC" w:rsidRPr="00FD20BC" w:rsidRDefault="00FD20BC" w:rsidP="003D0C74">
            <w:pPr>
              <w:numPr>
                <w:ilvl w:val="0"/>
                <w:numId w:val="64"/>
              </w:numPr>
              <w:contextualSpacing/>
              <w:cnfStyle w:val="000000100000" w:firstRow="0" w:lastRow="0" w:firstColumn="0" w:lastColumn="0" w:oddVBand="0" w:evenVBand="0" w:oddHBand="1" w:evenHBand="0" w:firstRowFirstColumn="0" w:firstRowLastColumn="0" w:lastRowFirstColumn="0" w:lastRowLastColumn="0"/>
            </w:pPr>
            <w:r w:rsidRPr="00FD20BC">
              <w:t>resources</w:t>
            </w:r>
          </w:p>
          <w:p w14:paraId="764CF8F6" w14:textId="77777777" w:rsidR="00FD20BC" w:rsidRPr="00FD20BC" w:rsidRDefault="00FD20BC" w:rsidP="003D0C74">
            <w:pPr>
              <w:numPr>
                <w:ilvl w:val="0"/>
                <w:numId w:val="64"/>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Targets being specific to the employer or to the industry</w:t>
            </w:r>
          </w:p>
          <w:p w14:paraId="01F7E59D" w14:textId="77777777" w:rsidR="00FD20BC" w:rsidRPr="00FD20BC" w:rsidRDefault="00FD20BC" w:rsidP="003D0C74">
            <w:pPr>
              <w:numPr>
                <w:ilvl w:val="0"/>
                <w:numId w:val="64"/>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Webinars hosted by WGEA and networking/peer support opportunities to hear from other industries and agencies. </w:t>
            </w:r>
          </w:p>
          <w:p w14:paraId="1E306F69" w14:textId="77777777" w:rsidR="00FD20BC" w:rsidRPr="00FD20BC" w:rsidRDefault="00FD20BC" w:rsidP="003D0C74">
            <w:pPr>
              <w:numPr>
                <w:ilvl w:val="0"/>
                <w:numId w:val="64"/>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Peer support to discuss processes with other employers and industry specific working groups including the non-for-profit sector and partnership structures.</w:t>
            </w:r>
          </w:p>
          <w:p w14:paraId="432ECB8A" w14:textId="77777777" w:rsidR="00FD20BC" w:rsidRPr="00FD20BC" w:rsidRDefault="00FD20BC" w:rsidP="003D0C74">
            <w:pPr>
              <w:numPr>
                <w:ilvl w:val="0"/>
                <w:numId w:val="64"/>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Access to a helpline. </w:t>
            </w:r>
          </w:p>
          <w:p w14:paraId="7543470B" w14:textId="77777777" w:rsidR="00FD20BC" w:rsidRPr="00FD20BC" w:rsidRDefault="00FD20BC" w:rsidP="003D0C74">
            <w:pPr>
              <w:numPr>
                <w:ilvl w:val="0"/>
                <w:numId w:val="64"/>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Sample plans and case studies. </w:t>
            </w:r>
          </w:p>
        </w:tc>
      </w:tr>
      <w:tr w:rsidR="00FD20BC" w:rsidRPr="00FD20BC" w14:paraId="1621DE17" w14:textId="77777777" w:rsidTr="00FD20BC">
        <w:tc>
          <w:tcPr>
            <w:cnfStyle w:val="001000000000" w:firstRow="0" w:lastRow="0" w:firstColumn="1" w:lastColumn="0" w:oddVBand="0" w:evenVBand="0" w:oddHBand="0" w:evenHBand="0" w:firstRowFirstColumn="0" w:firstRowLastColumn="0" w:lastRowFirstColumn="0" w:lastRowLastColumn="0"/>
            <w:tcW w:w="279" w:type="pct"/>
          </w:tcPr>
          <w:p w14:paraId="521A8558" w14:textId="77777777" w:rsidR="00FD20BC" w:rsidRPr="00FD20BC" w:rsidRDefault="00FD20BC" w:rsidP="00FD20BC">
            <w:pPr>
              <w:spacing w:after="160" w:line="259" w:lineRule="auto"/>
            </w:pPr>
            <w:r w:rsidRPr="00FD20BC">
              <w:t>4</w:t>
            </w:r>
          </w:p>
        </w:tc>
        <w:tc>
          <w:tcPr>
            <w:tcW w:w="888" w:type="pct"/>
          </w:tcPr>
          <w:p w14:paraId="5E7A5689"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rPr>
                <w:bCs/>
                <w:lang w:bidi="en-US"/>
              </w:rPr>
            </w:pPr>
            <w:r w:rsidRPr="00FD20BC">
              <w:rPr>
                <w:bCs/>
                <w:lang w:bidi="en-US"/>
              </w:rPr>
              <w:t>Do you have comments on how WGEA could support your organisation to measure progress against targets?</w:t>
            </w:r>
          </w:p>
        </w:tc>
        <w:tc>
          <w:tcPr>
            <w:tcW w:w="3833" w:type="pct"/>
          </w:tcPr>
          <w:p w14:paraId="1656B03F"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Agencies are eager to receive further guidance and clarification on what is required against the reporting process. Templates, guides, precedents and checklists were among the suggestions. Industry specific guidance and roundtables to discuss best practice examples were also suggested.</w:t>
            </w:r>
          </w:p>
          <w:p w14:paraId="16B418A3"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One EOCGE holder raised that timelines for EOCGE holders should align with new changes.</w:t>
            </w:r>
          </w:p>
        </w:tc>
      </w:tr>
      <w:tr w:rsidR="00FD20BC" w:rsidRPr="00FD20BC" w14:paraId="340200C5" w14:textId="77777777" w:rsidTr="00FD2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pct"/>
          </w:tcPr>
          <w:p w14:paraId="2C51C6AA" w14:textId="77777777" w:rsidR="00FD20BC" w:rsidRPr="00FD20BC" w:rsidRDefault="00FD20BC" w:rsidP="00FD20BC">
            <w:pPr>
              <w:spacing w:after="160" w:line="259" w:lineRule="auto"/>
            </w:pPr>
            <w:r w:rsidRPr="00FD20BC">
              <w:t>5</w:t>
            </w:r>
          </w:p>
        </w:tc>
        <w:tc>
          <w:tcPr>
            <w:tcW w:w="888" w:type="pct"/>
          </w:tcPr>
          <w:p w14:paraId="583F24F9"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rPr>
                <w:bCs/>
                <w:lang w:bidi="en-US"/>
              </w:rPr>
            </w:pPr>
            <w:r w:rsidRPr="00FD20BC">
              <w:rPr>
                <w:bCs/>
                <w:lang w:bidi="en-US"/>
              </w:rPr>
              <w:t xml:space="preserve">Do you have any suggestions for WGEA on what your organisation would find helpful when developing policies and strategies? </w:t>
            </w:r>
          </w:p>
        </w:tc>
        <w:tc>
          <w:tcPr>
            <w:tcW w:w="3833" w:type="pct"/>
          </w:tcPr>
          <w:p w14:paraId="097A4DA9"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Similar answers to above questions including templates, pro-forma policies, webinars with what other organisations are doing, guidelines, examples by industry, best practice examples. </w:t>
            </w:r>
          </w:p>
        </w:tc>
      </w:tr>
      <w:tr w:rsidR="00FD20BC" w:rsidRPr="00FD20BC" w14:paraId="47BE36E0" w14:textId="77777777" w:rsidTr="00FD20BC">
        <w:tc>
          <w:tcPr>
            <w:cnfStyle w:val="001000000000" w:firstRow="0" w:lastRow="0" w:firstColumn="1" w:lastColumn="0" w:oddVBand="0" w:evenVBand="0" w:oddHBand="0" w:evenHBand="0" w:firstRowFirstColumn="0" w:firstRowLastColumn="0" w:lastRowFirstColumn="0" w:lastRowLastColumn="0"/>
            <w:tcW w:w="279" w:type="pct"/>
          </w:tcPr>
          <w:p w14:paraId="4BE45E22" w14:textId="77777777" w:rsidR="00FD20BC" w:rsidRPr="00FD20BC" w:rsidRDefault="00FD20BC" w:rsidP="00FD20BC">
            <w:pPr>
              <w:spacing w:after="160" w:line="259" w:lineRule="auto"/>
            </w:pPr>
            <w:r w:rsidRPr="00FD20BC">
              <w:t>6</w:t>
            </w:r>
          </w:p>
        </w:tc>
        <w:tc>
          <w:tcPr>
            <w:tcW w:w="888" w:type="pct"/>
          </w:tcPr>
          <w:p w14:paraId="12FC0CA8"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rPr>
                <w:bCs/>
                <w:lang w:bidi="en-US"/>
              </w:rPr>
            </w:pPr>
            <w:r w:rsidRPr="00FD20BC">
              <w:rPr>
                <w:bCs/>
                <w:lang w:bidi="en-US"/>
              </w:rPr>
              <w:t>Do you have any comments on potential impacts of sharing your WGEA reports with your board/governing body?</w:t>
            </w:r>
          </w:p>
        </w:tc>
        <w:tc>
          <w:tcPr>
            <w:tcW w:w="3833" w:type="pct"/>
          </w:tcPr>
          <w:p w14:paraId="6A7E3563"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 xml:space="preserve">Some confusion around if employers were already required to share this information and some employers saying there already do share this information. </w:t>
            </w:r>
          </w:p>
          <w:p w14:paraId="06D30530"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 xml:space="preserve">Some employers were concerned about the formatting of the reports and expressed a reluctance to share with their board. </w:t>
            </w:r>
          </w:p>
          <w:p w14:paraId="687ABD54"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 xml:space="preserve">Some employers that were in international structures would like this to be able to be shared with local leadership as board can be in international/ overseas. </w:t>
            </w:r>
          </w:p>
        </w:tc>
      </w:tr>
    </w:tbl>
    <w:p w14:paraId="674C16C6" w14:textId="77777777" w:rsidR="00FD20BC" w:rsidRPr="00FD20BC" w:rsidRDefault="00FD20BC" w:rsidP="00FD20BC">
      <w:pPr>
        <w:rPr>
          <w:b/>
        </w:rPr>
      </w:pPr>
    </w:p>
    <w:p w14:paraId="6D129D3E" w14:textId="77777777" w:rsidR="00FD20BC" w:rsidRPr="00FD20BC" w:rsidRDefault="00FD20BC" w:rsidP="00FD20BC">
      <w:pPr>
        <w:rPr>
          <w:b/>
        </w:rPr>
      </w:pPr>
      <w:r w:rsidRPr="00FD20BC">
        <w:rPr>
          <w:b/>
        </w:rPr>
        <w:t xml:space="preserve">PART THREE: Recommendation Seven – Refine the Gender Equality Indicators.  </w:t>
      </w:r>
    </w:p>
    <w:tbl>
      <w:tblPr>
        <w:tblStyle w:val="GridTable5Dark-Accent1"/>
        <w:tblW w:w="5000" w:type="pct"/>
        <w:tblLook w:val="04A0" w:firstRow="1" w:lastRow="0" w:firstColumn="1" w:lastColumn="0" w:noHBand="0" w:noVBand="1"/>
      </w:tblPr>
      <w:tblGrid>
        <w:gridCol w:w="806"/>
        <w:gridCol w:w="2745"/>
        <w:gridCol w:w="10397"/>
      </w:tblGrid>
      <w:tr w:rsidR="00FD20BC" w:rsidRPr="00FD20BC" w14:paraId="1CC3E2A5" w14:textId="77777777" w:rsidTr="00FD20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9" w:type="pct"/>
          </w:tcPr>
          <w:p w14:paraId="7E274244" w14:textId="77777777" w:rsidR="00FD20BC" w:rsidRPr="00FD20BC" w:rsidRDefault="00FD20BC" w:rsidP="00FD20BC">
            <w:pPr>
              <w:spacing w:after="160" w:line="259" w:lineRule="auto"/>
            </w:pPr>
          </w:p>
        </w:tc>
        <w:tc>
          <w:tcPr>
            <w:tcW w:w="984" w:type="pct"/>
          </w:tcPr>
          <w:p w14:paraId="43261686" w14:textId="77777777" w:rsidR="00FD20BC" w:rsidRPr="00FD20BC" w:rsidRDefault="00FD20BC" w:rsidP="00FD20BC">
            <w:pPr>
              <w:spacing w:after="160" w:line="259" w:lineRule="auto"/>
              <w:cnfStyle w:val="100000000000" w:firstRow="1" w:lastRow="0" w:firstColumn="0" w:lastColumn="0" w:oddVBand="0" w:evenVBand="0" w:oddHBand="0" w:evenHBand="0" w:firstRowFirstColumn="0" w:firstRowLastColumn="0" w:lastRowFirstColumn="0" w:lastRowLastColumn="0"/>
            </w:pPr>
            <w:r w:rsidRPr="00FD20BC">
              <w:t>Question</w:t>
            </w:r>
          </w:p>
        </w:tc>
        <w:tc>
          <w:tcPr>
            <w:tcW w:w="3727" w:type="pct"/>
          </w:tcPr>
          <w:p w14:paraId="273AFB35" w14:textId="77777777" w:rsidR="00FD20BC" w:rsidRPr="00FD20BC" w:rsidRDefault="00FD20BC" w:rsidP="00FD20BC">
            <w:pPr>
              <w:spacing w:after="160" w:line="259" w:lineRule="auto"/>
              <w:cnfStyle w:val="100000000000" w:firstRow="1" w:lastRow="0" w:firstColumn="0" w:lastColumn="0" w:oddVBand="0" w:evenVBand="0" w:oddHBand="0" w:evenHBand="0" w:firstRowFirstColumn="0" w:firstRowLastColumn="0" w:lastRowFirstColumn="0" w:lastRowLastColumn="0"/>
            </w:pPr>
            <w:r w:rsidRPr="00FD20BC">
              <w:t>Summary of Response</w:t>
            </w:r>
          </w:p>
        </w:tc>
      </w:tr>
      <w:tr w:rsidR="00FD20BC" w:rsidRPr="00FD20BC" w14:paraId="4843043E" w14:textId="77777777" w:rsidTr="00FD2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21DA84DF" w14:textId="77777777" w:rsidR="00FD20BC" w:rsidRPr="00FD20BC" w:rsidRDefault="00FD20BC" w:rsidP="00FD20BC">
            <w:pPr>
              <w:spacing w:after="160" w:line="259" w:lineRule="auto"/>
            </w:pPr>
            <w:r w:rsidRPr="00FD20BC">
              <w:t>1</w:t>
            </w:r>
          </w:p>
        </w:tc>
        <w:tc>
          <w:tcPr>
            <w:tcW w:w="984" w:type="pct"/>
          </w:tcPr>
          <w:p w14:paraId="572829F0"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rPr>
                <w:bCs/>
                <w:lang w:bidi="en-US"/>
              </w:rPr>
            </w:pPr>
            <w:r w:rsidRPr="00FD20BC">
              <w:rPr>
                <w:bCs/>
                <w:lang w:bidi="en-US"/>
              </w:rPr>
              <w:t>Does your organisation currently collect non-manager data at ANZSCO level 4?</w:t>
            </w:r>
          </w:p>
        </w:tc>
        <w:tc>
          <w:tcPr>
            <w:tcW w:w="3727" w:type="pct"/>
          </w:tcPr>
          <w:p w14:paraId="3ADDCE9B"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pPr>
            <w:r w:rsidRPr="00FD20BC">
              <w:t>Over half the organisations confirmed that their organisation currently collects non-manager data at ANZSCO level 4.</w:t>
            </w:r>
          </w:p>
          <w:p w14:paraId="6A4BD1CB"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A wide variety of responses in relation to increased regulatory burden were received. Many employers felt that this would require more manual work, much more time spent in categorising employees and that this was different from how they currently categorised employees. Those employers that currently do not categorise data this way drew attention to likely required system changes. </w:t>
            </w:r>
          </w:p>
          <w:p w14:paraId="79BC4F81"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pPr>
            <w:r w:rsidRPr="00FD20BC">
              <w:t>Some employers were unable to answer this question as they needed to consult with different parts of HR.</w:t>
            </w:r>
          </w:p>
        </w:tc>
      </w:tr>
      <w:tr w:rsidR="00FD20BC" w:rsidRPr="00FD20BC" w14:paraId="232BEB9C" w14:textId="77777777" w:rsidTr="00FD20BC">
        <w:tc>
          <w:tcPr>
            <w:cnfStyle w:val="001000000000" w:firstRow="0" w:lastRow="0" w:firstColumn="1" w:lastColumn="0" w:oddVBand="0" w:evenVBand="0" w:oddHBand="0" w:evenHBand="0" w:firstRowFirstColumn="0" w:firstRowLastColumn="0" w:lastRowFirstColumn="0" w:lastRowLastColumn="0"/>
            <w:tcW w:w="289" w:type="pct"/>
          </w:tcPr>
          <w:p w14:paraId="4E06AC71" w14:textId="77777777" w:rsidR="00FD20BC" w:rsidRPr="00FD20BC" w:rsidRDefault="00FD20BC" w:rsidP="00FD20BC">
            <w:pPr>
              <w:spacing w:after="160" w:line="259" w:lineRule="auto"/>
            </w:pPr>
            <w:r w:rsidRPr="00FD20BC">
              <w:t>2</w:t>
            </w:r>
          </w:p>
          <w:p w14:paraId="711256CC" w14:textId="77777777" w:rsidR="00FD20BC" w:rsidRPr="00FD20BC" w:rsidRDefault="00FD20BC" w:rsidP="00FD20BC">
            <w:pPr>
              <w:spacing w:after="160" w:line="259" w:lineRule="auto"/>
            </w:pPr>
          </w:p>
        </w:tc>
        <w:tc>
          <w:tcPr>
            <w:tcW w:w="984" w:type="pct"/>
          </w:tcPr>
          <w:p w14:paraId="6798B197"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rPr>
                <w:bCs/>
                <w:lang w:bidi="en-US"/>
              </w:rPr>
            </w:pPr>
            <w:r w:rsidRPr="00FD20BC">
              <w:rPr>
                <w:bCs/>
                <w:lang w:bidi="en-US"/>
              </w:rPr>
              <w:t>Would it save your organisation time to report at ANZSCO level 4 when compared to reporting at ANZSCO level 1?</w:t>
            </w:r>
          </w:p>
        </w:tc>
        <w:tc>
          <w:tcPr>
            <w:tcW w:w="3727" w:type="pct"/>
          </w:tcPr>
          <w:p w14:paraId="67E1D3D5"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 xml:space="preserve">A large portion of stakeholders confirmed that it would not save their organisation time to report at ANZSCO level 4. </w:t>
            </w:r>
          </w:p>
          <w:p w14:paraId="5D887462"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 xml:space="preserve">Organisations under the impression that reporting under the level 4 structure would increase time and regulatory burden and that level 1 coding is much simpler. </w:t>
            </w:r>
          </w:p>
          <w:p w14:paraId="56E5C3EB"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Many organisations were unable to provide an additional anticipated time, some more specific responses included:</w:t>
            </w:r>
          </w:p>
          <w:p w14:paraId="4799F2ED" w14:textId="77777777" w:rsidR="00FD20BC" w:rsidRPr="00FD20BC" w:rsidRDefault="00FD20BC" w:rsidP="003D0C74">
            <w:pPr>
              <w:numPr>
                <w:ilvl w:val="0"/>
                <w:numId w:val="66"/>
              </w:numPr>
              <w:spacing w:after="160" w:line="259" w:lineRule="auto"/>
              <w:cnfStyle w:val="000000000000" w:firstRow="0" w:lastRow="0" w:firstColumn="0" w:lastColumn="0" w:oddVBand="0" w:evenVBand="0" w:oddHBand="0" w:evenHBand="0" w:firstRowFirstColumn="0" w:firstRowLastColumn="0" w:lastRowFirstColumn="0" w:lastRowLastColumn="0"/>
            </w:pPr>
            <w:r w:rsidRPr="00FD20BC">
              <w:t>One additional month of a staff member</w:t>
            </w:r>
          </w:p>
          <w:p w14:paraId="78093ECB" w14:textId="77777777" w:rsidR="00FD20BC" w:rsidRPr="00FD20BC" w:rsidRDefault="00FD20BC" w:rsidP="003D0C74">
            <w:pPr>
              <w:numPr>
                <w:ilvl w:val="0"/>
                <w:numId w:val="66"/>
              </w:numPr>
              <w:spacing w:after="160" w:line="259" w:lineRule="auto"/>
              <w:cnfStyle w:val="000000000000" w:firstRow="0" w:lastRow="0" w:firstColumn="0" w:lastColumn="0" w:oddVBand="0" w:evenVBand="0" w:oddHBand="0" w:evenHBand="0" w:firstRowFirstColumn="0" w:firstRowLastColumn="0" w:lastRowFirstColumn="0" w:lastRowLastColumn="0"/>
            </w:pPr>
            <w:r w:rsidRPr="00FD20BC">
              <w:t>2 hours</w:t>
            </w:r>
          </w:p>
          <w:p w14:paraId="15BAE3A4" w14:textId="77777777" w:rsidR="00FD20BC" w:rsidRPr="00FD20BC" w:rsidRDefault="00FD20BC" w:rsidP="003D0C74">
            <w:pPr>
              <w:numPr>
                <w:ilvl w:val="0"/>
                <w:numId w:val="66"/>
              </w:numPr>
              <w:spacing w:after="160" w:line="259" w:lineRule="auto"/>
              <w:cnfStyle w:val="000000000000" w:firstRow="0" w:lastRow="0" w:firstColumn="0" w:lastColumn="0" w:oddVBand="0" w:evenVBand="0" w:oddHBand="0" w:evenHBand="0" w:firstRowFirstColumn="0" w:firstRowLastColumn="0" w:lastRowFirstColumn="0" w:lastRowLastColumn="0"/>
            </w:pPr>
            <w:r w:rsidRPr="00FD20BC">
              <w:t>4 hours</w:t>
            </w:r>
          </w:p>
          <w:p w14:paraId="3DBBC1A7" w14:textId="77777777" w:rsidR="00FD20BC" w:rsidRPr="00FD20BC" w:rsidRDefault="00FD20BC" w:rsidP="003D0C74">
            <w:pPr>
              <w:numPr>
                <w:ilvl w:val="0"/>
                <w:numId w:val="66"/>
              </w:numPr>
              <w:spacing w:after="160" w:line="259" w:lineRule="auto"/>
              <w:cnfStyle w:val="000000000000" w:firstRow="0" w:lastRow="0" w:firstColumn="0" w:lastColumn="0" w:oddVBand="0" w:evenVBand="0" w:oddHBand="0" w:evenHBand="0" w:firstRowFirstColumn="0" w:firstRowLastColumn="0" w:lastRowFirstColumn="0" w:lastRowLastColumn="0"/>
            </w:pPr>
            <w:r w:rsidRPr="00FD20BC">
              <w:t>20-30 hours</w:t>
            </w:r>
          </w:p>
          <w:p w14:paraId="6700EA8C" w14:textId="77777777" w:rsidR="00FD20BC" w:rsidRPr="00FD20BC" w:rsidRDefault="00FD20BC" w:rsidP="003D0C74">
            <w:pPr>
              <w:numPr>
                <w:ilvl w:val="0"/>
                <w:numId w:val="66"/>
              </w:numPr>
              <w:spacing w:after="160" w:line="259" w:lineRule="auto"/>
              <w:cnfStyle w:val="000000000000" w:firstRow="0" w:lastRow="0" w:firstColumn="0" w:lastColumn="0" w:oddVBand="0" w:evenVBand="0" w:oddHBand="0" w:evenHBand="0" w:firstRowFirstColumn="0" w:firstRowLastColumn="0" w:lastRowFirstColumn="0" w:lastRowLastColumn="0"/>
            </w:pPr>
            <w:r w:rsidRPr="00FD20BC">
              <w:t>1 extra FTE and 1 week to complete mapping</w:t>
            </w:r>
          </w:p>
          <w:p w14:paraId="2932F69F" w14:textId="77777777" w:rsidR="00FD20BC" w:rsidRPr="00FD20BC" w:rsidRDefault="00FD20BC" w:rsidP="003D0C74">
            <w:pPr>
              <w:numPr>
                <w:ilvl w:val="0"/>
                <w:numId w:val="66"/>
              </w:numPr>
              <w:spacing w:after="160" w:line="259" w:lineRule="auto"/>
              <w:cnfStyle w:val="000000000000" w:firstRow="0" w:lastRow="0" w:firstColumn="0" w:lastColumn="0" w:oddVBand="0" w:evenVBand="0" w:oddHBand="0" w:evenHBand="0" w:firstRowFirstColumn="0" w:firstRowLastColumn="0" w:lastRowFirstColumn="0" w:lastRowLastColumn="0"/>
            </w:pPr>
            <w:r w:rsidRPr="00FD20BC">
              <w:t>6 months, 2-3 FTE</w:t>
            </w:r>
          </w:p>
        </w:tc>
      </w:tr>
      <w:tr w:rsidR="00FD20BC" w:rsidRPr="00FD20BC" w14:paraId="31ED82DD" w14:textId="77777777" w:rsidTr="00FD2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66FA7BD6" w14:textId="77777777" w:rsidR="00FD20BC" w:rsidRPr="00FD20BC" w:rsidRDefault="00FD20BC" w:rsidP="00FD20BC">
            <w:pPr>
              <w:spacing w:after="160" w:line="259" w:lineRule="auto"/>
            </w:pPr>
            <w:r w:rsidRPr="00FD20BC">
              <w:t>3</w:t>
            </w:r>
          </w:p>
        </w:tc>
        <w:tc>
          <w:tcPr>
            <w:tcW w:w="984" w:type="pct"/>
          </w:tcPr>
          <w:p w14:paraId="326DBB7A"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rPr>
                <w:bCs/>
                <w:lang w:bidi="en-US"/>
              </w:rPr>
            </w:pPr>
            <w:r w:rsidRPr="00FD20BC">
              <w:rPr>
                <w:bCs/>
                <w:lang w:bidi="en-US"/>
              </w:rPr>
              <w:t>Does your organisation report at Corporate Group level?</w:t>
            </w:r>
          </w:p>
        </w:tc>
        <w:tc>
          <w:tcPr>
            <w:tcW w:w="3727" w:type="pct"/>
          </w:tcPr>
          <w:p w14:paraId="36BDFF07"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pPr>
            <w:r w:rsidRPr="00FD20BC">
              <w:t>A large portion of organisations confirmed that they report at Corporate Group level.</w:t>
            </w:r>
          </w:p>
        </w:tc>
      </w:tr>
      <w:tr w:rsidR="00FD20BC" w:rsidRPr="00FD20BC" w14:paraId="361A65C9" w14:textId="77777777" w:rsidTr="00FD20BC">
        <w:tc>
          <w:tcPr>
            <w:cnfStyle w:val="001000000000" w:firstRow="0" w:lastRow="0" w:firstColumn="1" w:lastColumn="0" w:oddVBand="0" w:evenVBand="0" w:oddHBand="0" w:evenHBand="0" w:firstRowFirstColumn="0" w:firstRowLastColumn="0" w:lastRowFirstColumn="0" w:lastRowLastColumn="0"/>
            <w:tcW w:w="289" w:type="pct"/>
          </w:tcPr>
          <w:p w14:paraId="7FC23185" w14:textId="77777777" w:rsidR="00FD20BC" w:rsidRPr="00FD20BC" w:rsidRDefault="00FD20BC" w:rsidP="00FD20BC">
            <w:pPr>
              <w:spacing w:after="160" w:line="259" w:lineRule="auto"/>
            </w:pPr>
            <w:r w:rsidRPr="00FD20BC">
              <w:t>4</w:t>
            </w:r>
          </w:p>
        </w:tc>
        <w:tc>
          <w:tcPr>
            <w:tcW w:w="984" w:type="pct"/>
          </w:tcPr>
          <w:p w14:paraId="57F2C855"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rPr>
                <w:bCs/>
                <w:lang w:bidi="en-US"/>
              </w:rPr>
            </w:pPr>
            <w:r w:rsidRPr="00FD20BC">
              <w:rPr>
                <w:bCs/>
                <w:lang w:bidi="en-US"/>
              </w:rPr>
              <w:t>Are you well-placed to report on manager categories at an entity level?</w:t>
            </w:r>
          </w:p>
        </w:tc>
        <w:tc>
          <w:tcPr>
            <w:tcW w:w="3727" w:type="pct"/>
          </w:tcPr>
          <w:p w14:paraId="17FC3907"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Most stakeholders reporting being well-places to report on manager categories at an entity level.</w:t>
            </w:r>
          </w:p>
          <w:p w14:paraId="42247458"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 xml:space="preserve">Many organisations felt that this change would be possible but involve a change in systems/ increased burden. </w:t>
            </w:r>
          </w:p>
          <w:p w14:paraId="0B9033A8"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 xml:space="preserve">Some employers drew attention to the fact that their different entities did not operate as standalone entities and had specific purposes, for these structures reporting at a group level made more sense to them as it aligned with their organisational hierarchy.  </w:t>
            </w:r>
          </w:p>
        </w:tc>
      </w:tr>
      <w:tr w:rsidR="00FD20BC" w:rsidRPr="00FD20BC" w14:paraId="0CFE40D9" w14:textId="77777777" w:rsidTr="00FD2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2DBF9AE0" w14:textId="77777777" w:rsidR="00FD20BC" w:rsidRPr="00FD20BC" w:rsidRDefault="00FD20BC" w:rsidP="00FD20BC">
            <w:pPr>
              <w:spacing w:after="160" w:line="259" w:lineRule="auto"/>
            </w:pPr>
            <w:r w:rsidRPr="00FD20BC">
              <w:t>5</w:t>
            </w:r>
          </w:p>
        </w:tc>
        <w:tc>
          <w:tcPr>
            <w:tcW w:w="984" w:type="pct"/>
          </w:tcPr>
          <w:p w14:paraId="2AA54876"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rPr>
                <w:bCs/>
                <w:lang w:bidi="en-US"/>
              </w:rPr>
            </w:pPr>
            <w:r w:rsidRPr="00FD20BC">
              <w:rPr>
                <w:bCs/>
                <w:lang w:bidi="en-US"/>
              </w:rPr>
              <w:t>What resources would be helpful for you when transitioning to categorising Managers at an entity level?</w:t>
            </w:r>
          </w:p>
        </w:tc>
        <w:tc>
          <w:tcPr>
            <w:tcW w:w="3727" w:type="pct"/>
          </w:tcPr>
          <w:p w14:paraId="21D99C7A"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pPr>
            <w:r w:rsidRPr="00FD20BC">
              <w:t>Common responses included:</w:t>
            </w:r>
          </w:p>
          <w:p w14:paraId="3454C458" w14:textId="77777777" w:rsidR="00FD20BC" w:rsidRPr="00FD20BC" w:rsidRDefault="00FD20BC" w:rsidP="003D0C74">
            <w:pPr>
              <w:numPr>
                <w:ilvl w:val="0"/>
                <w:numId w:val="65"/>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Clear guidance on what is expected from organisations during the reporting process. Some organisations felt that it was difficult to get a hold of WGEA support for reporting.</w:t>
            </w:r>
          </w:p>
          <w:p w14:paraId="32FD3D82" w14:textId="77777777" w:rsidR="00FD20BC" w:rsidRPr="00FD20BC" w:rsidRDefault="00FD20BC" w:rsidP="003D0C74">
            <w:pPr>
              <w:numPr>
                <w:ilvl w:val="0"/>
                <w:numId w:val="65"/>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Clear definitions on manager categories. </w:t>
            </w:r>
          </w:p>
          <w:p w14:paraId="382D8064" w14:textId="77777777" w:rsidR="00FD20BC" w:rsidRPr="00FD20BC" w:rsidRDefault="00FD20BC" w:rsidP="003D0C74">
            <w:pPr>
              <w:numPr>
                <w:ilvl w:val="0"/>
                <w:numId w:val="65"/>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Industry specific role definitions e.g. law firms</w:t>
            </w:r>
          </w:p>
          <w:p w14:paraId="44A33FD7" w14:textId="77777777" w:rsidR="00FD20BC" w:rsidRPr="00FD20BC" w:rsidRDefault="00FD20BC" w:rsidP="003D0C74">
            <w:pPr>
              <w:numPr>
                <w:ilvl w:val="0"/>
                <w:numId w:val="65"/>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Resources on how to streamline reporting. </w:t>
            </w:r>
          </w:p>
          <w:p w14:paraId="45D4E7D5" w14:textId="77777777" w:rsidR="00FD20BC" w:rsidRPr="00FD20BC" w:rsidRDefault="00FD20BC" w:rsidP="003D0C74">
            <w:pPr>
              <w:numPr>
                <w:ilvl w:val="0"/>
                <w:numId w:val="65"/>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Clarity on what is relevant to each entity level. </w:t>
            </w:r>
          </w:p>
          <w:p w14:paraId="13CEB039" w14:textId="77777777" w:rsidR="00FD20BC" w:rsidRPr="00FD20BC" w:rsidRDefault="00FD20BC" w:rsidP="003D0C74">
            <w:pPr>
              <w:numPr>
                <w:ilvl w:val="0"/>
                <w:numId w:val="65"/>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Tools for mapping.</w:t>
            </w:r>
          </w:p>
          <w:p w14:paraId="7B4B2603" w14:textId="77777777" w:rsidR="00FD20BC" w:rsidRPr="00FD20BC" w:rsidRDefault="00FD20BC" w:rsidP="003D0C74">
            <w:pPr>
              <w:numPr>
                <w:ilvl w:val="0"/>
                <w:numId w:val="65"/>
              </w:num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Guidance for complex corporate structures. </w:t>
            </w:r>
          </w:p>
        </w:tc>
      </w:tr>
      <w:tr w:rsidR="00FD20BC" w:rsidRPr="00FD20BC" w14:paraId="3A940DEB" w14:textId="77777777" w:rsidTr="00FD20BC">
        <w:tc>
          <w:tcPr>
            <w:cnfStyle w:val="001000000000" w:firstRow="0" w:lastRow="0" w:firstColumn="1" w:lastColumn="0" w:oddVBand="0" w:evenVBand="0" w:oddHBand="0" w:evenHBand="0" w:firstRowFirstColumn="0" w:firstRowLastColumn="0" w:lastRowFirstColumn="0" w:lastRowLastColumn="0"/>
            <w:tcW w:w="289" w:type="pct"/>
          </w:tcPr>
          <w:p w14:paraId="110A6CC6" w14:textId="77777777" w:rsidR="00FD20BC" w:rsidRPr="00FD20BC" w:rsidRDefault="00FD20BC" w:rsidP="00FD20BC">
            <w:pPr>
              <w:spacing w:after="160" w:line="259" w:lineRule="auto"/>
            </w:pPr>
            <w:r w:rsidRPr="00FD20BC">
              <w:t>6</w:t>
            </w:r>
          </w:p>
        </w:tc>
        <w:tc>
          <w:tcPr>
            <w:tcW w:w="984" w:type="pct"/>
          </w:tcPr>
          <w:p w14:paraId="57FB9449"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rPr>
                <w:bCs/>
                <w:lang w:bidi="en-US"/>
              </w:rPr>
            </w:pPr>
            <w:r w:rsidRPr="00FD20BC">
              <w:rPr>
                <w:bCs/>
                <w:lang w:bidi="en-US"/>
              </w:rPr>
              <w:t>Which of the options would your organisation prefer to report on?</w:t>
            </w:r>
          </w:p>
        </w:tc>
        <w:tc>
          <w:tcPr>
            <w:tcW w:w="3727" w:type="pct"/>
          </w:tcPr>
          <w:p w14:paraId="6974A2BD"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Stakeholders were fairly evenly divided between reporting on 31 March every year and reporting on any date between 31 March and 30 June every year.</w:t>
            </w:r>
          </w:p>
        </w:tc>
      </w:tr>
      <w:tr w:rsidR="00FD20BC" w:rsidRPr="00FD20BC" w14:paraId="1D26154C" w14:textId="77777777" w:rsidTr="00FD2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 w:type="pct"/>
          </w:tcPr>
          <w:p w14:paraId="5CE6C15E" w14:textId="77777777" w:rsidR="00FD20BC" w:rsidRPr="00FD20BC" w:rsidRDefault="00FD20BC" w:rsidP="00FD20BC">
            <w:pPr>
              <w:spacing w:after="160" w:line="259" w:lineRule="auto"/>
            </w:pPr>
            <w:r w:rsidRPr="00FD20BC">
              <w:t>7</w:t>
            </w:r>
          </w:p>
        </w:tc>
        <w:tc>
          <w:tcPr>
            <w:tcW w:w="984" w:type="pct"/>
          </w:tcPr>
          <w:p w14:paraId="1B951A8D"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rPr>
                <w:bCs/>
                <w:lang w:bidi="en-US"/>
              </w:rPr>
            </w:pPr>
            <w:r w:rsidRPr="00FD20BC">
              <w:rPr>
                <w:bCs/>
                <w:lang w:bidi="en-US"/>
              </w:rPr>
              <w:t>Would Option 1 impact your organisation?</w:t>
            </w:r>
          </w:p>
        </w:tc>
        <w:tc>
          <w:tcPr>
            <w:tcW w:w="3727" w:type="pct"/>
          </w:tcPr>
          <w:p w14:paraId="4228602D"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Many employers expressed a preference for consistent reporting cycle aligned with either the calendar or financial year. This is because the current WGEA date requires them to run a separate report that does not align with a payroll year. </w:t>
            </w:r>
          </w:p>
          <w:p w14:paraId="21FE66BB"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pPr>
            <w:r w:rsidRPr="00FD20BC">
              <w:t xml:space="preserve">A number of employers expressed that promotions are not finalised by 31 March so this data is not included. </w:t>
            </w:r>
          </w:p>
          <w:p w14:paraId="37B7D93E"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pPr>
            <w:r w:rsidRPr="00FD20BC">
              <w:t>However, a number of employers also said that 31 March worked well for them and aligned with other government reporting.</w:t>
            </w:r>
          </w:p>
          <w:p w14:paraId="2315FA0A" w14:textId="77777777" w:rsidR="00FD20BC" w:rsidRPr="00FD20BC" w:rsidRDefault="00FD20BC" w:rsidP="00FD20BC">
            <w:pPr>
              <w:spacing w:after="160" w:line="259" w:lineRule="auto"/>
              <w:cnfStyle w:val="000000100000" w:firstRow="0" w:lastRow="0" w:firstColumn="0" w:lastColumn="0" w:oddVBand="0" w:evenVBand="0" w:oddHBand="1" w:evenHBand="0" w:firstRowFirstColumn="0" w:firstRowLastColumn="0" w:lastRowFirstColumn="0" w:lastRowLastColumn="0"/>
            </w:pPr>
            <w:r w:rsidRPr="00FD20BC">
              <w:t>There was a general preference for flexibility in timing expressed. One employer expressed that should this date change they would need a year’s notice in order to update system.</w:t>
            </w:r>
          </w:p>
        </w:tc>
      </w:tr>
      <w:tr w:rsidR="00FD20BC" w:rsidRPr="00FD20BC" w14:paraId="39BE6958" w14:textId="77777777" w:rsidTr="00FD20BC">
        <w:tc>
          <w:tcPr>
            <w:cnfStyle w:val="001000000000" w:firstRow="0" w:lastRow="0" w:firstColumn="1" w:lastColumn="0" w:oddVBand="0" w:evenVBand="0" w:oddHBand="0" w:evenHBand="0" w:firstRowFirstColumn="0" w:firstRowLastColumn="0" w:lastRowFirstColumn="0" w:lastRowLastColumn="0"/>
            <w:tcW w:w="289" w:type="pct"/>
          </w:tcPr>
          <w:p w14:paraId="590BB8E8" w14:textId="77777777" w:rsidR="00FD20BC" w:rsidRPr="00FD20BC" w:rsidRDefault="00FD20BC" w:rsidP="00FD20BC">
            <w:pPr>
              <w:spacing w:after="160" w:line="259" w:lineRule="auto"/>
            </w:pPr>
            <w:r w:rsidRPr="00FD20BC">
              <w:t>8</w:t>
            </w:r>
          </w:p>
        </w:tc>
        <w:tc>
          <w:tcPr>
            <w:tcW w:w="984" w:type="pct"/>
          </w:tcPr>
          <w:p w14:paraId="31C1943E"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rPr>
                <w:bCs/>
                <w:lang w:bidi="en-US"/>
              </w:rPr>
            </w:pPr>
            <w:r w:rsidRPr="00FD20BC">
              <w:rPr>
                <w:bCs/>
                <w:lang w:bidi="en-US"/>
              </w:rPr>
              <w:t>Would Option 2 impact your organisation?</w:t>
            </w:r>
          </w:p>
        </w:tc>
        <w:tc>
          <w:tcPr>
            <w:tcW w:w="3727" w:type="pct"/>
          </w:tcPr>
          <w:p w14:paraId="6A60E0F1"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In contrast to the above question, majority of responses favoured a single date and drew attention to the fact that consistency would be hard to ensure.</w:t>
            </w:r>
          </w:p>
          <w:p w14:paraId="21A27643"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 xml:space="preserve">Some employers raised that the EOFY is a busy time for them and that the current reporting date avoids all work occurring at once.  </w:t>
            </w:r>
          </w:p>
          <w:p w14:paraId="709FB3B7" w14:textId="77777777" w:rsidR="00FD20BC" w:rsidRPr="00FD20BC" w:rsidRDefault="00FD20BC" w:rsidP="00FD20BC">
            <w:pPr>
              <w:spacing w:after="160" w:line="259" w:lineRule="auto"/>
              <w:cnfStyle w:val="000000000000" w:firstRow="0" w:lastRow="0" w:firstColumn="0" w:lastColumn="0" w:oddVBand="0" w:evenVBand="0" w:oddHBand="0" w:evenHBand="0" w:firstRowFirstColumn="0" w:firstRowLastColumn="0" w:lastRowFirstColumn="0" w:lastRowLastColumn="0"/>
            </w:pPr>
            <w:r w:rsidRPr="00FD20BC">
              <w:t xml:space="preserve">Some employers again raised a preference for flexibility and other said that they would be able to report to whatever data required. </w:t>
            </w:r>
          </w:p>
        </w:tc>
      </w:tr>
    </w:tbl>
    <w:p w14:paraId="58DC242B" w14:textId="77777777" w:rsidR="00FD20BC" w:rsidRPr="00FD20BC" w:rsidRDefault="00FD20BC" w:rsidP="00FD20BC">
      <w:pPr>
        <w:sectPr w:rsidR="00FD20BC" w:rsidRPr="00FD20BC" w:rsidSect="00FD20BC">
          <w:pgSz w:w="16838" w:h="11906" w:orient="landscape"/>
          <w:pgMar w:top="1440" w:right="1440" w:bottom="1440" w:left="1440" w:header="709" w:footer="709" w:gutter="0"/>
          <w:cols w:space="708"/>
          <w:docGrid w:linePitch="360"/>
        </w:sectPr>
      </w:pPr>
    </w:p>
    <w:p w14:paraId="10645F3D" w14:textId="77777777" w:rsidR="00FD20BC" w:rsidRPr="00FD20BC" w:rsidRDefault="00FD20BC" w:rsidP="00FD20BC">
      <w:pPr>
        <w:keepNext/>
        <w:keepLines/>
        <w:spacing w:before="240" w:after="0"/>
        <w:outlineLvl w:val="0"/>
        <w:rPr>
          <w:rFonts w:eastAsiaTheme="majorEastAsia" w:cstheme="minorHAnsi"/>
          <w:color w:val="2E74B5" w:themeColor="accent1" w:themeShade="BF"/>
          <w:sz w:val="32"/>
          <w:szCs w:val="32"/>
          <w:lang w:val="en-GB"/>
        </w:rPr>
      </w:pPr>
      <w:bookmarkStart w:id="155" w:name="_Toc125714755"/>
      <w:r w:rsidRPr="00FD20BC">
        <w:rPr>
          <w:rFonts w:eastAsiaTheme="majorEastAsia" w:cstheme="minorHAnsi"/>
          <w:color w:val="2E74B5" w:themeColor="accent1" w:themeShade="BF"/>
          <w:sz w:val="32"/>
          <w:szCs w:val="32"/>
          <w:lang w:val="en-GB"/>
        </w:rPr>
        <w:t>Appendix G – Roundtable Agendas</w:t>
      </w:r>
      <w:bookmarkEnd w:id="155"/>
    </w:p>
    <w:p w14:paraId="75A663ED" w14:textId="77777777" w:rsidR="00FD20BC" w:rsidRPr="00FD20BC" w:rsidRDefault="00D96BFB" w:rsidP="00FD20BC">
      <w:pPr>
        <w:spacing w:after="0" w:line="240" w:lineRule="auto"/>
        <w:jc w:val="center"/>
        <w:rPr>
          <w:rFonts w:asciiTheme="majorHAnsi" w:hAnsiTheme="majorHAnsi"/>
          <w:color w:val="191919" w:themeColor="text1" w:themeTint="E6"/>
          <w:sz w:val="16"/>
          <w:szCs w:val="20"/>
        </w:rPr>
      </w:pPr>
      <w:sdt>
        <w:sdtPr>
          <w:rPr>
            <w:rFonts w:asciiTheme="majorHAnsi" w:hAnsiTheme="majorHAnsi"/>
            <w:caps/>
            <w:noProof/>
            <w:color w:val="CD1719"/>
            <w:sz w:val="16"/>
            <w:szCs w:val="20"/>
          </w:rPr>
          <w:alias w:val="Classification"/>
          <w:tag w:val="Classification"/>
          <w:id w:val="1664196671"/>
          <w:dataBinding w:xpath="/root[1]/Classification[1]" w:storeItemID="{F533AE62-A212-4B26-92DA-A3B336E8AE06}"/>
          <w:dropDownList>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FD20BC" w:rsidRPr="00FD20BC">
            <w:rPr>
              <w:rFonts w:asciiTheme="majorHAnsi" w:hAnsiTheme="majorHAnsi"/>
              <w:caps/>
              <w:noProof/>
              <w:color w:val="CD1719"/>
              <w:sz w:val="16"/>
              <w:szCs w:val="20"/>
            </w:rPr>
            <w:t>OFFICIAL</w:t>
          </w:r>
        </w:sdtContent>
      </w:sdt>
    </w:p>
    <w:p w14:paraId="0B5460DB" w14:textId="77777777" w:rsidR="00FD20BC" w:rsidRPr="00FD20BC" w:rsidRDefault="00FD20BC" w:rsidP="00FD20BC">
      <w:pPr>
        <w:rPr>
          <w:b/>
          <w:sz w:val="32"/>
        </w:rPr>
      </w:pPr>
      <w:r w:rsidRPr="00FD20BC">
        <w:rPr>
          <w:b/>
          <w:sz w:val="32"/>
        </w:rPr>
        <w:t>Review of the Workplace Gender Equality Act 2012</w:t>
      </w:r>
      <w:r w:rsidRPr="00FD20BC">
        <w:rPr>
          <w:b/>
          <w:sz w:val="32"/>
        </w:rPr>
        <w:tab/>
      </w:r>
    </w:p>
    <w:p w14:paraId="3F145872" w14:textId="77777777" w:rsidR="00FD20BC" w:rsidRPr="00FD20BC" w:rsidRDefault="00FD20BC" w:rsidP="00FD20BC">
      <w:pPr>
        <w:rPr>
          <w:sz w:val="32"/>
        </w:rPr>
      </w:pPr>
      <w:r w:rsidRPr="00FD20BC">
        <w:rPr>
          <w:b/>
          <w:sz w:val="32"/>
        </w:rPr>
        <w:t>Data collection – non-binary employees</w:t>
      </w:r>
      <w:r w:rsidRPr="00FD20BC">
        <w:rPr>
          <w:sz w:val="32"/>
        </w:rPr>
        <w:tab/>
      </w:r>
    </w:p>
    <w:p w14:paraId="0A91F1AC" w14:textId="77777777" w:rsidR="00FD20BC" w:rsidRPr="00FD20BC" w:rsidRDefault="00FD20BC" w:rsidP="00FD20BC">
      <w:pPr>
        <w:rPr>
          <w:b/>
          <w:sz w:val="24"/>
        </w:rPr>
      </w:pPr>
      <w:r w:rsidRPr="00FD20BC">
        <w:rPr>
          <w:b/>
          <w:sz w:val="24"/>
        </w:rPr>
        <w:t>Roundtable Agenda</w:t>
      </w:r>
    </w:p>
    <w:p w14:paraId="1BF10850" w14:textId="77777777" w:rsidR="00FD20BC" w:rsidRPr="00FD20BC" w:rsidRDefault="00FD20BC" w:rsidP="00FD20BC">
      <w:pPr>
        <w:rPr>
          <w:b/>
          <w:sz w:val="24"/>
        </w:rPr>
      </w:pPr>
      <w:bookmarkStart w:id="156" w:name="_Toc114138574"/>
      <w:r w:rsidRPr="00FD20BC">
        <w:rPr>
          <w:b/>
          <w:sz w:val="24"/>
        </w:rPr>
        <w:t>19 September 2022</w:t>
      </w:r>
      <w:bookmarkEnd w:id="156"/>
    </w:p>
    <w:tbl>
      <w:tblPr>
        <w:tblStyle w:val="PMCDefaultTableStyle"/>
        <w:tblW w:w="10348" w:type="dxa"/>
        <w:tblInd w:w="-656" w:type="dxa"/>
        <w:tblLook w:val="0620" w:firstRow="1" w:lastRow="0" w:firstColumn="0" w:lastColumn="0" w:noHBand="1" w:noVBand="1"/>
      </w:tblPr>
      <w:tblGrid>
        <w:gridCol w:w="851"/>
        <w:gridCol w:w="8363"/>
        <w:gridCol w:w="1134"/>
      </w:tblGrid>
      <w:tr w:rsidR="00FD20BC" w:rsidRPr="00FD20BC" w14:paraId="4AF71C53" w14:textId="77777777" w:rsidTr="00FD20BC">
        <w:trPr>
          <w:cnfStyle w:val="100000000000" w:firstRow="1" w:lastRow="0" w:firstColumn="0" w:lastColumn="0" w:oddVBand="0" w:evenVBand="0" w:oddHBand="0" w:evenHBand="0" w:firstRowFirstColumn="0" w:firstRowLastColumn="0" w:lastRowFirstColumn="0" w:lastRowLastColumn="0"/>
          <w:trHeight w:val="737"/>
        </w:trPr>
        <w:tc>
          <w:tcPr>
            <w:tcW w:w="851" w:type="dxa"/>
          </w:tcPr>
          <w:p w14:paraId="08D89AB7" w14:textId="77777777" w:rsidR="00FD20BC" w:rsidRPr="00FD20BC" w:rsidRDefault="00FD20BC" w:rsidP="00FD20BC">
            <w:pPr>
              <w:spacing w:after="120"/>
            </w:pPr>
            <w:r w:rsidRPr="00FD20BC">
              <w:t>#</w:t>
            </w:r>
          </w:p>
        </w:tc>
        <w:tc>
          <w:tcPr>
            <w:tcW w:w="8363" w:type="dxa"/>
          </w:tcPr>
          <w:p w14:paraId="78B4140D" w14:textId="77777777" w:rsidR="00FD20BC" w:rsidRPr="00FD20BC" w:rsidRDefault="00FD20BC" w:rsidP="00FD20BC">
            <w:pPr>
              <w:spacing w:after="120"/>
            </w:pPr>
            <w:r w:rsidRPr="00FD20BC">
              <w:t>Item</w:t>
            </w:r>
          </w:p>
        </w:tc>
        <w:tc>
          <w:tcPr>
            <w:tcW w:w="1134" w:type="dxa"/>
          </w:tcPr>
          <w:p w14:paraId="2F72320E" w14:textId="77777777" w:rsidR="00FD20BC" w:rsidRPr="00FD20BC" w:rsidRDefault="00FD20BC" w:rsidP="00FD20BC">
            <w:pPr>
              <w:spacing w:after="120"/>
            </w:pPr>
            <w:r w:rsidRPr="00FD20BC">
              <w:t>Time</w:t>
            </w:r>
          </w:p>
        </w:tc>
      </w:tr>
      <w:tr w:rsidR="00FD20BC" w:rsidRPr="00FD20BC" w14:paraId="1259BF18" w14:textId="77777777" w:rsidTr="00FD20BC">
        <w:trPr>
          <w:trHeight w:val="737"/>
        </w:trPr>
        <w:tc>
          <w:tcPr>
            <w:tcW w:w="851" w:type="dxa"/>
          </w:tcPr>
          <w:p w14:paraId="050682CF" w14:textId="77777777" w:rsidR="00FD20BC" w:rsidRPr="00FD20BC" w:rsidRDefault="00FD20BC" w:rsidP="00FD20BC">
            <w:pPr>
              <w:spacing w:after="120"/>
            </w:pPr>
            <w:r w:rsidRPr="00FD20BC">
              <w:t>1</w:t>
            </w:r>
          </w:p>
        </w:tc>
        <w:tc>
          <w:tcPr>
            <w:tcW w:w="8363" w:type="dxa"/>
          </w:tcPr>
          <w:p w14:paraId="65D4ECD4" w14:textId="77777777" w:rsidR="00FD20BC" w:rsidRPr="00FD20BC" w:rsidRDefault="00FD20BC" w:rsidP="00FD20BC">
            <w:pPr>
              <w:spacing w:after="120"/>
              <w:rPr>
                <w:szCs w:val="18"/>
              </w:rPr>
            </w:pPr>
            <w:r w:rsidRPr="00FD20BC">
              <w:rPr>
                <w:szCs w:val="18"/>
              </w:rPr>
              <w:t>Welcome</w:t>
            </w:r>
          </w:p>
          <w:p w14:paraId="348E729C" w14:textId="77777777" w:rsidR="00FD20BC" w:rsidRPr="00FD20BC" w:rsidRDefault="00FD20BC" w:rsidP="003D0C74">
            <w:pPr>
              <w:numPr>
                <w:ilvl w:val="0"/>
                <w:numId w:val="73"/>
              </w:numPr>
              <w:spacing w:before="40" w:after="40"/>
              <w:rPr>
                <w:szCs w:val="18"/>
              </w:rPr>
            </w:pPr>
            <w:r w:rsidRPr="00FD20BC">
              <w:rPr>
                <w:szCs w:val="18"/>
              </w:rPr>
              <w:t>Acknowledgement of country</w:t>
            </w:r>
          </w:p>
          <w:p w14:paraId="57CF8C3C" w14:textId="77777777" w:rsidR="00FD20BC" w:rsidRPr="00FD20BC" w:rsidRDefault="00FD20BC" w:rsidP="003D0C74">
            <w:pPr>
              <w:numPr>
                <w:ilvl w:val="0"/>
                <w:numId w:val="73"/>
              </w:numPr>
              <w:spacing w:before="40" w:after="40"/>
              <w:rPr>
                <w:szCs w:val="18"/>
              </w:rPr>
            </w:pPr>
            <w:r w:rsidRPr="00FD20BC">
              <w:rPr>
                <w:szCs w:val="18"/>
              </w:rPr>
              <w:t>Welcome and introductions</w:t>
            </w:r>
          </w:p>
          <w:p w14:paraId="5043B12A" w14:textId="77777777" w:rsidR="00FD20BC" w:rsidRPr="00FD20BC" w:rsidRDefault="00FD20BC" w:rsidP="003D0C74">
            <w:pPr>
              <w:numPr>
                <w:ilvl w:val="0"/>
                <w:numId w:val="73"/>
              </w:numPr>
              <w:spacing w:before="40" w:after="40"/>
              <w:rPr>
                <w:szCs w:val="18"/>
              </w:rPr>
            </w:pPr>
            <w:r w:rsidRPr="00FD20BC">
              <w:rPr>
                <w:szCs w:val="18"/>
              </w:rPr>
              <w:t>Privacy notice</w:t>
            </w:r>
          </w:p>
          <w:p w14:paraId="4FF06A27" w14:textId="77777777" w:rsidR="00FD20BC" w:rsidRPr="00FD20BC" w:rsidRDefault="00FD20BC" w:rsidP="00FD20BC">
            <w:pPr>
              <w:spacing w:before="40" w:after="40"/>
              <w:ind w:left="720"/>
              <w:rPr>
                <w:szCs w:val="18"/>
              </w:rPr>
            </w:pPr>
          </w:p>
        </w:tc>
        <w:tc>
          <w:tcPr>
            <w:tcW w:w="1134" w:type="dxa"/>
          </w:tcPr>
          <w:p w14:paraId="55254876" w14:textId="77777777" w:rsidR="00FD20BC" w:rsidRPr="00FD20BC" w:rsidRDefault="00FD20BC" w:rsidP="00FD20BC">
            <w:pPr>
              <w:spacing w:after="120"/>
            </w:pPr>
            <w:r w:rsidRPr="00FD20BC">
              <w:t>10:00</w:t>
            </w:r>
          </w:p>
        </w:tc>
      </w:tr>
      <w:tr w:rsidR="00FD20BC" w:rsidRPr="00FD20BC" w14:paraId="2FC17794" w14:textId="77777777" w:rsidTr="00FD20BC">
        <w:trPr>
          <w:trHeight w:val="737"/>
        </w:trPr>
        <w:tc>
          <w:tcPr>
            <w:tcW w:w="851" w:type="dxa"/>
          </w:tcPr>
          <w:p w14:paraId="1804C899" w14:textId="77777777" w:rsidR="00FD20BC" w:rsidRPr="00FD20BC" w:rsidRDefault="00FD20BC" w:rsidP="00FD20BC">
            <w:r w:rsidRPr="00FD20BC">
              <w:t>2</w:t>
            </w:r>
          </w:p>
        </w:tc>
        <w:tc>
          <w:tcPr>
            <w:tcW w:w="8363" w:type="dxa"/>
          </w:tcPr>
          <w:p w14:paraId="0A9056FF" w14:textId="77777777" w:rsidR="00FD20BC" w:rsidRPr="00FD20BC" w:rsidRDefault="00FD20BC" w:rsidP="00FD20BC">
            <w:pPr>
              <w:rPr>
                <w:szCs w:val="18"/>
              </w:rPr>
            </w:pPr>
            <w:r w:rsidRPr="00FD20BC">
              <w:rPr>
                <w:szCs w:val="18"/>
              </w:rPr>
              <w:t>WGEA’s dataset</w:t>
            </w:r>
          </w:p>
          <w:p w14:paraId="5E663E11" w14:textId="77777777" w:rsidR="00FD20BC" w:rsidRPr="00FD20BC" w:rsidRDefault="00FD20BC" w:rsidP="003D0C74">
            <w:pPr>
              <w:numPr>
                <w:ilvl w:val="0"/>
                <w:numId w:val="74"/>
              </w:numPr>
              <w:contextualSpacing/>
              <w:rPr>
                <w:szCs w:val="18"/>
              </w:rPr>
            </w:pPr>
            <w:r w:rsidRPr="00FD20BC">
              <w:rPr>
                <w:szCs w:val="18"/>
              </w:rPr>
              <w:t>Overview of data WGEA currently collects</w:t>
            </w:r>
          </w:p>
          <w:p w14:paraId="1367EC51" w14:textId="77777777" w:rsidR="00FD20BC" w:rsidRPr="00FD20BC" w:rsidRDefault="00FD20BC" w:rsidP="003D0C74">
            <w:pPr>
              <w:numPr>
                <w:ilvl w:val="0"/>
                <w:numId w:val="74"/>
              </w:numPr>
              <w:contextualSpacing/>
              <w:rPr>
                <w:szCs w:val="18"/>
              </w:rPr>
            </w:pPr>
            <w:r w:rsidRPr="00FD20BC">
              <w:rPr>
                <w:szCs w:val="18"/>
              </w:rPr>
              <w:t xml:space="preserve">Explanation of proposed changes to  </w:t>
            </w:r>
            <w:r w:rsidRPr="00FD20BC">
              <w:t xml:space="preserve">Workplace Profile (WPP) and Workforce Management Statistics (WMS) </w:t>
            </w:r>
            <w:r w:rsidRPr="00FD20BC">
              <w:rPr>
                <w:szCs w:val="18"/>
              </w:rPr>
              <w:t>to collect non-binary data explained</w:t>
            </w:r>
          </w:p>
        </w:tc>
        <w:tc>
          <w:tcPr>
            <w:tcW w:w="1134" w:type="dxa"/>
            <w:shd w:val="clear" w:color="auto" w:fill="auto"/>
          </w:tcPr>
          <w:p w14:paraId="14E1A69C" w14:textId="77777777" w:rsidR="00FD20BC" w:rsidRPr="00FD20BC" w:rsidRDefault="00FD20BC" w:rsidP="00FD20BC">
            <w:pPr>
              <w:spacing w:before="40" w:after="40" w:line="240" w:lineRule="auto"/>
              <w:ind w:left="284" w:hanging="284"/>
            </w:pPr>
            <w:r w:rsidRPr="00FD20BC">
              <w:t>10:10</w:t>
            </w:r>
          </w:p>
        </w:tc>
      </w:tr>
      <w:tr w:rsidR="00FD20BC" w:rsidRPr="00FD20BC" w14:paraId="12784881" w14:textId="77777777" w:rsidTr="00FD20BC">
        <w:trPr>
          <w:trHeight w:val="737"/>
        </w:trPr>
        <w:tc>
          <w:tcPr>
            <w:tcW w:w="851" w:type="dxa"/>
          </w:tcPr>
          <w:p w14:paraId="2C15387E" w14:textId="77777777" w:rsidR="00FD20BC" w:rsidRPr="00FD20BC" w:rsidRDefault="00FD20BC" w:rsidP="00FD20BC">
            <w:r w:rsidRPr="00FD20BC">
              <w:t>3</w:t>
            </w:r>
          </w:p>
        </w:tc>
        <w:tc>
          <w:tcPr>
            <w:tcW w:w="8363" w:type="dxa"/>
          </w:tcPr>
          <w:p w14:paraId="4524F770" w14:textId="77777777" w:rsidR="00FD20BC" w:rsidRPr="00FD20BC" w:rsidRDefault="00FD20BC" w:rsidP="00FD20BC">
            <w:pPr>
              <w:rPr>
                <w:szCs w:val="18"/>
              </w:rPr>
            </w:pPr>
            <w:r w:rsidRPr="00FD20BC">
              <w:rPr>
                <w:szCs w:val="18"/>
              </w:rPr>
              <w:t>Availability and challenges of collecting data</w:t>
            </w:r>
          </w:p>
          <w:p w14:paraId="36357056" w14:textId="77777777" w:rsidR="00FD20BC" w:rsidRPr="00FD20BC" w:rsidRDefault="00FD20BC" w:rsidP="003D0C74">
            <w:pPr>
              <w:numPr>
                <w:ilvl w:val="0"/>
                <w:numId w:val="74"/>
              </w:numPr>
              <w:contextualSpacing/>
              <w:rPr>
                <w:i/>
                <w:szCs w:val="18"/>
              </w:rPr>
            </w:pPr>
            <w:r w:rsidRPr="00FD20BC">
              <w:rPr>
                <w:i/>
                <w:szCs w:val="18"/>
              </w:rPr>
              <w:t>Are businesses collecting data on whether employees identify as non-binary?</w:t>
            </w:r>
          </w:p>
          <w:p w14:paraId="3B235541" w14:textId="77777777" w:rsidR="00FD20BC" w:rsidRPr="00FD20BC" w:rsidRDefault="00FD20BC" w:rsidP="003D0C74">
            <w:pPr>
              <w:numPr>
                <w:ilvl w:val="0"/>
                <w:numId w:val="74"/>
              </w:numPr>
              <w:contextualSpacing/>
              <w:rPr>
                <w:i/>
                <w:szCs w:val="18"/>
              </w:rPr>
            </w:pPr>
            <w:r w:rsidRPr="00FD20BC">
              <w:rPr>
                <w:i/>
                <w:szCs w:val="18"/>
              </w:rPr>
              <w:t>What resources would be required to support businesses in collection of non-binary data?</w:t>
            </w:r>
          </w:p>
          <w:p w14:paraId="558A796D" w14:textId="77777777" w:rsidR="00FD20BC" w:rsidRPr="00FD20BC" w:rsidRDefault="00FD20BC" w:rsidP="003D0C74">
            <w:pPr>
              <w:numPr>
                <w:ilvl w:val="0"/>
                <w:numId w:val="74"/>
              </w:numPr>
              <w:contextualSpacing/>
              <w:rPr>
                <w:i/>
                <w:szCs w:val="18"/>
              </w:rPr>
            </w:pPr>
            <w:r w:rsidRPr="00FD20BC">
              <w:rPr>
                <w:i/>
              </w:rPr>
              <w:t>What are the challenges of collecting this data through a third party (the employers) and not through a self-reporting mechanism?</w:t>
            </w:r>
          </w:p>
          <w:p w14:paraId="3C612A22" w14:textId="77777777" w:rsidR="00FD20BC" w:rsidRPr="00FD20BC" w:rsidRDefault="00FD20BC" w:rsidP="003D0C74">
            <w:pPr>
              <w:numPr>
                <w:ilvl w:val="0"/>
                <w:numId w:val="74"/>
              </w:numPr>
              <w:contextualSpacing/>
              <w:rPr>
                <w:i/>
                <w:szCs w:val="18"/>
              </w:rPr>
            </w:pPr>
            <w:r w:rsidRPr="00FD20BC">
              <w:rPr>
                <w:i/>
                <w:szCs w:val="18"/>
              </w:rPr>
              <w:t>Would there be any advantage to a phased approach that works towards mandatory data collection?</w:t>
            </w:r>
          </w:p>
        </w:tc>
        <w:tc>
          <w:tcPr>
            <w:tcW w:w="1134" w:type="dxa"/>
            <w:shd w:val="clear" w:color="auto" w:fill="auto"/>
          </w:tcPr>
          <w:p w14:paraId="769A2487" w14:textId="77777777" w:rsidR="00FD20BC" w:rsidRPr="00FD20BC" w:rsidRDefault="00FD20BC" w:rsidP="00FD20BC">
            <w:pPr>
              <w:spacing w:before="40" w:after="40" w:line="240" w:lineRule="auto"/>
              <w:ind w:left="284" w:hanging="284"/>
            </w:pPr>
            <w:r w:rsidRPr="00FD20BC">
              <w:t>10:20</w:t>
            </w:r>
          </w:p>
        </w:tc>
      </w:tr>
      <w:tr w:rsidR="00FD20BC" w:rsidRPr="00FD20BC" w14:paraId="1CCBAA68" w14:textId="77777777" w:rsidTr="00FD20BC">
        <w:trPr>
          <w:trHeight w:val="737"/>
        </w:trPr>
        <w:tc>
          <w:tcPr>
            <w:tcW w:w="851" w:type="dxa"/>
          </w:tcPr>
          <w:p w14:paraId="2B824146" w14:textId="77777777" w:rsidR="00FD20BC" w:rsidRPr="00FD20BC" w:rsidRDefault="00FD20BC" w:rsidP="00FD20BC">
            <w:r w:rsidRPr="00FD20BC">
              <w:t>4</w:t>
            </w:r>
          </w:p>
        </w:tc>
        <w:tc>
          <w:tcPr>
            <w:tcW w:w="8363" w:type="dxa"/>
          </w:tcPr>
          <w:p w14:paraId="3F0EEE0D" w14:textId="77777777" w:rsidR="00FD20BC" w:rsidRPr="00FD20BC" w:rsidRDefault="00FD20BC" w:rsidP="00FD20BC">
            <w:r w:rsidRPr="00FD20BC">
              <w:t>ABS standard for Sex, Gender, Variations of Sex Characteristics and Sexual Orientation Variables (the ABS Standard)</w:t>
            </w:r>
          </w:p>
          <w:p w14:paraId="3ACF3779" w14:textId="77777777" w:rsidR="00FD20BC" w:rsidRPr="00FD20BC" w:rsidRDefault="00FD20BC" w:rsidP="003D0C74">
            <w:pPr>
              <w:numPr>
                <w:ilvl w:val="0"/>
                <w:numId w:val="74"/>
              </w:numPr>
              <w:contextualSpacing/>
              <w:rPr>
                <w:i/>
                <w:szCs w:val="18"/>
              </w:rPr>
            </w:pPr>
            <w:r w:rsidRPr="00FD20BC">
              <w:rPr>
                <w:i/>
              </w:rPr>
              <w:t xml:space="preserve">The recommended standard gender question structure and output categories from the ABS Standard is provided at Appendix A. </w:t>
            </w:r>
            <w:r w:rsidRPr="00FD20BC">
              <w:rPr>
                <w:i/>
                <w:szCs w:val="18"/>
              </w:rPr>
              <w:t>Are the output categories used in the ABS Standard the best option for WGEA to use in capturing data on non-binary employees?</w:t>
            </w:r>
          </w:p>
          <w:p w14:paraId="3A8FF320" w14:textId="77777777" w:rsidR="00FD20BC" w:rsidRPr="00FD20BC" w:rsidRDefault="00FD20BC" w:rsidP="003D0C74">
            <w:pPr>
              <w:numPr>
                <w:ilvl w:val="0"/>
                <w:numId w:val="74"/>
              </w:numPr>
              <w:contextualSpacing/>
              <w:rPr>
                <w:i/>
                <w:szCs w:val="18"/>
              </w:rPr>
            </w:pPr>
            <w:r w:rsidRPr="00FD20BC">
              <w:rPr>
                <w:i/>
              </w:rPr>
              <w:t xml:space="preserve">Given that the ABS Standard is written to ensure individuals can accurately describe their situation, how can WGEA’s data collection best align with the ABS Standard and other </w:t>
            </w:r>
            <w:r w:rsidRPr="00FD20BC">
              <w:rPr>
                <w:i/>
                <w:szCs w:val="18"/>
              </w:rPr>
              <w:t>Government</w:t>
            </w:r>
            <w:r w:rsidRPr="00FD20BC">
              <w:rPr>
                <w:i/>
              </w:rPr>
              <w:t xml:space="preserve"> guidelines given that data is collected through employers?</w:t>
            </w:r>
          </w:p>
        </w:tc>
        <w:tc>
          <w:tcPr>
            <w:tcW w:w="1134" w:type="dxa"/>
            <w:shd w:val="clear" w:color="auto" w:fill="auto"/>
          </w:tcPr>
          <w:p w14:paraId="3F6EE81E" w14:textId="77777777" w:rsidR="00FD20BC" w:rsidRPr="00FD20BC" w:rsidRDefault="00FD20BC" w:rsidP="00FD20BC">
            <w:r w:rsidRPr="00FD20BC">
              <w:t>10:50</w:t>
            </w:r>
          </w:p>
        </w:tc>
      </w:tr>
      <w:tr w:rsidR="00FD20BC" w:rsidRPr="00FD20BC" w14:paraId="003E6865" w14:textId="77777777" w:rsidTr="00FD20BC">
        <w:trPr>
          <w:trHeight w:val="737"/>
        </w:trPr>
        <w:tc>
          <w:tcPr>
            <w:tcW w:w="851" w:type="dxa"/>
          </w:tcPr>
          <w:p w14:paraId="4C5513A6" w14:textId="77777777" w:rsidR="00FD20BC" w:rsidRPr="00FD20BC" w:rsidRDefault="00FD20BC" w:rsidP="00FD20BC">
            <w:r w:rsidRPr="00FD20BC">
              <w:t>5</w:t>
            </w:r>
          </w:p>
        </w:tc>
        <w:tc>
          <w:tcPr>
            <w:tcW w:w="8363" w:type="dxa"/>
          </w:tcPr>
          <w:p w14:paraId="76DFA629" w14:textId="77777777" w:rsidR="00FD20BC" w:rsidRPr="00FD20BC" w:rsidRDefault="00FD20BC" w:rsidP="00FD20BC">
            <w:pPr>
              <w:rPr>
                <w:szCs w:val="18"/>
              </w:rPr>
            </w:pPr>
            <w:r w:rsidRPr="00FD20BC">
              <w:rPr>
                <w:szCs w:val="18"/>
              </w:rPr>
              <w:t>Privacy requirements</w:t>
            </w:r>
          </w:p>
          <w:p w14:paraId="7CF67172" w14:textId="77777777" w:rsidR="00FD20BC" w:rsidRPr="00FD20BC" w:rsidRDefault="00FD20BC" w:rsidP="003D0C74">
            <w:pPr>
              <w:numPr>
                <w:ilvl w:val="0"/>
                <w:numId w:val="74"/>
              </w:numPr>
              <w:contextualSpacing/>
              <w:rPr>
                <w:i/>
                <w:szCs w:val="18"/>
              </w:rPr>
            </w:pPr>
            <w:r w:rsidRPr="00FD20BC">
              <w:rPr>
                <w:i/>
              </w:rPr>
              <w:t>What are the privacy risks in collecting this data – for individuals, workplaces and WGEA?</w:t>
            </w:r>
          </w:p>
          <w:p w14:paraId="156B1AAD" w14:textId="77777777" w:rsidR="00FD20BC" w:rsidRPr="00FD20BC" w:rsidRDefault="00FD20BC" w:rsidP="003D0C74">
            <w:pPr>
              <w:numPr>
                <w:ilvl w:val="0"/>
                <w:numId w:val="74"/>
              </w:numPr>
              <w:contextualSpacing/>
              <w:rPr>
                <w:i/>
                <w:szCs w:val="18"/>
              </w:rPr>
            </w:pPr>
            <w:r w:rsidRPr="00FD20BC">
              <w:rPr>
                <w:i/>
              </w:rPr>
              <w:t>How can WGEA support employers in creating safe work environments?</w:t>
            </w:r>
          </w:p>
        </w:tc>
        <w:tc>
          <w:tcPr>
            <w:tcW w:w="1134" w:type="dxa"/>
            <w:shd w:val="clear" w:color="auto" w:fill="auto"/>
          </w:tcPr>
          <w:p w14:paraId="48EB26DB" w14:textId="77777777" w:rsidR="00FD20BC" w:rsidRPr="00FD20BC" w:rsidRDefault="00FD20BC" w:rsidP="00FD20BC">
            <w:r w:rsidRPr="00FD20BC">
              <w:t>11:10</w:t>
            </w:r>
          </w:p>
        </w:tc>
      </w:tr>
      <w:tr w:rsidR="00FD20BC" w:rsidRPr="00FD20BC" w14:paraId="12A9F0F8" w14:textId="77777777" w:rsidTr="00FD20BC">
        <w:trPr>
          <w:trHeight w:val="737"/>
        </w:trPr>
        <w:tc>
          <w:tcPr>
            <w:tcW w:w="851" w:type="dxa"/>
            <w:shd w:val="clear" w:color="auto" w:fill="auto"/>
          </w:tcPr>
          <w:p w14:paraId="75378D15" w14:textId="77777777" w:rsidR="00FD20BC" w:rsidRPr="00FD20BC" w:rsidRDefault="00FD20BC" w:rsidP="00FD20BC">
            <w:r w:rsidRPr="00FD20BC">
              <w:t>6</w:t>
            </w:r>
          </w:p>
        </w:tc>
        <w:tc>
          <w:tcPr>
            <w:tcW w:w="8363" w:type="dxa"/>
            <w:shd w:val="clear" w:color="auto" w:fill="auto"/>
          </w:tcPr>
          <w:p w14:paraId="6F2C46C7" w14:textId="77777777" w:rsidR="00FD20BC" w:rsidRPr="00FD20BC" w:rsidRDefault="00FD20BC" w:rsidP="00FD20BC">
            <w:pPr>
              <w:spacing w:after="120"/>
              <w:rPr>
                <w:szCs w:val="18"/>
              </w:rPr>
            </w:pPr>
            <w:r w:rsidRPr="00FD20BC">
              <w:rPr>
                <w:szCs w:val="18"/>
              </w:rPr>
              <w:t>Wrap up and close</w:t>
            </w:r>
          </w:p>
          <w:p w14:paraId="10A43AF4" w14:textId="77777777" w:rsidR="00FD20BC" w:rsidRPr="00FD20BC" w:rsidRDefault="00FD20BC" w:rsidP="003D0C74">
            <w:pPr>
              <w:numPr>
                <w:ilvl w:val="0"/>
                <w:numId w:val="74"/>
              </w:numPr>
              <w:spacing w:after="0" w:line="240" w:lineRule="auto"/>
            </w:pPr>
            <w:r w:rsidRPr="00FD20BC">
              <w:t>Summary of key points raised</w:t>
            </w:r>
          </w:p>
          <w:p w14:paraId="07766375" w14:textId="77777777" w:rsidR="00FD20BC" w:rsidRPr="00FD20BC" w:rsidRDefault="00FD20BC" w:rsidP="00FD20BC">
            <w:pPr>
              <w:spacing w:after="0" w:line="240" w:lineRule="auto"/>
              <w:ind w:left="720"/>
            </w:pPr>
          </w:p>
        </w:tc>
        <w:tc>
          <w:tcPr>
            <w:tcW w:w="1134" w:type="dxa"/>
            <w:shd w:val="clear" w:color="auto" w:fill="auto"/>
          </w:tcPr>
          <w:p w14:paraId="63D2378C" w14:textId="77777777" w:rsidR="00FD20BC" w:rsidRPr="00FD20BC" w:rsidRDefault="00FD20BC" w:rsidP="00FD20BC">
            <w:pPr>
              <w:spacing w:before="40" w:after="40" w:line="240" w:lineRule="auto"/>
              <w:ind w:left="284" w:hanging="284"/>
            </w:pPr>
            <w:r w:rsidRPr="00FD20BC">
              <w:t>11:25</w:t>
            </w:r>
          </w:p>
        </w:tc>
      </w:tr>
    </w:tbl>
    <w:p w14:paraId="1C8E1E48" w14:textId="77777777" w:rsidR="00FD20BC" w:rsidRPr="00FD20BC" w:rsidRDefault="00FD20BC" w:rsidP="00FD20BC">
      <w:pPr>
        <w:spacing w:after="120"/>
      </w:pPr>
    </w:p>
    <w:p w14:paraId="132C6EE0" w14:textId="77777777" w:rsidR="00FD20BC" w:rsidRPr="00FD20BC" w:rsidRDefault="00FD20BC" w:rsidP="00FD20BC">
      <w:pPr>
        <w:spacing w:after="120"/>
        <w:rPr>
          <w:b/>
        </w:rPr>
      </w:pPr>
    </w:p>
    <w:p w14:paraId="2AA63C20" w14:textId="77777777" w:rsidR="00FD20BC" w:rsidRPr="00FD20BC" w:rsidRDefault="00FD20BC" w:rsidP="00FD20BC">
      <w:pPr>
        <w:spacing w:after="120"/>
        <w:rPr>
          <w:b/>
        </w:rPr>
      </w:pPr>
    </w:p>
    <w:p w14:paraId="465D6CAB" w14:textId="77777777" w:rsidR="00FD20BC" w:rsidRPr="00FD20BC" w:rsidRDefault="00FD20BC" w:rsidP="00FD20BC">
      <w:pPr>
        <w:spacing w:after="120"/>
        <w:rPr>
          <w:b/>
        </w:rPr>
      </w:pPr>
    </w:p>
    <w:p w14:paraId="091EBC2F" w14:textId="77777777" w:rsidR="00FD20BC" w:rsidRPr="00FD20BC" w:rsidRDefault="00FD20BC" w:rsidP="00FD20BC">
      <w:pPr>
        <w:spacing w:after="120"/>
        <w:rPr>
          <w:b/>
        </w:rPr>
      </w:pPr>
      <w:r w:rsidRPr="00FD20BC">
        <w:rPr>
          <w:b/>
        </w:rPr>
        <w:t>Appendix A – Excerpts from ABS Standard</w:t>
      </w:r>
    </w:p>
    <w:p w14:paraId="7B26054D" w14:textId="77777777" w:rsidR="00FD20BC" w:rsidRPr="00FD20BC" w:rsidRDefault="00FD20BC" w:rsidP="00FD20BC">
      <w:pPr>
        <w:spacing w:after="120"/>
      </w:pPr>
    </w:p>
    <w:p w14:paraId="7CA65DF2" w14:textId="77777777" w:rsidR="00FD20BC" w:rsidRPr="00FD20BC" w:rsidRDefault="00FD20BC" w:rsidP="00FD20BC">
      <w:pPr>
        <w:spacing w:after="120"/>
      </w:pPr>
      <w:r w:rsidRPr="00FD20BC">
        <w:rPr>
          <w:noProof/>
          <w:lang w:eastAsia="en-AU"/>
        </w:rPr>
        <w:drawing>
          <wp:inline distT="0" distB="0" distL="0" distR="0" wp14:anchorId="202711F8" wp14:editId="15E909D3">
            <wp:extent cx="5209954" cy="3221757"/>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226329" cy="3231883"/>
                    </a:xfrm>
                    <a:prstGeom prst="rect">
                      <a:avLst/>
                    </a:prstGeom>
                  </pic:spPr>
                </pic:pic>
              </a:graphicData>
            </a:graphic>
          </wp:inline>
        </w:drawing>
      </w:r>
    </w:p>
    <w:p w14:paraId="156EFA3D" w14:textId="77777777" w:rsidR="00FD20BC" w:rsidRPr="00FD20BC" w:rsidRDefault="00FD20BC" w:rsidP="00FD20BC">
      <w:pPr>
        <w:spacing w:after="120"/>
      </w:pPr>
      <w:r w:rsidRPr="00FD20BC">
        <w:rPr>
          <w:noProof/>
          <w:lang w:eastAsia="en-AU"/>
        </w:rPr>
        <w:drawing>
          <wp:inline distT="0" distB="0" distL="0" distR="0" wp14:anchorId="282A9602" wp14:editId="04C9809B">
            <wp:extent cx="4720856" cy="2658624"/>
            <wp:effectExtent l="0" t="0" r="3810" b="889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746981" cy="2673337"/>
                    </a:xfrm>
                    <a:prstGeom prst="rect">
                      <a:avLst/>
                    </a:prstGeom>
                  </pic:spPr>
                </pic:pic>
              </a:graphicData>
            </a:graphic>
          </wp:inline>
        </w:drawing>
      </w:r>
    </w:p>
    <w:p w14:paraId="5D82AA3C" w14:textId="77777777" w:rsidR="00FD20BC" w:rsidRPr="00FD20BC" w:rsidRDefault="00FD20BC" w:rsidP="00FD20BC">
      <w:pPr>
        <w:spacing w:after="120"/>
      </w:pPr>
      <w:r w:rsidRPr="00FD20BC">
        <w:t xml:space="preserve">Full text available at </w:t>
      </w:r>
      <w:hyperlink r:id="rId39" w:history="1">
        <w:r w:rsidRPr="00FD20BC">
          <w:rPr>
            <w:color w:val="0000FF"/>
            <w:u w:val="single"/>
          </w:rPr>
          <w:t>https://www.abs.gov.au/statistics/standards/standard-sex-gender-variations-sex-characteristics-and-sexual-orientation-variables/latest-release</w:t>
        </w:r>
      </w:hyperlink>
      <w:r w:rsidRPr="00FD20BC">
        <w:t xml:space="preserve"> </w:t>
      </w:r>
    </w:p>
    <w:p w14:paraId="78C9A2D9" w14:textId="77777777" w:rsidR="00FD20BC" w:rsidRPr="00FD20BC" w:rsidRDefault="00FD20BC" w:rsidP="00FD20BC"/>
    <w:p w14:paraId="6A7963FA" w14:textId="77777777" w:rsidR="00FD20BC" w:rsidRPr="00FD20BC" w:rsidRDefault="00FD20BC" w:rsidP="00FD20BC"/>
    <w:p w14:paraId="4DFD657B" w14:textId="77777777" w:rsidR="00FD20BC" w:rsidRPr="00FD20BC" w:rsidRDefault="00FD20BC" w:rsidP="00FD20BC">
      <w:pPr>
        <w:rPr>
          <w:lang w:val="en-GB"/>
        </w:rPr>
      </w:pPr>
    </w:p>
    <w:p w14:paraId="0D2AFC99" w14:textId="77777777" w:rsidR="00FD20BC" w:rsidRPr="00FD20BC" w:rsidRDefault="00FD20BC" w:rsidP="00FD20BC">
      <w:pPr>
        <w:rPr>
          <w:lang w:val="en-GB"/>
        </w:rPr>
      </w:pPr>
    </w:p>
    <w:p w14:paraId="4529360D" w14:textId="77777777" w:rsidR="00FD20BC" w:rsidRPr="00FD20BC" w:rsidRDefault="00FD20BC" w:rsidP="00FD20BC">
      <w:pPr>
        <w:rPr>
          <w:lang w:val="en-GB"/>
        </w:rPr>
      </w:pPr>
    </w:p>
    <w:p w14:paraId="590B5A9A" w14:textId="77777777" w:rsidR="00FD20BC" w:rsidRPr="00FD20BC" w:rsidRDefault="00FD20BC" w:rsidP="00FD20BC">
      <w:pPr>
        <w:rPr>
          <w:lang w:val="en-GB"/>
        </w:rPr>
      </w:pPr>
    </w:p>
    <w:p w14:paraId="239FA388" w14:textId="77777777" w:rsidR="00FD20BC" w:rsidRPr="00FD20BC" w:rsidRDefault="00D96BFB" w:rsidP="00FD20BC">
      <w:pPr>
        <w:spacing w:after="0" w:line="240" w:lineRule="auto"/>
        <w:jc w:val="center"/>
        <w:rPr>
          <w:rFonts w:asciiTheme="majorHAnsi" w:hAnsiTheme="majorHAnsi"/>
          <w:color w:val="191919" w:themeColor="text1" w:themeTint="E6"/>
          <w:sz w:val="16"/>
          <w:szCs w:val="20"/>
        </w:rPr>
      </w:pPr>
      <w:sdt>
        <w:sdtPr>
          <w:rPr>
            <w:rFonts w:asciiTheme="majorHAnsi" w:hAnsiTheme="majorHAnsi"/>
            <w:caps/>
            <w:noProof/>
            <w:color w:val="CD1719"/>
            <w:sz w:val="16"/>
            <w:szCs w:val="20"/>
          </w:rPr>
          <w:alias w:val="Classification"/>
          <w:tag w:val="Classification"/>
          <w:id w:val="1065232873"/>
          <w:dataBinding w:xpath="/root[1]/Classification[1]" w:storeItemID="{F533AE62-A212-4B26-92DA-A3B336E8AE06}"/>
          <w:dropDownList>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FD20BC" w:rsidRPr="00FD20BC">
            <w:rPr>
              <w:rFonts w:asciiTheme="majorHAnsi" w:hAnsiTheme="majorHAnsi"/>
              <w:caps/>
              <w:noProof/>
              <w:color w:val="CD1719"/>
              <w:sz w:val="16"/>
              <w:szCs w:val="20"/>
            </w:rPr>
            <w:t>OFFICIAL</w:t>
          </w:r>
        </w:sdtContent>
      </w:sdt>
    </w:p>
    <w:p w14:paraId="3E516D3A" w14:textId="77777777" w:rsidR="00FD20BC" w:rsidRPr="00FD20BC" w:rsidRDefault="00FD20BC" w:rsidP="00FD20BC">
      <w:pPr>
        <w:keepNext/>
        <w:keepLines/>
        <w:tabs>
          <w:tab w:val="left" w:pos="7535"/>
        </w:tabs>
        <w:spacing w:after="120" w:line="264" w:lineRule="auto"/>
        <w:outlineLvl w:val="0"/>
        <w:rPr>
          <w:rFonts w:asciiTheme="majorHAnsi" w:hAnsiTheme="majorHAnsi"/>
          <w:b/>
          <w:color w:val="44546A" w:themeColor="text2"/>
          <w:sz w:val="60"/>
          <w:szCs w:val="60"/>
        </w:rPr>
      </w:pPr>
      <w:bookmarkStart w:id="157" w:name="_Toc114210748"/>
      <w:bookmarkStart w:id="158" w:name="_Toc114225447"/>
      <w:bookmarkStart w:id="159" w:name="_Toc114226323"/>
      <w:bookmarkStart w:id="160" w:name="_Toc114232575"/>
      <w:bookmarkStart w:id="161" w:name="_Toc125541199"/>
      <w:bookmarkStart w:id="162" w:name="_Toc125541391"/>
      <w:bookmarkStart w:id="163" w:name="_Toc125541498"/>
      <w:bookmarkStart w:id="164" w:name="_Toc125712273"/>
      <w:bookmarkStart w:id="165" w:name="_Toc125714756"/>
      <w:r w:rsidRPr="00FD20BC">
        <w:rPr>
          <w:rFonts w:asciiTheme="majorHAnsi" w:hAnsiTheme="majorHAnsi"/>
          <w:b/>
          <w:color w:val="44546A" w:themeColor="text2"/>
          <w:sz w:val="40"/>
          <w:szCs w:val="60"/>
        </w:rPr>
        <w:t xml:space="preserve">Review of the </w:t>
      </w:r>
      <w:r w:rsidRPr="00FD20BC">
        <w:rPr>
          <w:rFonts w:asciiTheme="majorHAnsi" w:hAnsiTheme="majorHAnsi"/>
          <w:b/>
          <w:i/>
          <w:color w:val="44546A" w:themeColor="text2"/>
          <w:sz w:val="40"/>
          <w:szCs w:val="60"/>
        </w:rPr>
        <w:t>Workplace Gender Equality Act 2012</w:t>
      </w:r>
      <w:bookmarkEnd w:id="157"/>
      <w:bookmarkEnd w:id="158"/>
      <w:bookmarkEnd w:id="159"/>
      <w:bookmarkEnd w:id="160"/>
      <w:bookmarkEnd w:id="161"/>
      <w:bookmarkEnd w:id="162"/>
      <w:bookmarkEnd w:id="163"/>
      <w:bookmarkEnd w:id="164"/>
      <w:bookmarkEnd w:id="165"/>
      <w:r w:rsidRPr="00FD20BC">
        <w:rPr>
          <w:rFonts w:asciiTheme="majorHAnsi" w:hAnsiTheme="majorHAnsi"/>
          <w:b/>
          <w:color w:val="44546A" w:themeColor="text2"/>
          <w:sz w:val="60"/>
          <w:szCs w:val="60"/>
        </w:rPr>
        <w:tab/>
      </w:r>
    </w:p>
    <w:p w14:paraId="54D81539" w14:textId="77777777" w:rsidR="00FD20BC" w:rsidRPr="00FD20BC" w:rsidRDefault="00FD20BC" w:rsidP="00FD20BC">
      <w:pPr>
        <w:keepNext/>
        <w:keepLines/>
        <w:tabs>
          <w:tab w:val="left" w:pos="8870"/>
        </w:tabs>
        <w:spacing w:after="120" w:line="264" w:lineRule="auto"/>
        <w:outlineLvl w:val="0"/>
        <w:rPr>
          <w:rFonts w:asciiTheme="majorHAnsi" w:hAnsiTheme="majorHAnsi"/>
          <w:b/>
          <w:color w:val="44546A" w:themeColor="text2"/>
          <w:sz w:val="32"/>
          <w:szCs w:val="60"/>
        </w:rPr>
      </w:pPr>
      <w:bookmarkStart w:id="166" w:name="_Toc114210749"/>
      <w:bookmarkStart w:id="167" w:name="_Toc114225448"/>
      <w:bookmarkStart w:id="168" w:name="_Toc114226324"/>
      <w:bookmarkStart w:id="169" w:name="_Toc114232576"/>
      <w:bookmarkStart w:id="170" w:name="_Toc125541200"/>
      <w:bookmarkStart w:id="171" w:name="_Toc125541392"/>
      <w:bookmarkStart w:id="172" w:name="_Toc125541499"/>
      <w:bookmarkStart w:id="173" w:name="_Toc125712274"/>
      <w:bookmarkStart w:id="174" w:name="_Toc125714757"/>
      <w:r w:rsidRPr="00FD20BC">
        <w:rPr>
          <w:rFonts w:asciiTheme="majorHAnsi" w:hAnsiTheme="majorHAnsi"/>
          <w:b/>
          <w:color w:val="44546A" w:themeColor="text2"/>
          <w:sz w:val="32"/>
          <w:szCs w:val="60"/>
        </w:rPr>
        <w:t>Further consultation with business peaks</w:t>
      </w:r>
      <w:bookmarkEnd w:id="166"/>
      <w:bookmarkEnd w:id="167"/>
      <w:bookmarkEnd w:id="168"/>
      <w:bookmarkEnd w:id="169"/>
      <w:bookmarkEnd w:id="170"/>
      <w:bookmarkEnd w:id="171"/>
      <w:bookmarkEnd w:id="172"/>
      <w:bookmarkEnd w:id="173"/>
      <w:bookmarkEnd w:id="174"/>
      <w:r w:rsidRPr="00FD20BC">
        <w:rPr>
          <w:rFonts w:asciiTheme="majorHAnsi" w:hAnsiTheme="majorHAnsi"/>
          <w:b/>
          <w:color w:val="44546A" w:themeColor="text2"/>
          <w:sz w:val="32"/>
          <w:szCs w:val="60"/>
        </w:rPr>
        <w:tab/>
      </w:r>
    </w:p>
    <w:p w14:paraId="00B30CAB" w14:textId="77777777" w:rsidR="00FD20BC" w:rsidRPr="00FD20BC" w:rsidRDefault="00FD20BC" w:rsidP="00FD20BC">
      <w:pPr>
        <w:numPr>
          <w:ilvl w:val="1"/>
          <w:numId w:val="0"/>
        </w:numPr>
        <w:spacing w:after="0" w:line="264" w:lineRule="auto"/>
        <w:rPr>
          <w:rFonts w:asciiTheme="majorHAnsi" w:eastAsiaTheme="minorEastAsia" w:hAnsiTheme="majorHAnsi"/>
          <w:color w:val="44546A" w:themeColor="text2"/>
          <w:spacing w:val="15"/>
          <w:sz w:val="28"/>
        </w:rPr>
      </w:pPr>
      <w:r w:rsidRPr="00FD20BC">
        <w:rPr>
          <w:rFonts w:asciiTheme="majorHAnsi" w:eastAsiaTheme="minorEastAsia" w:hAnsiTheme="majorHAnsi"/>
          <w:color w:val="44546A" w:themeColor="text2"/>
          <w:spacing w:val="15"/>
          <w:sz w:val="28"/>
        </w:rPr>
        <w:t>Roundtable Agenda</w:t>
      </w:r>
    </w:p>
    <w:p w14:paraId="6FF9B13E" w14:textId="77777777" w:rsidR="00FD20BC" w:rsidRPr="00FD20BC" w:rsidRDefault="00FD20BC" w:rsidP="00FD20BC">
      <w:pPr>
        <w:keepNext/>
        <w:keepLines/>
        <w:spacing w:after="0" w:line="264" w:lineRule="auto"/>
        <w:outlineLvl w:val="0"/>
        <w:rPr>
          <w:rFonts w:asciiTheme="majorHAnsi" w:hAnsiTheme="majorHAnsi"/>
          <w:b/>
          <w:color w:val="44546A" w:themeColor="text2"/>
          <w:szCs w:val="60"/>
        </w:rPr>
      </w:pPr>
      <w:r w:rsidRPr="00FD20BC">
        <w:rPr>
          <w:rFonts w:asciiTheme="majorHAnsi" w:hAnsiTheme="majorHAnsi"/>
          <w:b/>
          <w:color w:val="44546A" w:themeColor="text2"/>
        </w:rPr>
        <w:t xml:space="preserve"> </w:t>
      </w:r>
      <w:bookmarkStart w:id="175" w:name="_Toc114210750"/>
      <w:bookmarkStart w:id="176" w:name="_Toc114225449"/>
      <w:bookmarkStart w:id="177" w:name="_Toc114226325"/>
      <w:bookmarkStart w:id="178" w:name="_Toc114232577"/>
      <w:bookmarkStart w:id="179" w:name="_Toc125541201"/>
      <w:bookmarkStart w:id="180" w:name="_Toc125541393"/>
      <w:bookmarkStart w:id="181" w:name="_Toc125541500"/>
      <w:bookmarkStart w:id="182" w:name="_Toc125712275"/>
      <w:bookmarkStart w:id="183" w:name="_Toc125714758"/>
      <w:r w:rsidRPr="00FD20BC">
        <w:rPr>
          <w:rFonts w:asciiTheme="majorHAnsi" w:hAnsiTheme="majorHAnsi"/>
          <w:b/>
          <w:color w:val="44546A" w:themeColor="text2"/>
        </w:rPr>
        <w:t>20 September 2022</w:t>
      </w:r>
      <w:bookmarkEnd w:id="175"/>
      <w:bookmarkEnd w:id="176"/>
      <w:bookmarkEnd w:id="177"/>
      <w:bookmarkEnd w:id="178"/>
      <w:bookmarkEnd w:id="179"/>
      <w:bookmarkEnd w:id="180"/>
      <w:bookmarkEnd w:id="181"/>
      <w:bookmarkEnd w:id="182"/>
      <w:bookmarkEnd w:id="183"/>
    </w:p>
    <w:tbl>
      <w:tblPr>
        <w:tblStyle w:val="PMCDefaultTableStyle"/>
        <w:tblW w:w="0" w:type="auto"/>
        <w:tblLook w:val="0620" w:firstRow="1" w:lastRow="0" w:firstColumn="0" w:lastColumn="0" w:noHBand="1" w:noVBand="1"/>
      </w:tblPr>
      <w:tblGrid>
        <w:gridCol w:w="826"/>
        <w:gridCol w:w="6680"/>
        <w:gridCol w:w="1520"/>
      </w:tblGrid>
      <w:tr w:rsidR="00FD20BC" w:rsidRPr="00FD20BC" w14:paraId="00A16EE4" w14:textId="77777777" w:rsidTr="00FD20BC">
        <w:trPr>
          <w:cnfStyle w:val="100000000000" w:firstRow="1" w:lastRow="0" w:firstColumn="0" w:lastColumn="0" w:oddVBand="0" w:evenVBand="0" w:oddHBand="0" w:evenHBand="0" w:firstRowFirstColumn="0" w:firstRowLastColumn="0" w:lastRowFirstColumn="0" w:lastRowLastColumn="0"/>
          <w:trHeight w:val="737"/>
        </w:trPr>
        <w:tc>
          <w:tcPr>
            <w:tcW w:w="832" w:type="dxa"/>
          </w:tcPr>
          <w:p w14:paraId="59118F69" w14:textId="77777777" w:rsidR="00FD20BC" w:rsidRPr="00FD20BC" w:rsidRDefault="00FD20BC" w:rsidP="003D0C74">
            <w:pPr>
              <w:numPr>
                <w:ilvl w:val="0"/>
                <w:numId w:val="72"/>
              </w:numPr>
              <w:spacing w:before="40" w:after="120"/>
              <w:ind w:left="284" w:hanging="284"/>
            </w:pPr>
            <w:r w:rsidRPr="00FD20BC">
              <w:t>#</w:t>
            </w:r>
          </w:p>
        </w:tc>
        <w:tc>
          <w:tcPr>
            <w:tcW w:w="6790" w:type="dxa"/>
          </w:tcPr>
          <w:p w14:paraId="11B78624" w14:textId="77777777" w:rsidR="00FD20BC" w:rsidRPr="00FD20BC" w:rsidRDefault="00FD20BC" w:rsidP="003D0C74">
            <w:pPr>
              <w:numPr>
                <w:ilvl w:val="0"/>
                <w:numId w:val="72"/>
              </w:numPr>
              <w:spacing w:before="40" w:after="120"/>
              <w:ind w:left="284" w:hanging="284"/>
            </w:pPr>
            <w:r w:rsidRPr="00FD20BC">
              <w:t>Item</w:t>
            </w:r>
          </w:p>
        </w:tc>
        <w:tc>
          <w:tcPr>
            <w:tcW w:w="1536" w:type="dxa"/>
          </w:tcPr>
          <w:p w14:paraId="48A1C222" w14:textId="77777777" w:rsidR="00FD20BC" w:rsidRPr="00FD20BC" w:rsidRDefault="00FD20BC" w:rsidP="003D0C74">
            <w:pPr>
              <w:numPr>
                <w:ilvl w:val="0"/>
                <w:numId w:val="72"/>
              </w:numPr>
              <w:spacing w:before="40" w:after="120"/>
              <w:ind w:left="284" w:hanging="284"/>
            </w:pPr>
            <w:r w:rsidRPr="00FD20BC">
              <w:t xml:space="preserve">                  Time</w:t>
            </w:r>
          </w:p>
        </w:tc>
      </w:tr>
      <w:tr w:rsidR="00FD20BC" w:rsidRPr="00FD20BC" w14:paraId="451074B9" w14:textId="77777777" w:rsidTr="00FD20BC">
        <w:trPr>
          <w:trHeight w:val="737"/>
        </w:trPr>
        <w:tc>
          <w:tcPr>
            <w:tcW w:w="832" w:type="dxa"/>
          </w:tcPr>
          <w:p w14:paraId="4C27E0D1" w14:textId="77777777" w:rsidR="00FD20BC" w:rsidRPr="00FD20BC" w:rsidRDefault="00FD20BC" w:rsidP="003D0C74">
            <w:pPr>
              <w:numPr>
                <w:ilvl w:val="0"/>
                <w:numId w:val="72"/>
              </w:numPr>
              <w:spacing w:before="40" w:after="120"/>
              <w:ind w:left="284" w:hanging="284"/>
            </w:pPr>
            <w:r w:rsidRPr="00FD20BC">
              <w:t>1</w:t>
            </w:r>
          </w:p>
        </w:tc>
        <w:tc>
          <w:tcPr>
            <w:tcW w:w="6790" w:type="dxa"/>
          </w:tcPr>
          <w:p w14:paraId="30E8906A" w14:textId="77777777" w:rsidR="00FD20BC" w:rsidRPr="00FD20BC" w:rsidRDefault="00FD20BC" w:rsidP="003D0C74">
            <w:pPr>
              <w:numPr>
                <w:ilvl w:val="0"/>
                <w:numId w:val="72"/>
              </w:numPr>
              <w:spacing w:before="40" w:after="120"/>
              <w:ind w:left="284" w:hanging="284"/>
              <w:rPr>
                <w:szCs w:val="18"/>
              </w:rPr>
            </w:pPr>
            <w:r w:rsidRPr="00FD20BC">
              <w:rPr>
                <w:szCs w:val="18"/>
              </w:rPr>
              <w:t>Welcome</w:t>
            </w:r>
          </w:p>
          <w:p w14:paraId="64F8F352" w14:textId="77777777" w:rsidR="00FD20BC" w:rsidRPr="00FD20BC" w:rsidRDefault="00FD20BC" w:rsidP="003D0C74">
            <w:pPr>
              <w:numPr>
                <w:ilvl w:val="0"/>
                <w:numId w:val="73"/>
              </w:numPr>
              <w:spacing w:before="40" w:after="40"/>
              <w:rPr>
                <w:szCs w:val="18"/>
              </w:rPr>
            </w:pPr>
            <w:r w:rsidRPr="00FD20BC">
              <w:rPr>
                <w:szCs w:val="18"/>
              </w:rPr>
              <w:t>Acknowledgement of country</w:t>
            </w:r>
          </w:p>
          <w:p w14:paraId="3D9B6F33" w14:textId="77777777" w:rsidR="00FD20BC" w:rsidRPr="00FD20BC" w:rsidRDefault="00FD20BC" w:rsidP="003D0C74">
            <w:pPr>
              <w:numPr>
                <w:ilvl w:val="0"/>
                <w:numId w:val="73"/>
              </w:numPr>
              <w:spacing w:before="40" w:after="40"/>
              <w:rPr>
                <w:szCs w:val="18"/>
              </w:rPr>
            </w:pPr>
            <w:r w:rsidRPr="00FD20BC">
              <w:rPr>
                <w:szCs w:val="18"/>
              </w:rPr>
              <w:t>Welcome and introductions</w:t>
            </w:r>
          </w:p>
          <w:p w14:paraId="0F05CC46" w14:textId="77777777" w:rsidR="00FD20BC" w:rsidRPr="00FD20BC" w:rsidRDefault="00FD20BC" w:rsidP="003D0C74">
            <w:pPr>
              <w:numPr>
                <w:ilvl w:val="0"/>
                <w:numId w:val="73"/>
              </w:numPr>
              <w:spacing w:before="40" w:after="40"/>
              <w:rPr>
                <w:szCs w:val="18"/>
              </w:rPr>
            </w:pPr>
            <w:r w:rsidRPr="00FD20BC">
              <w:rPr>
                <w:szCs w:val="18"/>
              </w:rPr>
              <w:t>Privacy notice</w:t>
            </w:r>
          </w:p>
          <w:p w14:paraId="6C7A5D9D" w14:textId="77777777" w:rsidR="00FD20BC" w:rsidRPr="00FD20BC" w:rsidRDefault="00FD20BC" w:rsidP="003D0C74">
            <w:pPr>
              <w:numPr>
                <w:ilvl w:val="0"/>
                <w:numId w:val="72"/>
              </w:numPr>
              <w:spacing w:before="40" w:after="40"/>
              <w:ind w:hanging="284"/>
              <w:rPr>
                <w:szCs w:val="18"/>
              </w:rPr>
            </w:pPr>
          </w:p>
        </w:tc>
        <w:tc>
          <w:tcPr>
            <w:tcW w:w="1536" w:type="dxa"/>
          </w:tcPr>
          <w:p w14:paraId="2D66351D" w14:textId="77777777" w:rsidR="00FD20BC" w:rsidRPr="00FD20BC" w:rsidRDefault="00FD20BC" w:rsidP="003D0C74">
            <w:pPr>
              <w:numPr>
                <w:ilvl w:val="0"/>
                <w:numId w:val="72"/>
              </w:numPr>
              <w:spacing w:before="40" w:after="120"/>
              <w:ind w:left="284" w:hanging="284"/>
              <w:jc w:val="right"/>
            </w:pPr>
            <w:r w:rsidRPr="00FD20BC">
              <w:t>9:00</w:t>
            </w:r>
          </w:p>
        </w:tc>
      </w:tr>
      <w:tr w:rsidR="00FD20BC" w:rsidRPr="00FD20BC" w14:paraId="31A47C29" w14:textId="77777777" w:rsidTr="00FD20BC">
        <w:trPr>
          <w:trHeight w:val="737"/>
        </w:trPr>
        <w:tc>
          <w:tcPr>
            <w:tcW w:w="832" w:type="dxa"/>
          </w:tcPr>
          <w:p w14:paraId="235AB939" w14:textId="77777777" w:rsidR="00FD20BC" w:rsidRPr="00FD20BC" w:rsidRDefault="00FD20BC" w:rsidP="003D0C74">
            <w:pPr>
              <w:numPr>
                <w:ilvl w:val="0"/>
                <w:numId w:val="72"/>
              </w:numPr>
              <w:spacing w:before="40" w:after="40"/>
              <w:ind w:left="284" w:hanging="284"/>
            </w:pPr>
            <w:r w:rsidRPr="00FD20BC">
              <w:t>2</w:t>
            </w:r>
          </w:p>
        </w:tc>
        <w:tc>
          <w:tcPr>
            <w:tcW w:w="6790" w:type="dxa"/>
          </w:tcPr>
          <w:p w14:paraId="6A807547" w14:textId="77777777" w:rsidR="00FD20BC" w:rsidRPr="00FD20BC" w:rsidRDefault="00FD20BC" w:rsidP="003D0C74">
            <w:pPr>
              <w:numPr>
                <w:ilvl w:val="0"/>
                <w:numId w:val="72"/>
              </w:numPr>
              <w:spacing w:before="40" w:after="40"/>
              <w:ind w:left="284" w:hanging="284"/>
              <w:rPr>
                <w:szCs w:val="18"/>
              </w:rPr>
            </w:pPr>
            <w:r w:rsidRPr="00FD20BC">
              <w:rPr>
                <w:szCs w:val="18"/>
              </w:rPr>
              <w:t>Recommendation 2 – Publishing Organisation Gender Pay Gaps</w:t>
            </w:r>
          </w:p>
          <w:p w14:paraId="5D202020" w14:textId="77777777" w:rsidR="00FD20BC" w:rsidRPr="00FD20BC" w:rsidRDefault="00FD20BC" w:rsidP="003D0C74">
            <w:pPr>
              <w:numPr>
                <w:ilvl w:val="0"/>
                <w:numId w:val="74"/>
              </w:numPr>
              <w:contextualSpacing/>
              <w:rPr>
                <w:i/>
                <w:szCs w:val="18"/>
              </w:rPr>
            </w:pPr>
            <w:r w:rsidRPr="00FD20BC">
              <w:rPr>
                <w:i/>
                <w:szCs w:val="18"/>
              </w:rPr>
              <w:t>Do your members make their gender pay gaps transparent already?</w:t>
            </w:r>
          </w:p>
          <w:p w14:paraId="347D44B7" w14:textId="77777777" w:rsidR="00FD20BC" w:rsidRPr="00FD20BC" w:rsidRDefault="00FD20BC" w:rsidP="003D0C74">
            <w:pPr>
              <w:numPr>
                <w:ilvl w:val="0"/>
                <w:numId w:val="74"/>
              </w:numPr>
              <w:contextualSpacing/>
              <w:rPr>
                <w:i/>
                <w:szCs w:val="18"/>
              </w:rPr>
            </w:pPr>
            <w:r w:rsidRPr="00FD20BC">
              <w:rPr>
                <w:i/>
              </w:rPr>
              <w:t>What information, resources or support would your members require to understand and explain the gender pay gap to their workforces?</w:t>
            </w:r>
          </w:p>
          <w:p w14:paraId="44C1F932" w14:textId="77777777" w:rsidR="00FD20BC" w:rsidRPr="00FD20BC" w:rsidRDefault="00FD20BC" w:rsidP="003D0C74">
            <w:pPr>
              <w:numPr>
                <w:ilvl w:val="0"/>
                <w:numId w:val="74"/>
              </w:numPr>
              <w:contextualSpacing/>
              <w:rPr>
                <w:i/>
                <w:szCs w:val="18"/>
              </w:rPr>
            </w:pPr>
            <w:r w:rsidRPr="00FD20BC">
              <w:rPr>
                <w:i/>
                <w:szCs w:val="18"/>
              </w:rPr>
              <w:t xml:space="preserve">Are there any complexities regarding implementation that we should be aware of? </w:t>
            </w:r>
          </w:p>
          <w:p w14:paraId="6081CF66" w14:textId="77777777" w:rsidR="00FD20BC" w:rsidRPr="00FD20BC" w:rsidRDefault="00FD20BC" w:rsidP="003D0C74">
            <w:pPr>
              <w:numPr>
                <w:ilvl w:val="0"/>
                <w:numId w:val="74"/>
              </w:numPr>
              <w:contextualSpacing/>
              <w:rPr>
                <w:i/>
                <w:szCs w:val="18"/>
              </w:rPr>
            </w:pPr>
            <w:r w:rsidRPr="00FD20BC">
              <w:rPr>
                <w:i/>
                <w:szCs w:val="18"/>
              </w:rPr>
              <w:t xml:space="preserve">Do you consider this will help close organisation gender pay gaps? </w:t>
            </w:r>
          </w:p>
        </w:tc>
        <w:tc>
          <w:tcPr>
            <w:tcW w:w="1536" w:type="dxa"/>
            <w:shd w:val="clear" w:color="auto" w:fill="auto"/>
          </w:tcPr>
          <w:p w14:paraId="6EFE6CE5" w14:textId="77777777" w:rsidR="00FD20BC" w:rsidRPr="00FD20BC" w:rsidRDefault="00FD20BC" w:rsidP="00FD20BC">
            <w:pPr>
              <w:spacing w:before="40" w:after="40" w:line="240" w:lineRule="auto"/>
              <w:ind w:left="284" w:hanging="284"/>
              <w:jc w:val="right"/>
            </w:pPr>
            <w:r w:rsidRPr="00FD20BC">
              <w:t>9:10</w:t>
            </w:r>
          </w:p>
        </w:tc>
      </w:tr>
      <w:tr w:rsidR="00FD20BC" w:rsidRPr="00FD20BC" w14:paraId="1C658773" w14:textId="77777777" w:rsidTr="00FD20BC">
        <w:trPr>
          <w:trHeight w:val="737"/>
        </w:trPr>
        <w:tc>
          <w:tcPr>
            <w:tcW w:w="832" w:type="dxa"/>
          </w:tcPr>
          <w:p w14:paraId="0E3C0B30" w14:textId="77777777" w:rsidR="00FD20BC" w:rsidRPr="00FD20BC" w:rsidRDefault="00FD20BC" w:rsidP="003D0C74">
            <w:pPr>
              <w:numPr>
                <w:ilvl w:val="0"/>
                <w:numId w:val="72"/>
              </w:numPr>
              <w:spacing w:before="40" w:after="40"/>
              <w:ind w:left="284" w:hanging="284"/>
            </w:pPr>
            <w:r w:rsidRPr="00FD20BC">
              <w:t>3</w:t>
            </w:r>
          </w:p>
        </w:tc>
        <w:tc>
          <w:tcPr>
            <w:tcW w:w="6790" w:type="dxa"/>
          </w:tcPr>
          <w:p w14:paraId="3085DF32" w14:textId="77777777" w:rsidR="00FD20BC" w:rsidRPr="00FD20BC" w:rsidRDefault="00FD20BC" w:rsidP="003D0C74">
            <w:pPr>
              <w:numPr>
                <w:ilvl w:val="0"/>
                <w:numId w:val="72"/>
              </w:numPr>
              <w:spacing w:before="40" w:after="40"/>
              <w:ind w:left="284" w:hanging="284"/>
              <w:rPr>
                <w:szCs w:val="18"/>
              </w:rPr>
            </w:pPr>
            <w:r w:rsidRPr="00FD20BC">
              <w:rPr>
                <w:szCs w:val="18"/>
              </w:rPr>
              <w:t>Recommendation 3 – Bridging the ‘Action Gap’ with Gender Equality Standards</w:t>
            </w:r>
          </w:p>
          <w:p w14:paraId="1AD041D4" w14:textId="77777777" w:rsidR="00FD20BC" w:rsidRPr="00FD20BC" w:rsidRDefault="00FD20BC" w:rsidP="003D0C74">
            <w:pPr>
              <w:numPr>
                <w:ilvl w:val="0"/>
                <w:numId w:val="74"/>
              </w:numPr>
              <w:contextualSpacing/>
              <w:rPr>
                <w:i/>
                <w:szCs w:val="18"/>
              </w:rPr>
            </w:pPr>
            <w:r w:rsidRPr="00FD20BC">
              <w:rPr>
                <w:i/>
              </w:rPr>
              <w:t xml:space="preserve">What support, resources and guidelines would your members find useful in the implementation of this recommendation? </w:t>
            </w:r>
          </w:p>
          <w:p w14:paraId="427A327D" w14:textId="77777777" w:rsidR="00FD20BC" w:rsidRPr="00FD20BC" w:rsidRDefault="00FD20BC" w:rsidP="003D0C74">
            <w:pPr>
              <w:numPr>
                <w:ilvl w:val="0"/>
                <w:numId w:val="74"/>
              </w:numPr>
              <w:contextualSpacing/>
              <w:rPr>
                <w:i/>
                <w:szCs w:val="18"/>
              </w:rPr>
            </w:pPr>
            <w:r w:rsidRPr="00FD20BC">
              <w:rPr>
                <w:i/>
              </w:rPr>
              <w:t xml:space="preserve">How do your members currently measure progress on targets and policies and ensuring it is measurable and genuine? </w:t>
            </w:r>
          </w:p>
          <w:p w14:paraId="64EFC265" w14:textId="77777777" w:rsidR="00FD20BC" w:rsidRPr="00FD20BC" w:rsidRDefault="00FD20BC" w:rsidP="003D0C74">
            <w:pPr>
              <w:numPr>
                <w:ilvl w:val="0"/>
                <w:numId w:val="74"/>
              </w:numPr>
              <w:contextualSpacing/>
              <w:rPr>
                <w:i/>
                <w:szCs w:val="18"/>
              </w:rPr>
            </w:pPr>
            <w:r w:rsidRPr="00FD20BC">
              <w:rPr>
                <w:i/>
              </w:rPr>
              <w:t>Are any members already setting gender equality targets? If so, what processes/approaches work?</w:t>
            </w:r>
          </w:p>
          <w:p w14:paraId="5D01867D" w14:textId="77777777" w:rsidR="00FD20BC" w:rsidRPr="00FD20BC" w:rsidRDefault="00FD20BC" w:rsidP="003D0C74">
            <w:pPr>
              <w:numPr>
                <w:ilvl w:val="0"/>
                <w:numId w:val="74"/>
              </w:numPr>
              <w:contextualSpacing/>
              <w:rPr>
                <w:i/>
                <w:szCs w:val="18"/>
              </w:rPr>
            </w:pPr>
            <w:r w:rsidRPr="00FD20BC">
              <w:rPr>
                <w:i/>
                <w:szCs w:val="18"/>
              </w:rPr>
              <w:t xml:space="preserve">Are there any complexities regarding implementation that we should be aware of? </w:t>
            </w:r>
          </w:p>
          <w:p w14:paraId="1E915589" w14:textId="77777777" w:rsidR="00FD20BC" w:rsidRPr="00FD20BC" w:rsidRDefault="00FD20BC" w:rsidP="003D0C74">
            <w:pPr>
              <w:numPr>
                <w:ilvl w:val="0"/>
                <w:numId w:val="74"/>
              </w:numPr>
              <w:contextualSpacing/>
              <w:rPr>
                <w:szCs w:val="18"/>
              </w:rPr>
            </w:pPr>
            <w:r w:rsidRPr="00FD20BC">
              <w:rPr>
                <w:i/>
                <w:szCs w:val="18"/>
              </w:rPr>
              <w:t xml:space="preserve">Do you consider this will help advance gender equality in Australia? </w:t>
            </w:r>
          </w:p>
        </w:tc>
        <w:tc>
          <w:tcPr>
            <w:tcW w:w="1536" w:type="dxa"/>
            <w:shd w:val="clear" w:color="auto" w:fill="auto"/>
          </w:tcPr>
          <w:p w14:paraId="488B205E" w14:textId="77777777" w:rsidR="00FD20BC" w:rsidRPr="00FD20BC" w:rsidRDefault="00FD20BC" w:rsidP="00FD20BC">
            <w:pPr>
              <w:spacing w:before="40" w:after="40" w:line="240" w:lineRule="auto"/>
              <w:ind w:left="284" w:hanging="284"/>
              <w:jc w:val="right"/>
            </w:pPr>
            <w:r w:rsidRPr="00FD20BC">
              <w:t>9:35</w:t>
            </w:r>
          </w:p>
        </w:tc>
      </w:tr>
      <w:tr w:rsidR="00FD20BC" w:rsidRPr="00FD20BC" w14:paraId="153B66A0" w14:textId="77777777" w:rsidTr="00FD20BC">
        <w:trPr>
          <w:trHeight w:val="737"/>
        </w:trPr>
        <w:tc>
          <w:tcPr>
            <w:tcW w:w="832" w:type="dxa"/>
          </w:tcPr>
          <w:p w14:paraId="7E09FD52" w14:textId="77777777" w:rsidR="00FD20BC" w:rsidRPr="00FD20BC" w:rsidRDefault="00FD20BC" w:rsidP="003D0C74">
            <w:pPr>
              <w:numPr>
                <w:ilvl w:val="0"/>
                <w:numId w:val="72"/>
              </w:numPr>
              <w:spacing w:before="40" w:after="40"/>
              <w:ind w:left="284" w:hanging="284"/>
            </w:pPr>
            <w:r w:rsidRPr="00FD20BC">
              <w:t>4</w:t>
            </w:r>
          </w:p>
        </w:tc>
        <w:tc>
          <w:tcPr>
            <w:tcW w:w="6790" w:type="dxa"/>
          </w:tcPr>
          <w:p w14:paraId="60483BFB" w14:textId="77777777" w:rsidR="00FD20BC" w:rsidRPr="00FD20BC" w:rsidRDefault="00FD20BC" w:rsidP="003D0C74">
            <w:pPr>
              <w:numPr>
                <w:ilvl w:val="0"/>
                <w:numId w:val="72"/>
              </w:numPr>
              <w:spacing w:before="40" w:after="40"/>
              <w:ind w:left="284" w:hanging="284"/>
              <w:rPr>
                <w:szCs w:val="18"/>
              </w:rPr>
            </w:pPr>
            <w:r w:rsidRPr="00FD20BC">
              <w:rPr>
                <w:szCs w:val="18"/>
              </w:rPr>
              <w:t>Other Recommendations</w:t>
            </w:r>
          </w:p>
          <w:p w14:paraId="4E31FC80" w14:textId="77777777" w:rsidR="00FD20BC" w:rsidRPr="00FD20BC" w:rsidRDefault="00FD20BC" w:rsidP="003D0C74">
            <w:pPr>
              <w:numPr>
                <w:ilvl w:val="0"/>
                <w:numId w:val="74"/>
              </w:numPr>
              <w:contextualSpacing/>
              <w:rPr>
                <w:szCs w:val="18"/>
              </w:rPr>
            </w:pPr>
            <w:r w:rsidRPr="00FD20BC">
              <w:rPr>
                <w:szCs w:val="18"/>
              </w:rPr>
              <w:t xml:space="preserve">Are there any other WGEA Review Recommendations you have comments on? </w:t>
            </w:r>
          </w:p>
          <w:p w14:paraId="6EB09F0D" w14:textId="77777777" w:rsidR="00FD20BC" w:rsidRPr="00FD20BC" w:rsidRDefault="00FD20BC" w:rsidP="003D0C74">
            <w:pPr>
              <w:numPr>
                <w:ilvl w:val="0"/>
                <w:numId w:val="74"/>
              </w:numPr>
              <w:contextualSpacing/>
              <w:rPr>
                <w:i/>
                <w:szCs w:val="18"/>
              </w:rPr>
            </w:pPr>
            <w:r w:rsidRPr="00FD20BC">
              <w:rPr>
                <w:szCs w:val="18"/>
              </w:rPr>
              <w:t>Is there anything further that WGEA, or the Government, could do to support your member organisations make progress on gender equality?</w:t>
            </w:r>
            <w:r w:rsidRPr="00FD20BC">
              <w:rPr>
                <w:i/>
                <w:szCs w:val="18"/>
              </w:rPr>
              <w:t xml:space="preserve"> </w:t>
            </w:r>
          </w:p>
        </w:tc>
        <w:tc>
          <w:tcPr>
            <w:tcW w:w="1536" w:type="dxa"/>
            <w:shd w:val="clear" w:color="auto" w:fill="auto"/>
          </w:tcPr>
          <w:p w14:paraId="08D2ACCA" w14:textId="77777777" w:rsidR="00FD20BC" w:rsidRPr="00FD20BC" w:rsidRDefault="00FD20BC" w:rsidP="003D0C74">
            <w:pPr>
              <w:numPr>
                <w:ilvl w:val="0"/>
                <w:numId w:val="72"/>
              </w:numPr>
              <w:spacing w:before="40" w:after="40"/>
              <w:ind w:left="284" w:hanging="284"/>
              <w:jc w:val="right"/>
            </w:pPr>
            <w:r w:rsidRPr="00FD20BC">
              <w:t>10:00</w:t>
            </w:r>
          </w:p>
        </w:tc>
      </w:tr>
      <w:tr w:rsidR="00FD20BC" w:rsidRPr="00FD20BC" w14:paraId="3A799462" w14:textId="77777777" w:rsidTr="00FD20BC">
        <w:trPr>
          <w:trHeight w:val="737"/>
        </w:trPr>
        <w:tc>
          <w:tcPr>
            <w:tcW w:w="832" w:type="dxa"/>
            <w:shd w:val="clear" w:color="auto" w:fill="auto"/>
          </w:tcPr>
          <w:p w14:paraId="22DCC62B" w14:textId="77777777" w:rsidR="00FD20BC" w:rsidRPr="00FD20BC" w:rsidRDefault="00FD20BC" w:rsidP="003D0C74">
            <w:pPr>
              <w:numPr>
                <w:ilvl w:val="0"/>
                <w:numId w:val="72"/>
              </w:numPr>
              <w:spacing w:before="40" w:after="40"/>
              <w:ind w:left="284" w:hanging="284"/>
            </w:pPr>
            <w:r w:rsidRPr="00FD20BC">
              <w:t>5</w:t>
            </w:r>
          </w:p>
        </w:tc>
        <w:tc>
          <w:tcPr>
            <w:tcW w:w="6790" w:type="dxa"/>
            <w:shd w:val="clear" w:color="auto" w:fill="auto"/>
          </w:tcPr>
          <w:p w14:paraId="0AAB2263" w14:textId="77777777" w:rsidR="00FD20BC" w:rsidRPr="00FD20BC" w:rsidRDefault="00FD20BC" w:rsidP="003D0C74">
            <w:pPr>
              <w:numPr>
                <w:ilvl w:val="0"/>
                <w:numId w:val="72"/>
              </w:numPr>
              <w:spacing w:before="40" w:after="120"/>
              <w:ind w:left="284" w:hanging="284"/>
              <w:rPr>
                <w:szCs w:val="18"/>
              </w:rPr>
            </w:pPr>
            <w:r w:rsidRPr="00FD20BC">
              <w:rPr>
                <w:szCs w:val="18"/>
              </w:rPr>
              <w:t>Wrap Up and close</w:t>
            </w:r>
          </w:p>
          <w:p w14:paraId="6252DD5F" w14:textId="77777777" w:rsidR="00FD20BC" w:rsidRPr="00FD20BC" w:rsidRDefault="00FD20BC" w:rsidP="003D0C74">
            <w:pPr>
              <w:numPr>
                <w:ilvl w:val="0"/>
                <w:numId w:val="74"/>
              </w:numPr>
              <w:spacing w:after="0" w:line="240" w:lineRule="auto"/>
            </w:pPr>
            <w:r w:rsidRPr="00FD20BC">
              <w:t>Summary of key points raised</w:t>
            </w:r>
          </w:p>
          <w:p w14:paraId="20036233" w14:textId="77777777" w:rsidR="00FD20BC" w:rsidRPr="00FD20BC" w:rsidRDefault="00FD20BC" w:rsidP="003D0C74">
            <w:pPr>
              <w:numPr>
                <w:ilvl w:val="0"/>
                <w:numId w:val="72"/>
              </w:numPr>
              <w:spacing w:before="40" w:after="0" w:line="240" w:lineRule="auto"/>
              <w:ind w:hanging="284"/>
            </w:pPr>
          </w:p>
        </w:tc>
        <w:tc>
          <w:tcPr>
            <w:tcW w:w="1536" w:type="dxa"/>
            <w:shd w:val="clear" w:color="auto" w:fill="auto"/>
          </w:tcPr>
          <w:p w14:paraId="3CDB0C74" w14:textId="77777777" w:rsidR="00FD20BC" w:rsidRPr="00FD20BC" w:rsidRDefault="00FD20BC" w:rsidP="00FD20BC">
            <w:pPr>
              <w:spacing w:before="40" w:after="40" w:line="240" w:lineRule="auto"/>
              <w:ind w:left="284" w:hanging="284"/>
              <w:jc w:val="right"/>
            </w:pPr>
            <w:r w:rsidRPr="00FD20BC">
              <w:t>10:25</w:t>
            </w:r>
          </w:p>
        </w:tc>
      </w:tr>
    </w:tbl>
    <w:p w14:paraId="653E5010" w14:textId="77777777" w:rsidR="00FD20BC" w:rsidRPr="00FD20BC" w:rsidRDefault="00FD20BC" w:rsidP="00FD20BC">
      <w:pPr>
        <w:keepNext/>
        <w:keepLines/>
        <w:spacing w:before="240" w:after="0"/>
        <w:outlineLvl w:val="0"/>
        <w:rPr>
          <w:rFonts w:asciiTheme="majorHAnsi" w:eastAsiaTheme="majorEastAsia" w:hAnsiTheme="majorHAnsi" w:cstheme="majorBidi"/>
          <w:color w:val="2E74B5" w:themeColor="accent1" w:themeShade="BF"/>
          <w:sz w:val="32"/>
          <w:szCs w:val="32"/>
          <w:lang w:val="en-GB"/>
        </w:rPr>
      </w:pPr>
    </w:p>
    <w:p w14:paraId="22925533" w14:textId="77777777" w:rsidR="00FD20BC" w:rsidRPr="00FD20BC" w:rsidRDefault="00FD20BC" w:rsidP="00FD20BC"/>
    <w:p w14:paraId="62DB41C5" w14:textId="77777777" w:rsidR="00FD20BC" w:rsidRPr="00FD20BC" w:rsidRDefault="00FD20BC" w:rsidP="00FD20BC">
      <w:pPr>
        <w:rPr>
          <w:lang w:val="en-GB"/>
        </w:rPr>
      </w:pPr>
    </w:p>
    <w:p w14:paraId="1076FDE8" w14:textId="77777777" w:rsidR="00FD20BC" w:rsidRPr="00FD20BC" w:rsidRDefault="00FD20BC" w:rsidP="00FD20BC">
      <w:pPr>
        <w:rPr>
          <w:lang w:val="en-GB"/>
        </w:rPr>
      </w:pPr>
    </w:p>
    <w:p w14:paraId="3FF770DE" w14:textId="77777777" w:rsidR="00FD20BC" w:rsidRPr="00FD20BC" w:rsidRDefault="00FD20BC" w:rsidP="00FD20BC">
      <w:pPr>
        <w:rPr>
          <w:lang w:val="en-GB"/>
        </w:rPr>
      </w:pPr>
    </w:p>
    <w:p w14:paraId="12B1C859" w14:textId="77777777" w:rsidR="00FD20BC" w:rsidRPr="00FD20BC" w:rsidRDefault="00FD20BC" w:rsidP="00FD20BC">
      <w:pPr>
        <w:spacing w:after="120"/>
        <w:rPr>
          <w:rFonts w:ascii="Times New Roman" w:hAnsi="Times New Roman" w:cs="Times New Roman"/>
          <w:sz w:val="36"/>
        </w:rPr>
      </w:pPr>
      <w:r w:rsidRPr="00FD20BC">
        <w:rPr>
          <w:rFonts w:ascii="Times New Roman" w:hAnsi="Times New Roman" w:cs="Times New Roman"/>
          <w:sz w:val="36"/>
        </w:rPr>
        <w:t>Review of the Workplace Gender Equality Act 2012</w:t>
      </w:r>
      <w:r w:rsidRPr="00FD20BC">
        <w:rPr>
          <w:rFonts w:ascii="Times New Roman" w:hAnsi="Times New Roman" w:cs="Times New Roman"/>
          <w:sz w:val="36"/>
        </w:rPr>
        <w:tab/>
      </w:r>
    </w:p>
    <w:p w14:paraId="495FADB0" w14:textId="77777777" w:rsidR="00FD20BC" w:rsidRPr="00FD20BC" w:rsidRDefault="00FD20BC" w:rsidP="00FD20BC">
      <w:pPr>
        <w:spacing w:after="120"/>
        <w:rPr>
          <w:rFonts w:ascii="Times New Roman" w:hAnsi="Times New Roman" w:cs="Times New Roman"/>
          <w:sz w:val="36"/>
        </w:rPr>
      </w:pPr>
      <w:r w:rsidRPr="00FD20BC">
        <w:rPr>
          <w:rFonts w:ascii="Times New Roman" w:hAnsi="Times New Roman" w:cs="Times New Roman"/>
          <w:sz w:val="36"/>
        </w:rPr>
        <w:t>Partnerships data collection</w:t>
      </w:r>
      <w:r w:rsidRPr="00FD20BC">
        <w:rPr>
          <w:rFonts w:ascii="Times New Roman" w:hAnsi="Times New Roman" w:cs="Times New Roman"/>
          <w:sz w:val="36"/>
        </w:rPr>
        <w:tab/>
      </w:r>
    </w:p>
    <w:p w14:paraId="76970AFB" w14:textId="77777777" w:rsidR="00FD20BC" w:rsidRPr="00FD20BC" w:rsidRDefault="00FD20BC" w:rsidP="00FD20BC">
      <w:pPr>
        <w:spacing w:after="120"/>
        <w:rPr>
          <w:b/>
          <w:sz w:val="28"/>
        </w:rPr>
      </w:pPr>
      <w:r w:rsidRPr="00FD20BC">
        <w:rPr>
          <w:b/>
          <w:sz w:val="28"/>
        </w:rPr>
        <w:t>Roundtable Agenda</w:t>
      </w:r>
    </w:p>
    <w:p w14:paraId="1B8D3B6B" w14:textId="77777777" w:rsidR="00FD20BC" w:rsidRPr="00FD20BC" w:rsidRDefault="00FD20BC" w:rsidP="00FD20BC">
      <w:pPr>
        <w:spacing w:after="120"/>
        <w:rPr>
          <w:b/>
        </w:rPr>
      </w:pPr>
      <w:r w:rsidRPr="00FD20BC">
        <w:rPr>
          <w:b/>
        </w:rPr>
        <w:t xml:space="preserve"> 21 September 2022</w:t>
      </w:r>
    </w:p>
    <w:tbl>
      <w:tblPr>
        <w:tblStyle w:val="PMCDefaultTableStyle"/>
        <w:tblW w:w="0" w:type="auto"/>
        <w:tblLook w:val="0620" w:firstRow="1" w:lastRow="0" w:firstColumn="0" w:lastColumn="0" w:noHBand="1" w:noVBand="1"/>
      </w:tblPr>
      <w:tblGrid>
        <w:gridCol w:w="426"/>
        <w:gridCol w:w="7229"/>
        <w:gridCol w:w="860"/>
      </w:tblGrid>
      <w:tr w:rsidR="00FD20BC" w:rsidRPr="00FD20BC" w14:paraId="0051ED60" w14:textId="77777777" w:rsidTr="00FD20BC">
        <w:trPr>
          <w:cnfStyle w:val="100000000000" w:firstRow="1" w:lastRow="0" w:firstColumn="0" w:lastColumn="0" w:oddVBand="0" w:evenVBand="0" w:oddHBand="0" w:evenHBand="0" w:firstRowFirstColumn="0" w:firstRowLastColumn="0" w:lastRowFirstColumn="0" w:lastRowLastColumn="0"/>
          <w:trHeight w:val="427"/>
        </w:trPr>
        <w:tc>
          <w:tcPr>
            <w:tcW w:w="426" w:type="dxa"/>
          </w:tcPr>
          <w:p w14:paraId="142D31A5" w14:textId="77777777" w:rsidR="00FD20BC" w:rsidRPr="00FD20BC" w:rsidRDefault="00FD20BC" w:rsidP="00FD20BC">
            <w:pPr>
              <w:spacing w:after="120"/>
            </w:pPr>
            <w:r w:rsidRPr="00FD20BC">
              <w:t>#</w:t>
            </w:r>
          </w:p>
        </w:tc>
        <w:tc>
          <w:tcPr>
            <w:tcW w:w="7229" w:type="dxa"/>
          </w:tcPr>
          <w:p w14:paraId="24D63C24" w14:textId="77777777" w:rsidR="00FD20BC" w:rsidRPr="00FD20BC" w:rsidRDefault="00FD20BC" w:rsidP="00FD20BC">
            <w:pPr>
              <w:spacing w:after="120"/>
            </w:pPr>
            <w:r w:rsidRPr="00FD20BC">
              <w:t>Item</w:t>
            </w:r>
          </w:p>
        </w:tc>
        <w:tc>
          <w:tcPr>
            <w:tcW w:w="860" w:type="dxa"/>
          </w:tcPr>
          <w:p w14:paraId="49CE0991" w14:textId="77777777" w:rsidR="00FD20BC" w:rsidRPr="00FD20BC" w:rsidRDefault="00FD20BC" w:rsidP="00FD20BC">
            <w:pPr>
              <w:spacing w:after="120"/>
            </w:pPr>
            <w:r w:rsidRPr="00FD20BC">
              <w:t>Time</w:t>
            </w:r>
          </w:p>
        </w:tc>
      </w:tr>
      <w:tr w:rsidR="00FD20BC" w:rsidRPr="00FD20BC" w14:paraId="34A25FB5" w14:textId="77777777" w:rsidTr="00FD20BC">
        <w:trPr>
          <w:trHeight w:val="737"/>
        </w:trPr>
        <w:tc>
          <w:tcPr>
            <w:tcW w:w="426" w:type="dxa"/>
          </w:tcPr>
          <w:p w14:paraId="620C2C5A" w14:textId="77777777" w:rsidR="00FD20BC" w:rsidRPr="00FD20BC" w:rsidRDefault="00FD20BC" w:rsidP="00FD20BC">
            <w:pPr>
              <w:spacing w:after="120"/>
            </w:pPr>
            <w:r w:rsidRPr="00FD20BC">
              <w:t>1</w:t>
            </w:r>
          </w:p>
        </w:tc>
        <w:tc>
          <w:tcPr>
            <w:tcW w:w="7229" w:type="dxa"/>
          </w:tcPr>
          <w:p w14:paraId="080E668C" w14:textId="77777777" w:rsidR="00FD20BC" w:rsidRPr="00FD20BC" w:rsidRDefault="00FD20BC" w:rsidP="00FD20BC">
            <w:pPr>
              <w:spacing w:after="120"/>
              <w:rPr>
                <w:szCs w:val="18"/>
              </w:rPr>
            </w:pPr>
            <w:r w:rsidRPr="00FD20BC">
              <w:rPr>
                <w:szCs w:val="18"/>
              </w:rPr>
              <w:t>Welcome</w:t>
            </w:r>
          </w:p>
          <w:p w14:paraId="2B80AF4D" w14:textId="77777777" w:rsidR="00FD20BC" w:rsidRPr="00FD20BC" w:rsidRDefault="00FD20BC" w:rsidP="003D0C74">
            <w:pPr>
              <w:numPr>
                <w:ilvl w:val="0"/>
                <w:numId w:val="73"/>
              </w:numPr>
              <w:spacing w:before="40" w:after="40"/>
              <w:rPr>
                <w:szCs w:val="18"/>
              </w:rPr>
            </w:pPr>
            <w:r w:rsidRPr="00FD20BC">
              <w:rPr>
                <w:szCs w:val="18"/>
              </w:rPr>
              <w:t>Acknowledgement of country</w:t>
            </w:r>
          </w:p>
          <w:p w14:paraId="02D1D76C" w14:textId="77777777" w:rsidR="00FD20BC" w:rsidRPr="00FD20BC" w:rsidRDefault="00FD20BC" w:rsidP="003D0C74">
            <w:pPr>
              <w:numPr>
                <w:ilvl w:val="0"/>
                <w:numId w:val="73"/>
              </w:numPr>
              <w:spacing w:before="40" w:after="40"/>
              <w:rPr>
                <w:szCs w:val="18"/>
              </w:rPr>
            </w:pPr>
            <w:r w:rsidRPr="00FD20BC">
              <w:rPr>
                <w:szCs w:val="18"/>
              </w:rPr>
              <w:t>Welcome and introductions</w:t>
            </w:r>
          </w:p>
          <w:p w14:paraId="4741F16C" w14:textId="77777777" w:rsidR="00FD20BC" w:rsidRPr="00FD20BC" w:rsidRDefault="00FD20BC" w:rsidP="003D0C74">
            <w:pPr>
              <w:numPr>
                <w:ilvl w:val="0"/>
                <w:numId w:val="73"/>
              </w:numPr>
              <w:spacing w:before="40" w:after="40"/>
              <w:rPr>
                <w:szCs w:val="18"/>
              </w:rPr>
            </w:pPr>
            <w:r w:rsidRPr="00FD20BC">
              <w:rPr>
                <w:szCs w:val="18"/>
              </w:rPr>
              <w:t>Privacy notice</w:t>
            </w:r>
          </w:p>
        </w:tc>
        <w:tc>
          <w:tcPr>
            <w:tcW w:w="860" w:type="dxa"/>
          </w:tcPr>
          <w:p w14:paraId="47D79600" w14:textId="77777777" w:rsidR="00FD20BC" w:rsidRPr="00FD20BC" w:rsidRDefault="00FD20BC" w:rsidP="00FD20BC">
            <w:pPr>
              <w:spacing w:after="120"/>
            </w:pPr>
            <w:r w:rsidRPr="00FD20BC">
              <w:t>10:00</w:t>
            </w:r>
          </w:p>
        </w:tc>
      </w:tr>
      <w:tr w:rsidR="00FD20BC" w:rsidRPr="00FD20BC" w14:paraId="1788865A" w14:textId="77777777" w:rsidTr="00FD20BC">
        <w:trPr>
          <w:trHeight w:val="737"/>
        </w:trPr>
        <w:tc>
          <w:tcPr>
            <w:tcW w:w="426" w:type="dxa"/>
          </w:tcPr>
          <w:p w14:paraId="543E7732" w14:textId="77777777" w:rsidR="00FD20BC" w:rsidRPr="00FD20BC" w:rsidRDefault="00FD20BC" w:rsidP="00FD20BC">
            <w:r w:rsidRPr="00FD20BC">
              <w:t>2</w:t>
            </w:r>
          </w:p>
        </w:tc>
        <w:tc>
          <w:tcPr>
            <w:tcW w:w="7229" w:type="dxa"/>
          </w:tcPr>
          <w:p w14:paraId="7B6FAE33" w14:textId="77777777" w:rsidR="00FD20BC" w:rsidRPr="00FD20BC" w:rsidRDefault="00FD20BC" w:rsidP="00FD20BC">
            <w:pPr>
              <w:rPr>
                <w:szCs w:val="18"/>
              </w:rPr>
            </w:pPr>
            <w:r w:rsidRPr="00FD20BC">
              <w:rPr>
                <w:szCs w:val="18"/>
              </w:rPr>
              <w:t>Partnerships data</w:t>
            </w:r>
          </w:p>
          <w:p w14:paraId="067AD018" w14:textId="77777777" w:rsidR="00FD20BC" w:rsidRPr="00FD20BC" w:rsidRDefault="00FD20BC" w:rsidP="003D0C74">
            <w:pPr>
              <w:numPr>
                <w:ilvl w:val="0"/>
                <w:numId w:val="74"/>
              </w:numPr>
              <w:contextualSpacing/>
              <w:rPr>
                <w:i/>
              </w:rPr>
            </w:pPr>
            <w:r w:rsidRPr="00FD20BC">
              <w:rPr>
                <w:rFonts w:cs="Times New Roman"/>
                <w:bCs/>
                <w:i/>
                <w:color w:val="000000" w:themeColor="text1"/>
              </w:rPr>
              <w:t xml:space="preserve">Is the structure of partnerships clear and consistent within and across firms (equity, part-equity and non-equity partners)? </w:t>
            </w:r>
          </w:p>
          <w:p w14:paraId="308DDC0C" w14:textId="77777777" w:rsidR="00FD20BC" w:rsidRPr="00FD20BC" w:rsidRDefault="00FD20BC" w:rsidP="003D0C74">
            <w:pPr>
              <w:numPr>
                <w:ilvl w:val="0"/>
                <w:numId w:val="74"/>
              </w:numPr>
              <w:contextualSpacing/>
              <w:rPr>
                <w:i/>
              </w:rPr>
            </w:pPr>
            <w:r w:rsidRPr="00FD20BC">
              <w:rPr>
                <w:rFonts w:cs="Times New Roman"/>
                <w:bCs/>
                <w:i/>
                <w:color w:val="000000" w:themeColor="text1"/>
              </w:rPr>
              <w:t>Are your partnership and non-partnership employees employed under separate entities?</w:t>
            </w:r>
          </w:p>
        </w:tc>
        <w:tc>
          <w:tcPr>
            <w:tcW w:w="860" w:type="dxa"/>
            <w:shd w:val="clear" w:color="auto" w:fill="auto"/>
          </w:tcPr>
          <w:p w14:paraId="4D3F7C18" w14:textId="77777777" w:rsidR="00FD20BC" w:rsidRPr="00FD20BC" w:rsidRDefault="00FD20BC" w:rsidP="00FD20BC">
            <w:pPr>
              <w:spacing w:before="40" w:after="40" w:line="240" w:lineRule="auto"/>
              <w:ind w:left="284" w:hanging="284"/>
            </w:pPr>
            <w:r w:rsidRPr="00FD20BC">
              <w:t>10:10</w:t>
            </w:r>
          </w:p>
        </w:tc>
      </w:tr>
      <w:tr w:rsidR="00FD20BC" w:rsidRPr="00FD20BC" w14:paraId="13E4FCCC" w14:textId="77777777" w:rsidTr="00FD20BC">
        <w:trPr>
          <w:trHeight w:val="737"/>
        </w:trPr>
        <w:tc>
          <w:tcPr>
            <w:tcW w:w="426" w:type="dxa"/>
          </w:tcPr>
          <w:p w14:paraId="6B96F82B" w14:textId="77777777" w:rsidR="00FD20BC" w:rsidRPr="00FD20BC" w:rsidRDefault="00FD20BC" w:rsidP="00FD20BC">
            <w:r w:rsidRPr="00FD20BC">
              <w:t>3</w:t>
            </w:r>
          </w:p>
        </w:tc>
        <w:tc>
          <w:tcPr>
            <w:tcW w:w="7229" w:type="dxa"/>
          </w:tcPr>
          <w:p w14:paraId="19BB82C8" w14:textId="77777777" w:rsidR="00FD20BC" w:rsidRPr="00FD20BC" w:rsidRDefault="00FD20BC" w:rsidP="00FD20BC">
            <w:pPr>
              <w:rPr>
                <w:rFonts w:cs="Times New Roman"/>
                <w:bCs/>
                <w:color w:val="000000" w:themeColor="text1"/>
              </w:rPr>
            </w:pPr>
            <w:r w:rsidRPr="00FD20BC">
              <w:rPr>
                <w:rFonts w:cs="Times New Roman"/>
                <w:bCs/>
                <w:color w:val="000000" w:themeColor="text1"/>
              </w:rPr>
              <w:t>Review specific topics</w:t>
            </w:r>
          </w:p>
          <w:p w14:paraId="4995018E" w14:textId="77777777" w:rsidR="00FD20BC" w:rsidRPr="00FD20BC" w:rsidRDefault="00FD20BC" w:rsidP="003D0C74">
            <w:pPr>
              <w:numPr>
                <w:ilvl w:val="0"/>
                <w:numId w:val="74"/>
              </w:numPr>
              <w:contextualSpacing/>
              <w:rPr>
                <w:rFonts w:cs="Times New Roman"/>
                <w:bCs/>
                <w:i/>
                <w:color w:val="000000" w:themeColor="text1"/>
              </w:rPr>
            </w:pPr>
            <w:r w:rsidRPr="00FD20BC">
              <w:rPr>
                <w:rFonts w:cs="Times New Roman"/>
                <w:bCs/>
                <w:i/>
                <w:color w:val="000000" w:themeColor="text1"/>
              </w:rPr>
              <w:t>Should partners be covered under the Workplace Gender Equality Act 2012 the same way as employees?</w:t>
            </w:r>
          </w:p>
          <w:p w14:paraId="746988B0" w14:textId="77777777" w:rsidR="00FD20BC" w:rsidRPr="00FD20BC" w:rsidRDefault="00FD20BC" w:rsidP="003D0C74">
            <w:pPr>
              <w:numPr>
                <w:ilvl w:val="0"/>
                <w:numId w:val="74"/>
              </w:numPr>
              <w:contextualSpacing/>
              <w:rPr>
                <w:rFonts w:cs="Times New Roman"/>
                <w:bCs/>
                <w:i/>
                <w:color w:val="000000" w:themeColor="text1"/>
              </w:rPr>
            </w:pPr>
            <w:r w:rsidRPr="00FD20BC">
              <w:rPr>
                <w:rFonts w:cs="Times New Roman"/>
                <w:bCs/>
                <w:i/>
                <w:color w:val="000000" w:themeColor="text1"/>
              </w:rPr>
              <w:t>What unique challenges do partnerships face? Should they be required to count the number of partners when determining if they are a relevant employer (i.e 100 partners or more)?</w:t>
            </w:r>
          </w:p>
          <w:p w14:paraId="0FADBB8E" w14:textId="77777777" w:rsidR="00FD20BC" w:rsidRPr="00FD20BC" w:rsidRDefault="00FD20BC" w:rsidP="003D0C74">
            <w:pPr>
              <w:numPr>
                <w:ilvl w:val="0"/>
                <w:numId w:val="74"/>
              </w:numPr>
              <w:contextualSpacing/>
              <w:rPr>
                <w:rFonts w:cs="Times New Roman"/>
                <w:bCs/>
                <w:i/>
                <w:color w:val="000000" w:themeColor="text1"/>
              </w:rPr>
            </w:pPr>
            <w:r w:rsidRPr="00FD20BC">
              <w:rPr>
                <w:rFonts w:cs="Times New Roman"/>
                <w:bCs/>
                <w:i/>
                <w:color w:val="000000" w:themeColor="text1"/>
              </w:rPr>
              <w:t>Would reporting separately on the number of non-equity, part-equity and full-equity partners provide enough categories to identify potential gender equality gaps within a partnership?</w:t>
            </w:r>
          </w:p>
          <w:p w14:paraId="1700F48E" w14:textId="77777777" w:rsidR="00FD20BC" w:rsidRPr="00FD20BC" w:rsidRDefault="00FD20BC" w:rsidP="003D0C74">
            <w:pPr>
              <w:numPr>
                <w:ilvl w:val="0"/>
                <w:numId w:val="74"/>
              </w:numPr>
              <w:contextualSpacing/>
              <w:rPr>
                <w:rFonts w:cs="Times New Roman"/>
                <w:bCs/>
                <w:i/>
                <w:color w:val="000000" w:themeColor="text1"/>
              </w:rPr>
            </w:pPr>
            <w:r w:rsidRPr="00FD20BC">
              <w:rPr>
                <w:rFonts w:cs="Times New Roman"/>
                <w:bCs/>
                <w:i/>
                <w:color w:val="000000" w:themeColor="text1"/>
              </w:rPr>
              <w:t>Other than collecting data for partners broken down into full-time and part-time by gender, what other information would be meaningful to collect (e.g., employment status - casual, permanent, on-contract)?</w:t>
            </w:r>
          </w:p>
          <w:p w14:paraId="1AB2A762" w14:textId="77777777" w:rsidR="00FD20BC" w:rsidRPr="00FD20BC" w:rsidRDefault="00FD20BC" w:rsidP="003D0C74">
            <w:pPr>
              <w:numPr>
                <w:ilvl w:val="0"/>
                <w:numId w:val="74"/>
              </w:numPr>
              <w:contextualSpacing/>
              <w:rPr>
                <w:rFonts w:cs="Times New Roman"/>
                <w:bCs/>
                <w:i/>
                <w:color w:val="000000" w:themeColor="text1"/>
              </w:rPr>
            </w:pPr>
            <w:r w:rsidRPr="00FD20BC">
              <w:rPr>
                <w:rFonts w:cs="Times New Roman"/>
                <w:bCs/>
                <w:i/>
                <w:color w:val="000000" w:themeColor="text1"/>
              </w:rPr>
              <w:t>Does your organisation currently collect data on promotions and resignations of partners? Would it be possible to standardise what accounts for a promotion or resignation of a partner?</w:t>
            </w:r>
          </w:p>
          <w:p w14:paraId="52CC0C21" w14:textId="77777777" w:rsidR="00FD20BC" w:rsidRPr="00FD20BC" w:rsidRDefault="00FD20BC" w:rsidP="003D0C74">
            <w:pPr>
              <w:numPr>
                <w:ilvl w:val="0"/>
                <w:numId w:val="74"/>
              </w:numPr>
              <w:contextualSpacing/>
              <w:rPr>
                <w:rFonts w:cs="Times New Roman"/>
                <w:bCs/>
                <w:i/>
                <w:color w:val="000000" w:themeColor="text1"/>
              </w:rPr>
            </w:pPr>
            <w:r w:rsidRPr="00FD20BC">
              <w:rPr>
                <w:rFonts w:cs="Times New Roman"/>
                <w:bCs/>
                <w:i/>
                <w:color w:val="000000" w:themeColor="text1"/>
              </w:rPr>
              <w:t xml:space="preserve">Does your organisation’s reporting contact have access to the earnings of partners? If not, could access be granted? </w:t>
            </w:r>
          </w:p>
          <w:p w14:paraId="78FA2A4C" w14:textId="77777777" w:rsidR="00FD20BC" w:rsidRPr="00FD20BC" w:rsidRDefault="00FD20BC" w:rsidP="003D0C74">
            <w:pPr>
              <w:numPr>
                <w:ilvl w:val="0"/>
                <w:numId w:val="74"/>
              </w:numPr>
              <w:contextualSpacing/>
              <w:rPr>
                <w:rFonts w:cs="Times New Roman"/>
                <w:bCs/>
                <w:i/>
                <w:color w:val="000000" w:themeColor="text1"/>
              </w:rPr>
            </w:pPr>
            <w:r w:rsidRPr="00FD20BC">
              <w:rPr>
                <w:rFonts w:cs="Times New Roman"/>
                <w:bCs/>
                <w:i/>
                <w:color w:val="000000" w:themeColor="text1"/>
              </w:rPr>
              <w:t>What earnings data is useful (and possible) to collect? How could earnings data, or an equivalent proxy such as a partner’s equity percentage, be captured for reporting on part-equity and full-equity partners?</w:t>
            </w:r>
          </w:p>
        </w:tc>
        <w:tc>
          <w:tcPr>
            <w:tcW w:w="860" w:type="dxa"/>
            <w:shd w:val="clear" w:color="auto" w:fill="auto"/>
          </w:tcPr>
          <w:p w14:paraId="30359D6C" w14:textId="77777777" w:rsidR="00FD20BC" w:rsidRPr="00FD20BC" w:rsidRDefault="00FD20BC" w:rsidP="00FD20BC">
            <w:pPr>
              <w:spacing w:before="40" w:after="40" w:line="240" w:lineRule="auto"/>
              <w:ind w:left="284" w:hanging="284"/>
            </w:pPr>
            <w:r w:rsidRPr="00FD20BC">
              <w:t>10:15</w:t>
            </w:r>
          </w:p>
        </w:tc>
      </w:tr>
      <w:tr w:rsidR="00FD20BC" w:rsidRPr="00FD20BC" w14:paraId="38BB103C" w14:textId="77777777" w:rsidTr="00FD20BC">
        <w:trPr>
          <w:trHeight w:val="737"/>
        </w:trPr>
        <w:tc>
          <w:tcPr>
            <w:tcW w:w="426" w:type="dxa"/>
          </w:tcPr>
          <w:p w14:paraId="52C2D94D" w14:textId="77777777" w:rsidR="00FD20BC" w:rsidRPr="00FD20BC" w:rsidRDefault="00FD20BC" w:rsidP="00FD20BC">
            <w:r w:rsidRPr="00FD20BC">
              <w:t>4</w:t>
            </w:r>
          </w:p>
        </w:tc>
        <w:tc>
          <w:tcPr>
            <w:tcW w:w="7229" w:type="dxa"/>
          </w:tcPr>
          <w:p w14:paraId="18174BD9" w14:textId="77777777" w:rsidR="00FD20BC" w:rsidRPr="00FD20BC" w:rsidRDefault="00FD20BC" w:rsidP="00FD20BC">
            <w:pPr>
              <w:rPr>
                <w:szCs w:val="18"/>
              </w:rPr>
            </w:pPr>
            <w:r w:rsidRPr="00FD20BC">
              <w:rPr>
                <w:szCs w:val="18"/>
              </w:rPr>
              <w:t>Accelerating Gender Equality amongst partners</w:t>
            </w:r>
          </w:p>
          <w:p w14:paraId="50C57463" w14:textId="77777777" w:rsidR="00FD20BC" w:rsidRPr="00FD20BC" w:rsidRDefault="00FD20BC" w:rsidP="003D0C74">
            <w:pPr>
              <w:numPr>
                <w:ilvl w:val="0"/>
                <w:numId w:val="74"/>
              </w:numPr>
              <w:contextualSpacing/>
              <w:rPr>
                <w:i/>
                <w:szCs w:val="18"/>
              </w:rPr>
            </w:pPr>
            <w:r w:rsidRPr="00FD20BC">
              <w:rPr>
                <w:i/>
                <w:szCs w:val="18"/>
              </w:rPr>
              <w:t xml:space="preserve">What does your organisation do to ensure gender equality at partner level? How are you held accountable? </w:t>
            </w:r>
          </w:p>
          <w:p w14:paraId="420EC86A" w14:textId="77777777" w:rsidR="00FD20BC" w:rsidRPr="00FD20BC" w:rsidRDefault="00FD20BC" w:rsidP="003D0C74">
            <w:pPr>
              <w:numPr>
                <w:ilvl w:val="0"/>
                <w:numId w:val="74"/>
              </w:numPr>
              <w:contextualSpacing/>
              <w:rPr>
                <w:i/>
                <w:szCs w:val="18"/>
              </w:rPr>
            </w:pPr>
            <w:r w:rsidRPr="00FD20BC">
              <w:rPr>
                <w:i/>
                <w:szCs w:val="18"/>
              </w:rPr>
              <w:t xml:space="preserve">What resources could the Government provide to support the industry to accelerate gender equality at partner level?  </w:t>
            </w:r>
          </w:p>
        </w:tc>
        <w:tc>
          <w:tcPr>
            <w:tcW w:w="860" w:type="dxa"/>
            <w:shd w:val="clear" w:color="auto" w:fill="auto"/>
          </w:tcPr>
          <w:p w14:paraId="4C2B6B2A" w14:textId="77777777" w:rsidR="00FD20BC" w:rsidRPr="00FD20BC" w:rsidRDefault="00FD20BC" w:rsidP="00FD20BC">
            <w:r w:rsidRPr="00FD20BC">
              <w:t>10:40</w:t>
            </w:r>
          </w:p>
        </w:tc>
      </w:tr>
      <w:tr w:rsidR="00FD20BC" w:rsidRPr="00FD20BC" w14:paraId="1A7BDCE3" w14:textId="77777777" w:rsidTr="00FD20BC">
        <w:trPr>
          <w:trHeight w:val="737"/>
        </w:trPr>
        <w:tc>
          <w:tcPr>
            <w:tcW w:w="426" w:type="dxa"/>
            <w:shd w:val="clear" w:color="auto" w:fill="auto"/>
          </w:tcPr>
          <w:p w14:paraId="7B6AAFCD" w14:textId="77777777" w:rsidR="00FD20BC" w:rsidRPr="00FD20BC" w:rsidRDefault="00FD20BC" w:rsidP="00FD20BC">
            <w:r w:rsidRPr="00FD20BC">
              <w:t>5</w:t>
            </w:r>
          </w:p>
        </w:tc>
        <w:tc>
          <w:tcPr>
            <w:tcW w:w="7229" w:type="dxa"/>
            <w:shd w:val="clear" w:color="auto" w:fill="auto"/>
          </w:tcPr>
          <w:p w14:paraId="46E73BCA" w14:textId="77777777" w:rsidR="00FD20BC" w:rsidRPr="00FD20BC" w:rsidRDefault="00FD20BC" w:rsidP="00FD20BC">
            <w:pPr>
              <w:spacing w:after="120"/>
              <w:rPr>
                <w:szCs w:val="18"/>
              </w:rPr>
            </w:pPr>
            <w:r w:rsidRPr="00FD20BC">
              <w:rPr>
                <w:szCs w:val="18"/>
              </w:rPr>
              <w:t>Wrap Up and close</w:t>
            </w:r>
          </w:p>
          <w:p w14:paraId="2FED9903" w14:textId="77777777" w:rsidR="00FD20BC" w:rsidRPr="00FD20BC" w:rsidRDefault="00FD20BC" w:rsidP="003D0C74">
            <w:pPr>
              <w:numPr>
                <w:ilvl w:val="0"/>
                <w:numId w:val="74"/>
              </w:numPr>
              <w:spacing w:after="0" w:line="240" w:lineRule="auto"/>
            </w:pPr>
            <w:r w:rsidRPr="00FD20BC">
              <w:t>Summary of key points raised</w:t>
            </w:r>
          </w:p>
        </w:tc>
        <w:tc>
          <w:tcPr>
            <w:tcW w:w="860" w:type="dxa"/>
            <w:shd w:val="clear" w:color="auto" w:fill="auto"/>
          </w:tcPr>
          <w:p w14:paraId="4913DFC1" w14:textId="77777777" w:rsidR="00FD20BC" w:rsidRPr="00FD20BC" w:rsidRDefault="00FD20BC" w:rsidP="00FD20BC">
            <w:pPr>
              <w:spacing w:before="40" w:after="40" w:line="240" w:lineRule="auto"/>
              <w:ind w:left="284" w:hanging="284"/>
            </w:pPr>
            <w:r w:rsidRPr="00FD20BC">
              <w:t>10:55</w:t>
            </w:r>
          </w:p>
        </w:tc>
      </w:tr>
    </w:tbl>
    <w:p w14:paraId="1CD5A7EA" w14:textId="77777777" w:rsidR="00FD20BC" w:rsidRPr="00FD20BC" w:rsidRDefault="00FD20BC" w:rsidP="00FD20BC">
      <w:pPr>
        <w:rPr>
          <w:lang w:val="en-GB"/>
        </w:rPr>
        <w:sectPr w:rsidR="00FD20BC" w:rsidRPr="00FD20BC" w:rsidSect="00FD20BC">
          <w:pgSz w:w="11906" w:h="16838"/>
          <w:pgMar w:top="1440" w:right="1440" w:bottom="1440" w:left="1440" w:header="709" w:footer="709" w:gutter="0"/>
          <w:cols w:space="708"/>
          <w:docGrid w:linePitch="360"/>
        </w:sectPr>
      </w:pPr>
    </w:p>
    <w:p w14:paraId="4B977F5E" w14:textId="55951D54" w:rsidR="00FD20BC" w:rsidRPr="00FD20BC" w:rsidRDefault="00FD20BC" w:rsidP="00FD20BC">
      <w:pPr>
        <w:keepNext/>
        <w:keepLines/>
        <w:spacing w:before="240" w:after="0"/>
        <w:outlineLvl w:val="0"/>
        <w:rPr>
          <w:rFonts w:eastAsiaTheme="majorEastAsia" w:cstheme="minorHAnsi"/>
          <w:color w:val="2E74B5" w:themeColor="accent1" w:themeShade="BF"/>
          <w:sz w:val="32"/>
          <w:szCs w:val="32"/>
          <w:lang w:val="en-GB"/>
        </w:rPr>
        <w:sectPr w:rsidR="00FD20BC" w:rsidRPr="00FD20BC" w:rsidSect="00FD20BC">
          <w:pgSz w:w="16838" w:h="11906" w:orient="landscape"/>
          <w:pgMar w:top="1440" w:right="1440" w:bottom="1440" w:left="1440" w:header="709" w:footer="709" w:gutter="0"/>
          <w:cols w:space="708"/>
          <w:docGrid w:linePitch="360"/>
        </w:sectPr>
      </w:pPr>
      <w:bookmarkStart w:id="184" w:name="_Toc125714759"/>
      <w:r w:rsidRPr="00FD20BC">
        <w:rPr>
          <w:rFonts w:eastAsiaTheme="majorEastAsia" w:cstheme="minorHAnsi"/>
          <w:color w:val="2E74B5" w:themeColor="accent1" w:themeShade="BF"/>
          <w:sz w:val="32"/>
          <w:szCs w:val="32"/>
          <w:lang w:val="en-GB"/>
        </w:rPr>
        <w:t>Appendix H</w:t>
      </w:r>
      <w:r w:rsidR="00C03D8E">
        <w:rPr>
          <w:rFonts w:eastAsiaTheme="majorEastAsia" w:cstheme="minorHAnsi"/>
          <w:color w:val="2E74B5" w:themeColor="accent1" w:themeShade="BF"/>
          <w:sz w:val="32"/>
          <w:szCs w:val="32"/>
          <w:lang w:val="en-GB"/>
        </w:rPr>
        <w:t xml:space="preserve"> –Risk Matrix</w:t>
      </w:r>
      <w:r w:rsidRPr="00FD20BC">
        <w:rPr>
          <w:rFonts w:asciiTheme="majorHAnsi" w:eastAsiaTheme="majorEastAsia" w:hAnsiTheme="majorHAnsi" w:cstheme="majorBidi"/>
          <w:noProof/>
          <w:color w:val="2E74B5" w:themeColor="accent1" w:themeShade="BF"/>
          <w:sz w:val="32"/>
          <w:szCs w:val="32"/>
          <w:lang w:eastAsia="en-AU"/>
        </w:rPr>
        <w:drawing>
          <wp:inline distT="0" distB="0" distL="0" distR="0" wp14:anchorId="41575E6D" wp14:editId="73DA43E6">
            <wp:extent cx="8807713" cy="5358809"/>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0">
                      <a:extLst>
                        <a:ext uri="{28A0092B-C50C-407E-A947-70E740481C1C}">
                          <a14:useLocalDpi xmlns:a14="http://schemas.microsoft.com/office/drawing/2010/main" val="0"/>
                        </a:ext>
                      </a:extLst>
                    </a:blip>
                    <a:stretch>
                      <a:fillRect/>
                    </a:stretch>
                  </pic:blipFill>
                  <pic:spPr>
                    <a:xfrm>
                      <a:off x="0" y="0"/>
                      <a:ext cx="8825984" cy="5369925"/>
                    </a:xfrm>
                    <a:prstGeom prst="rect">
                      <a:avLst/>
                    </a:prstGeom>
                  </pic:spPr>
                </pic:pic>
              </a:graphicData>
            </a:graphic>
          </wp:inline>
        </w:drawing>
      </w:r>
      <w:bookmarkEnd w:id="184"/>
    </w:p>
    <w:p w14:paraId="0B401758" w14:textId="77777777" w:rsidR="004A1687" w:rsidRPr="003F264A" w:rsidRDefault="004A1687" w:rsidP="00696FEA">
      <w:pPr>
        <w:rPr>
          <w:rStyle w:val="Heading1Char"/>
          <w:rFonts w:asciiTheme="minorHAnsi" w:eastAsiaTheme="minorHAnsi" w:hAnsiTheme="minorHAnsi" w:cstheme="minorHAnsi"/>
          <w:color w:val="auto"/>
          <w:sz w:val="22"/>
          <w:szCs w:val="22"/>
        </w:rPr>
      </w:pPr>
    </w:p>
    <w:sectPr w:rsidR="004A1687" w:rsidRPr="003F264A" w:rsidSect="001D4608">
      <w:footerReference w:type="default" r:id="rId4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7817" w14:textId="77777777" w:rsidR="008E4507" w:rsidRDefault="008E4507" w:rsidP="00617C9B">
      <w:pPr>
        <w:spacing w:after="0" w:line="240" w:lineRule="auto"/>
      </w:pPr>
      <w:r>
        <w:separator/>
      </w:r>
    </w:p>
  </w:endnote>
  <w:endnote w:type="continuationSeparator" w:id="0">
    <w:p w14:paraId="05CA5FD9" w14:textId="77777777" w:rsidR="008E4507" w:rsidRDefault="008E4507" w:rsidP="00617C9B">
      <w:pPr>
        <w:spacing w:after="0" w:line="240" w:lineRule="auto"/>
      </w:pPr>
      <w:r>
        <w:continuationSeparator/>
      </w:r>
    </w:p>
  </w:endnote>
  <w:endnote w:type="continuationNotice" w:id="1">
    <w:p w14:paraId="04E6627F" w14:textId="77777777" w:rsidR="008E4507" w:rsidRDefault="008E4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oundry Sterling Bold">
    <w:altName w:val="Arial"/>
    <w:panose1 w:val="00000000000000000000"/>
    <w:charset w:val="00"/>
    <w:family w:val="modern"/>
    <w:notTrueType/>
    <w:pitch w:val="variable"/>
    <w:sig w:usb0="00000001" w:usb1="4000204A" w:usb2="00000000" w:usb3="00000000" w:csb0="00000111" w:csb1="00000000"/>
  </w:font>
  <w:font w:name="Segoe UI Light">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A3B0" w14:textId="77777777" w:rsidR="00D96BFB" w:rsidRDefault="00D96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959424"/>
      <w:docPartObj>
        <w:docPartGallery w:val="Page Numbers (Bottom of Page)"/>
        <w:docPartUnique/>
      </w:docPartObj>
    </w:sdtPr>
    <w:sdtEndPr>
      <w:rPr>
        <w:noProof/>
      </w:rPr>
    </w:sdtEndPr>
    <w:sdtContent>
      <w:p w14:paraId="77596C17" w14:textId="218499DF" w:rsidR="00D073EC" w:rsidRDefault="00D073EC" w:rsidP="00AD33F9">
        <w:pPr>
          <w:pStyle w:val="Footer"/>
          <w:jc w:val="center"/>
        </w:pPr>
        <w:r>
          <w:fldChar w:fldCharType="begin"/>
        </w:r>
        <w:r>
          <w:instrText xml:space="preserve"> PAGE   \* MERGEFORMAT </w:instrText>
        </w:r>
        <w:r>
          <w:fldChar w:fldCharType="separate"/>
        </w:r>
        <w:r w:rsidR="00D96BFB">
          <w:rPr>
            <w:noProof/>
          </w:rPr>
          <w:t>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773307"/>
      <w:docPartObj>
        <w:docPartGallery w:val="Page Numbers (Bottom of Page)"/>
        <w:docPartUnique/>
      </w:docPartObj>
    </w:sdtPr>
    <w:sdtEndPr>
      <w:rPr>
        <w:noProof/>
      </w:rPr>
    </w:sdtEndPr>
    <w:sdtContent>
      <w:p w14:paraId="564F16B0" w14:textId="6F06C6C4" w:rsidR="00D073EC" w:rsidRDefault="00D073EC">
        <w:pPr>
          <w:pStyle w:val="Footer"/>
          <w:jc w:val="center"/>
        </w:pPr>
        <w:r>
          <w:t>99</w:t>
        </w:r>
      </w:p>
    </w:sdtContent>
  </w:sdt>
  <w:p w14:paraId="10277F66" w14:textId="77777777" w:rsidR="00D073EC" w:rsidRDefault="00D073EC">
    <w:pPr>
      <w:pStyle w:val="Footer"/>
    </w:pPr>
  </w:p>
  <w:p w14:paraId="124B2F73" w14:textId="77777777" w:rsidR="00D073EC" w:rsidRDefault="00D073E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652119"/>
      <w:docPartObj>
        <w:docPartGallery w:val="Page Numbers (Bottom of Page)"/>
        <w:docPartUnique/>
      </w:docPartObj>
    </w:sdtPr>
    <w:sdtEndPr>
      <w:rPr>
        <w:noProof/>
      </w:rPr>
    </w:sdtEndPr>
    <w:sdtContent>
      <w:p w14:paraId="4B69CD2B" w14:textId="51209BC6" w:rsidR="00D073EC" w:rsidRDefault="00D073EC">
        <w:pPr>
          <w:pStyle w:val="Footer"/>
          <w:jc w:val="center"/>
        </w:pPr>
        <w:r>
          <w:fldChar w:fldCharType="begin"/>
        </w:r>
        <w:r>
          <w:instrText xml:space="preserve"> PAGE   \* MERGEFORMAT </w:instrText>
        </w:r>
        <w:r>
          <w:fldChar w:fldCharType="separate"/>
        </w:r>
        <w:r>
          <w:rPr>
            <w:noProof/>
          </w:rPr>
          <w:t>115</w:t>
        </w:r>
        <w:r>
          <w:rPr>
            <w:noProof/>
          </w:rPr>
          <w:fldChar w:fldCharType="end"/>
        </w:r>
      </w:p>
    </w:sdtContent>
  </w:sdt>
  <w:p w14:paraId="7F59673D" w14:textId="77777777" w:rsidR="00D073EC" w:rsidRDefault="00D073EC" w:rsidP="00931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2ECAD" w14:textId="77777777" w:rsidR="008E4507" w:rsidRDefault="008E4507" w:rsidP="00617C9B">
      <w:pPr>
        <w:spacing w:after="0" w:line="240" w:lineRule="auto"/>
      </w:pPr>
      <w:r>
        <w:separator/>
      </w:r>
    </w:p>
  </w:footnote>
  <w:footnote w:type="continuationSeparator" w:id="0">
    <w:p w14:paraId="1E3D4166" w14:textId="77777777" w:rsidR="008E4507" w:rsidRDefault="008E4507" w:rsidP="00617C9B">
      <w:pPr>
        <w:spacing w:after="0" w:line="240" w:lineRule="auto"/>
      </w:pPr>
      <w:r>
        <w:continuationSeparator/>
      </w:r>
    </w:p>
  </w:footnote>
  <w:footnote w:type="continuationNotice" w:id="1">
    <w:p w14:paraId="15272149" w14:textId="77777777" w:rsidR="008E4507" w:rsidRDefault="008E4507">
      <w:pPr>
        <w:spacing w:after="0" w:line="240" w:lineRule="auto"/>
      </w:pPr>
    </w:p>
  </w:footnote>
  <w:footnote w:id="2">
    <w:p w14:paraId="6EE93D19" w14:textId="6F329F28" w:rsidR="00D073EC" w:rsidRDefault="00D073EC" w:rsidP="0084004B">
      <w:pPr>
        <w:pStyle w:val="FootnoteText"/>
      </w:pPr>
      <w:r>
        <w:rPr>
          <w:rStyle w:val="FootnoteReference"/>
        </w:rPr>
        <w:footnoteRef/>
      </w:r>
      <w:r>
        <w:t xml:space="preserve"> Department of Prime Minister and Cabinet ‘WGEA Review Report’ (2022), </w:t>
      </w:r>
      <w:hyperlink r:id="rId1" w:history="1">
        <w:r>
          <w:rPr>
            <w:rStyle w:val="Hyperlink"/>
          </w:rPr>
          <w:t>https://www.pmc.gov.au/resource-centre/office-women/wgea-review-report</w:t>
        </w:r>
      </w:hyperlink>
      <w:r>
        <w:rPr>
          <w:rStyle w:val="Hyperlink"/>
        </w:rPr>
        <w:t>; ‘</w:t>
      </w:r>
    </w:p>
  </w:footnote>
  <w:footnote w:id="3">
    <w:p w14:paraId="04D9C79F" w14:textId="677547EE" w:rsidR="00D073EC" w:rsidRDefault="00D073EC" w:rsidP="0025500C">
      <w:pPr>
        <w:pStyle w:val="FootnoteText"/>
      </w:pPr>
      <w:r>
        <w:rPr>
          <w:rStyle w:val="FootnoteReference"/>
        </w:rPr>
        <w:footnoteRef/>
      </w:r>
      <w:r>
        <w:t xml:space="preserve"> WGEA, Australia’s Gender Equality Scorecard ‘Key results from the WGEA Employer Census 2021-22’ December 2022 </w:t>
      </w:r>
      <w:hyperlink r:id="rId2" w:history="1">
        <w:r>
          <w:rPr>
            <w:rStyle w:val="Hyperlink"/>
          </w:rPr>
          <w:t>WGEA-Gender-Equality-Scorecard-2022.pdf</w:t>
        </w:r>
      </w:hyperlink>
      <w:r w:rsidDel="00AC27DC">
        <w:t xml:space="preserve"> </w:t>
      </w:r>
      <w:r>
        <w:t xml:space="preserve">  </w:t>
      </w:r>
    </w:p>
  </w:footnote>
  <w:footnote w:id="4">
    <w:p w14:paraId="31CBC2A7" w14:textId="7C7B7C65" w:rsidR="00D073EC" w:rsidRPr="00F06AFC" w:rsidRDefault="00D073EC" w:rsidP="004B2D21">
      <w:pPr>
        <w:pStyle w:val="FootnoteText"/>
        <w:rPr>
          <w:rFonts w:cstheme="minorHAnsi"/>
        </w:rPr>
      </w:pPr>
      <w:r>
        <w:rPr>
          <w:rStyle w:val="FootnoteReference"/>
        </w:rPr>
        <w:footnoteRef/>
      </w:r>
      <w:r>
        <w:t xml:space="preserve"> The Office of Impact Analysis ‘</w:t>
      </w:r>
      <w:r w:rsidRPr="00F06AFC">
        <w:rPr>
          <w:rFonts w:cstheme="minorHAnsi"/>
        </w:rPr>
        <w:t>Australian Government Guide to Regulatory Impact Statements</w:t>
      </w:r>
      <w:r>
        <w:rPr>
          <w:rFonts w:cstheme="minorHAnsi"/>
        </w:rPr>
        <w:t xml:space="preserve">’ (2020) </w:t>
      </w:r>
      <w:hyperlink r:id="rId3" w:history="1">
        <w:r w:rsidRPr="00473698">
          <w:rPr>
            <w:rStyle w:val="Hyperlink"/>
          </w:rPr>
          <w:t>https://oia.pmc.gov.au/resources/guidance-impact-analysis/australian-government-guide-regulatory-impact-analysis</w:t>
        </w:r>
      </w:hyperlink>
      <w:r>
        <w:t xml:space="preserve"> </w:t>
      </w:r>
    </w:p>
  </w:footnote>
  <w:footnote w:id="5">
    <w:p w14:paraId="70F75ABB" w14:textId="4F1FFB15" w:rsidR="00D073EC" w:rsidRDefault="00D073EC" w:rsidP="00705D45">
      <w:r>
        <w:rPr>
          <w:rStyle w:val="FootnoteReference"/>
        </w:rPr>
        <w:footnoteRef/>
      </w:r>
      <w:r>
        <w:t xml:space="preserve"> </w:t>
      </w:r>
      <w:r w:rsidRPr="00705D45">
        <w:rPr>
          <w:sz w:val="20"/>
        </w:rPr>
        <w:t xml:space="preserve">A small business (defined by the Australian Bureau of Statistics (ABS) as a business with less than 20 people) does not have to report to WGEA. This </w:t>
      </w:r>
      <w:r>
        <w:rPr>
          <w:rFonts w:cstheme="minorHAnsi"/>
          <w:lang w:val="en-GB"/>
        </w:rPr>
        <w:t>IA</w:t>
      </w:r>
      <w:r w:rsidRPr="00705D45">
        <w:rPr>
          <w:sz w:val="20"/>
        </w:rPr>
        <w:t xml:space="preserve"> will not consider the impacts of policy options on small businesses as they are not required to report under the WGE Act. Small businesses are excluded from the stakeholder list as WGEA reporting re</w:t>
      </w:r>
      <w:r>
        <w:rPr>
          <w:sz w:val="20"/>
        </w:rPr>
        <w:t>quirements only apply to non-public</w:t>
      </w:r>
      <w:r w:rsidRPr="00705D45">
        <w:rPr>
          <w:sz w:val="20"/>
        </w:rPr>
        <w:t xml:space="preserve"> sector busine</w:t>
      </w:r>
      <w:r>
        <w:rPr>
          <w:sz w:val="20"/>
        </w:rPr>
        <w:t>sses with 100 or more employees.</w:t>
      </w:r>
      <w:r w:rsidRPr="00705D45">
        <w:rPr>
          <w:sz w:val="20"/>
        </w:rPr>
        <w:t xml:space="preserve"> Small business (or community organisations) with less than 100 employees, are specifically carved out from the WGEA reporting system. Small businesses are not in scope for reporting under the WGE Act as the regulatory cost for small business was considered too high. However, small businesses (and community organisations) will continue to benefit from macro-economic trends and benefits. </w:t>
      </w:r>
    </w:p>
  </w:footnote>
  <w:footnote w:id="6">
    <w:p w14:paraId="5C609E82" w14:textId="77777777" w:rsidR="00D073EC" w:rsidRPr="00F06AFC" w:rsidRDefault="00D073EC" w:rsidP="00B36CEE">
      <w:pPr>
        <w:pStyle w:val="FootnoteText"/>
        <w:rPr>
          <w:rFonts w:cstheme="minorHAnsi"/>
        </w:rPr>
      </w:pPr>
      <w:r w:rsidRPr="00F06AFC">
        <w:rPr>
          <w:rStyle w:val="FootnoteReference"/>
          <w:rFonts w:cstheme="minorHAnsi"/>
        </w:rPr>
        <w:footnoteRef/>
      </w:r>
      <w:r w:rsidRPr="00F06AFC">
        <w:rPr>
          <w:rFonts w:cstheme="minorHAnsi"/>
        </w:rPr>
        <w:t xml:space="preserve"> </w:t>
      </w:r>
      <w:r>
        <w:rPr>
          <w:rFonts w:cstheme="minorHAnsi"/>
        </w:rPr>
        <w:t xml:space="preserve">ABS ‘Labour Force, Australia’ (September 2022) </w:t>
      </w:r>
      <w:hyperlink r:id="rId4" w:history="1">
        <w:r w:rsidRPr="001C35C7">
          <w:rPr>
            <w:rStyle w:val="Hyperlink"/>
            <w:rFonts w:cstheme="minorHAnsi"/>
          </w:rPr>
          <w:t>https://www.abs.gov.au/statistics/labour/employment-and-unemployment/labour-force-australia/latest-release</w:t>
        </w:r>
      </w:hyperlink>
      <w:r>
        <w:rPr>
          <w:rFonts w:cstheme="minorHAnsi"/>
        </w:rPr>
        <w:t xml:space="preserve"> </w:t>
      </w:r>
    </w:p>
  </w:footnote>
  <w:footnote w:id="7">
    <w:p w14:paraId="01ADD4B2" w14:textId="77777777" w:rsidR="00D073EC" w:rsidRDefault="00D073EC" w:rsidP="00CB3A97">
      <w:pPr>
        <w:pStyle w:val="FootnoteText"/>
      </w:pPr>
      <w:r>
        <w:rPr>
          <w:rStyle w:val="FootnoteReference"/>
        </w:rPr>
        <w:footnoteRef/>
      </w:r>
      <w:r>
        <w:t xml:space="preserve"> </w:t>
      </w:r>
      <w:r>
        <w:rPr>
          <w:rFonts w:cstheme="minorHAnsi"/>
        </w:rPr>
        <w:t xml:space="preserve">ABS ‘Labour Force, Australia’ (September 2022) </w:t>
      </w:r>
      <w:hyperlink r:id="rId5" w:history="1">
        <w:r w:rsidRPr="001C35C7">
          <w:rPr>
            <w:rStyle w:val="Hyperlink"/>
            <w:rFonts w:cstheme="minorHAnsi"/>
          </w:rPr>
          <w:t>https://www.abs.gov.au/statistics/labour/employment-and-unemployment/labour-force-australia/latest-release</w:t>
        </w:r>
      </w:hyperlink>
    </w:p>
  </w:footnote>
  <w:footnote w:id="8">
    <w:p w14:paraId="04C5609F" w14:textId="77777777" w:rsidR="00D073EC" w:rsidRDefault="00D073EC" w:rsidP="00833F69">
      <w:pPr>
        <w:pStyle w:val="FootnoteText"/>
      </w:pPr>
      <w:r>
        <w:rPr>
          <w:rStyle w:val="FootnoteReference"/>
        </w:rPr>
        <w:footnoteRef/>
      </w:r>
      <w:r>
        <w:t xml:space="preserve"> ABS</w:t>
      </w:r>
      <w:r w:rsidRPr="00472836">
        <w:t xml:space="preserve">, </w:t>
      </w:r>
      <w:r>
        <w:t xml:space="preserve">‘Participation, Job Search and Mobility, Australia’ (2022) </w:t>
      </w:r>
      <w:hyperlink r:id="rId6" w:history="1">
        <w:r w:rsidRPr="001C35C7">
          <w:rPr>
            <w:rStyle w:val="Hyperlink"/>
          </w:rPr>
          <w:t>https://www.abs.gov.au/statistics/labour/employment-and-unemployment/participation-job-search-and-mobility-australia/latest-release</w:t>
        </w:r>
      </w:hyperlink>
      <w:r>
        <w:t xml:space="preserve"> </w:t>
      </w:r>
    </w:p>
  </w:footnote>
  <w:footnote w:id="9">
    <w:p w14:paraId="231870D5" w14:textId="77777777" w:rsidR="00D073EC" w:rsidRDefault="00D073EC" w:rsidP="00833F69">
      <w:pPr>
        <w:pStyle w:val="FootnoteText"/>
      </w:pPr>
      <w:r>
        <w:rPr>
          <w:rStyle w:val="FootnoteReference"/>
        </w:rPr>
        <w:footnoteRef/>
      </w:r>
      <w:r>
        <w:t xml:space="preserve"> Ibid.</w:t>
      </w:r>
    </w:p>
  </w:footnote>
  <w:footnote w:id="10">
    <w:p w14:paraId="7BAD6745" w14:textId="77777777" w:rsidR="00D073EC" w:rsidRDefault="00D073EC" w:rsidP="00833F69">
      <w:pPr>
        <w:pStyle w:val="FootnoteText"/>
      </w:pPr>
      <w:r>
        <w:rPr>
          <w:rStyle w:val="FootnoteReference"/>
        </w:rPr>
        <w:footnoteRef/>
      </w:r>
      <w:r>
        <w:t xml:space="preserve"> Ibid.</w:t>
      </w:r>
    </w:p>
  </w:footnote>
  <w:footnote w:id="11">
    <w:p w14:paraId="465FB318" w14:textId="77777777" w:rsidR="00D073EC" w:rsidRDefault="00D073EC" w:rsidP="00B36CEE">
      <w:pPr>
        <w:pStyle w:val="FootnoteText"/>
      </w:pPr>
      <w:r>
        <w:rPr>
          <w:rStyle w:val="FootnoteReference"/>
        </w:rPr>
        <w:footnoteRef/>
      </w:r>
      <w:r>
        <w:t xml:space="preserve"> </w:t>
      </w:r>
      <w:r w:rsidRPr="005F731C">
        <w:t>WGEA and the APSC have conducted a pilot with Commonwealth and state public sector organisations to inform the implementation of this recommendation across the Commonwealth public service. Voluntary public sector reporting for the Commonwealth public sector will be open from the 15th of July to 30th of September 2022. WGEA will be working with States and Territories to run a limited pilot program later in the year.</w:t>
      </w:r>
    </w:p>
  </w:footnote>
  <w:footnote w:id="12">
    <w:p w14:paraId="60668D0A" w14:textId="03C00DF9" w:rsidR="00D073EC" w:rsidRDefault="00D073EC" w:rsidP="00B36CEE">
      <w:pPr>
        <w:pStyle w:val="FootnoteText"/>
      </w:pPr>
      <w:r>
        <w:rPr>
          <w:rStyle w:val="FootnoteReference"/>
        </w:rPr>
        <w:footnoteRef/>
      </w:r>
      <w:r>
        <w:t xml:space="preserve"> ABS ‘Jobs in Australia 2014-15 to 2018-19’ (2021) </w:t>
      </w:r>
      <w:hyperlink r:id="rId7" w:history="1">
        <w:r w:rsidRPr="00935563">
          <w:rPr>
            <w:rStyle w:val="Hyperlink"/>
          </w:rPr>
          <w:t>https://www.abs.gov.au/statistics/labour/jobs/jobs-australia/latest-release</w:t>
        </w:r>
      </w:hyperlink>
      <w:r>
        <w:t xml:space="preserve">  </w:t>
      </w:r>
    </w:p>
  </w:footnote>
  <w:footnote w:id="13">
    <w:p w14:paraId="593D92FF" w14:textId="77777777" w:rsidR="00D073EC" w:rsidRDefault="00D073EC" w:rsidP="00B36CEE">
      <w:pPr>
        <w:pStyle w:val="FootnoteText"/>
      </w:pPr>
      <w:r>
        <w:rPr>
          <w:rStyle w:val="FootnoteReference"/>
        </w:rPr>
        <w:footnoteRef/>
      </w:r>
      <w:r>
        <w:t xml:space="preserve"> Note this is expected to increase in 2023 when mandatory public sector reporting begins; </w:t>
      </w:r>
      <w:hyperlink r:id="rId8" w:history="1">
        <w:r w:rsidRPr="00E72F49">
          <w:rPr>
            <w:rStyle w:val="Hyperlink"/>
          </w:rPr>
          <w:t>https://www.wgea.gov.au/about/governance/data-quality/2019-20-wgea-data-quality-report</w:t>
        </w:r>
      </w:hyperlink>
      <w:r>
        <w:t xml:space="preserve"> </w:t>
      </w:r>
    </w:p>
  </w:footnote>
  <w:footnote w:id="14">
    <w:p w14:paraId="2A3D1CBA" w14:textId="6DC10AC2" w:rsidR="00D073EC" w:rsidRDefault="00D073EC" w:rsidP="00B36CEE">
      <w:pPr>
        <w:pStyle w:val="FootnoteText"/>
      </w:pPr>
      <w:r>
        <w:rPr>
          <w:rStyle w:val="FootnoteReference"/>
        </w:rPr>
        <w:footnoteRef/>
      </w:r>
      <w:r>
        <w:t xml:space="preserve"> ABS ‘Jobs in Australia 2014-15 to 2018-19’ (2021) </w:t>
      </w:r>
      <w:hyperlink r:id="rId9" w:history="1">
        <w:r w:rsidRPr="00791063">
          <w:rPr>
            <w:rStyle w:val="Hyperlink"/>
          </w:rPr>
          <w:t>https://www.abs.gov.au/statistics/labour/jobs/jobs-australia/latest-release</w:t>
        </w:r>
      </w:hyperlink>
      <w:r>
        <w:t xml:space="preserve"> </w:t>
      </w:r>
    </w:p>
  </w:footnote>
  <w:footnote w:id="15">
    <w:p w14:paraId="0583C81E" w14:textId="78A2EC1D" w:rsidR="00D073EC" w:rsidRDefault="00D073EC" w:rsidP="004B2D21">
      <w:pPr>
        <w:pStyle w:val="FootnoteText"/>
      </w:pPr>
      <w:r>
        <w:rPr>
          <w:rStyle w:val="FootnoteReference"/>
        </w:rPr>
        <w:footnoteRef/>
      </w:r>
      <w:r>
        <w:t xml:space="preserve">ABS ‘Jobs in Australia 2014-15 to 2018-19’ (2021) </w:t>
      </w:r>
      <w:hyperlink r:id="rId10" w:history="1">
        <w:r w:rsidRPr="00935563">
          <w:rPr>
            <w:rStyle w:val="Hyperlink"/>
          </w:rPr>
          <w:t>https://www.abs.gov.au/statistics/labour/jobs/jobs-australia/latest-release</w:t>
        </w:r>
      </w:hyperlink>
      <w:r>
        <w:t xml:space="preserve"> </w:t>
      </w:r>
    </w:p>
  </w:footnote>
  <w:footnote w:id="16">
    <w:p w14:paraId="2BA0D162" w14:textId="77777777" w:rsidR="00D073EC" w:rsidRDefault="00D073EC" w:rsidP="004B2D21">
      <w:pPr>
        <w:pStyle w:val="FootnoteText"/>
      </w:pPr>
      <w:r>
        <w:rPr>
          <w:rStyle w:val="FootnoteReference"/>
        </w:rPr>
        <w:footnoteRef/>
      </w:r>
      <w:r>
        <w:t xml:space="preserve"> For more information, see WGEA ‘Gender Segregation in Australia’s workforce’ (2019) </w:t>
      </w:r>
      <w:hyperlink r:id="rId11" w:history="1">
        <w:r w:rsidRPr="00791063">
          <w:rPr>
            <w:rStyle w:val="Hyperlink"/>
          </w:rPr>
          <w:t>https://www.wgea.gov.au/sites/default/files/documents/18_04_Industrial_segregation.pdf</w:t>
        </w:r>
      </w:hyperlink>
      <w:r>
        <w:t xml:space="preserve"> .</w:t>
      </w:r>
    </w:p>
  </w:footnote>
  <w:footnote w:id="17">
    <w:p w14:paraId="538D7611" w14:textId="77777777" w:rsidR="00D073EC" w:rsidRDefault="00D073EC" w:rsidP="004B2D21">
      <w:pPr>
        <w:pStyle w:val="FootnoteText"/>
      </w:pPr>
      <w:r>
        <w:rPr>
          <w:rStyle w:val="FootnoteReference"/>
        </w:rPr>
        <w:footnoteRef/>
      </w:r>
      <w:r>
        <w:t xml:space="preserve"> Ibid.</w:t>
      </w:r>
    </w:p>
  </w:footnote>
  <w:footnote w:id="18">
    <w:p w14:paraId="74F73F5E" w14:textId="77777777" w:rsidR="00D073EC" w:rsidRDefault="00D073EC" w:rsidP="004B2D21">
      <w:pPr>
        <w:pStyle w:val="FootnoteText"/>
      </w:pPr>
      <w:r>
        <w:rPr>
          <w:rStyle w:val="FootnoteReference"/>
        </w:rPr>
        <w:footnoteRef/>
      </w:r>
      <w:r>
        <w:t xml:space="preserve"> WGEA ‘Gender Equality Workplace Statistics’ (2022) </w:t>
      </w:r>
      <w:hyperlink r:id="rId12" w:history="1">
        <w:r>
          <w:rPr>
            <w:rStyle w:val="Hyperlink"/>
          </w:rPr>
          <w:t>https://www.wgea.gov.au/publications/gender-equality-workplace-statistics-at-a-glance-2022</w:t>
        </w:r>
      </w:hyperlink>
      <w:r>
        <w:t>.</w:t>
      </w:r>
    </w:p>
  </w:footnote>
  <w:footnote w:id="19">
    <w:p w14:paraId="4C46E725" w14:textId="77777777" w:rsidR="00D073EC" w:rsidRDefault="00D073EC" w:rsidP="004B2D21">
      <w:pPr>
        <w:pStyle w:val="FootnoteText"/>
      </w:pPr>
      <w:r>
        <w:rPr>
          <w:rStyle w:val="FootnoteReference"/>
        </w:rPr>
        <w:footnoteRef/>
      </w:r>
      <w:r>
        <w:t xml:space="preserve"> Ibid.</w:t>
      </w:r>
    </w:p>
  </w:footnote>
  <w:footnote w:id="20">
    <w:p w14:paraId="571E42CB" w14:textId="77777777" w:rsidR="00D073EC" w:rsidRDefault="00D073EC" w:rsidP="004B2D21">
      <w:pPr>
        <w:pStyle w:val="FootnoteText"/>
      </w:pPr>
      <w:r>
        <w:rPr>
          <w:rStyle w:val="FootnoteReference"/>
        </w:rPr>
        <w:footnoteRef/>
      </w:r>
      <w:r>
        <w:t xml:space="preserve"> Ibid.</w:t>
      </w:r>
    </w:p>
  </w:footnote>
  <w:footnote w:id="21">
    <w:p w14:paraId="3EF5431B" w14:textId="77777777" w:rsidR="00D073EC" w:rsidRDefault="00D073EC" w:rsidP="00B36CEE">
      <w:pPr>
        <w:pStyle w:val="FootnoteText"/>
      </w:pPr>
      <w:r>
        <w:rPr>
          <w:rStyle w:val="FootnoteReference"/>
        </w:rPr>
        <w:footnoteRef/>
      </w:r>
      <w:r>
        <w:t xml:space="preserve"> Ibid.</w:t>
      </w:r>
    </w:p>
  </w:footnote>
  <w:footnote w:id="22">
    <w:p w14:paraId="621C4915" w14:textId="77777777" w:rsidR="00D073EC" w:rsidRDefault="00D073EC" w:rsidP="00B36CEE">
      <w:pPr>
        <w:pStyle w:val="FootnoteText"/>
      </w:pPr>
      <w:r>
        <w:rPr>
          <w:rStyle w:val="FootnoteReference"/>
        </w:rPr>
        <w:footnoteRef/>
      </w:r>
      <w:r>
        <w:t xml:space="preserve"> ABS, ‘How Australians Use Their Time, 2020-21’ (2022) </w:t>
      </w:r>
      <w:hyperlink r:id="rId13" w:history="1">
        <w:r w:rsidRPr="001C35C7">
          <w:rPr>
            <w:rStyle w:val="Hyperlink"/>
          </w:rPr>
          <w:t>https://www.abs.gov.au/statistics/people/people-and-communities/how-australians-use-their-time/latest-release</w:t>
        </w:r>
      </w:hyperlink>
      <w:r>
        <w:t xml:space="preserve">  </w:t>
      </w:r>
    </w:p>
  </w:footnote>
  <w:footnote w:id="23">
    <w:p w14:paraId="722CA881" w14:textId="77777777" w:rsidR="00D073EC" w:rsidRDefault="00D073EC" w:rsidP="00B36CEE">
      <w:pPr>
        <w:pStyle w:val="FootnoteText"/>
      </w:pPr>
      <w:r>
        <w:rPr>
          <w:rStyle w:val="FootnoteReference"/>
        </w:rPr>
        <w:footnoteRef/>
      </w:r>
      <w:r>
        <w:t xml:space="preserve"> ABS ‘Gender Indicators, Australia’ (2021) </w:t>
      </w:r>
      <w:hyperlink r:id="rId14" w:history="1">
        <w:r w:rsidRPr="009F2D1C">
          <w:rPr>
            <w:rStyle w:val="Hyperlink"/>
          </w:rPr>
          <w:t>https://www.abs.gov.au/statistics/people/people-and-communities/gender-indicators-australia/latest-release</w:t>
        </w:r>
      </w:hyperlink>
      <w:r>
        <w:t xml:space="preserve"> </w:t>
      </w:r>
    </w:p>
  </w:footnote>
  <w:footnote w:id="24">
    <w:p w14:paraId="36496310" w14:textId="77777777" w:rsidR="00D073EC" w:rsidRDefault="00D073EC" w:rsidP="00B36CEE">
      <w:pPr>
        <w:pStyle w:val="FootnoteText"/>
      </w:pPr>
      <w:r>
        <w:rPr>
          <w:rStyle w:val="FootnoteReference"/>
        </w:rPr>
        <w:footnoteRef/>
      </w:r>
      <w:r>
        <w:t xml:space="preserve"> WGEA ‘Women in Leadership’ (2022) </w:t>
      </w:r>
      <w:hyperlink r:id="rId15" w:history="1">
        <w:r>
          <w:rPr>
            <w:rStyle w:val="Hyperlink"/>
          </w:rPr>
          <w:t>https://www.wgea.gov.au/women-in-leadership</w:t>
        </w:r>
      </w:hyperlink>
      <w:r>
        <w:t>.</w:t>
      </w:r>
    </w:p>
  </w:footnote>
  <w:footnote w:id="25">
    <w:p w14:paraId="386A1C94" w14:textId="77777777" w:rsidR="00D073EC" w:rsidRDefault="00D073EC" w:rsidP="00B36CEE">
      <w:pPr>
        <w:pStyle w:val="FootnoteText"/>
      </w:pPr>
      <w:r>
        <w:rPr>
          <w:rStyle w:val="FootnoteReference"/>
        </w:rPr>
        <w:footnoteRef/>
      </w:r>
      <w:r>
        <w:t xml:space="preserve"> WGEA ‘Australia’s Gender Equality Scorecard’ (2022) </w:t>
      </w:r>
      <w:hyperlink r:id="rId16" w:history="1">
        <w:r>
          <w:rPr>
            <w:rStyle w:val="Hyperlink"/>
          </w:rPr>
          <w:t>https://www.wgea.gov.au/sites/default/files/documents/2020-21_WGEA_SCORECARD.pdf</w:t>
        </w:r>
      </w:hyperlink>
      <w:r>
        <w:t>.</w:t>
      </w:r>
    </w:p>
  </w:footnote>
  <w:footnote w:id="26">
    <w:p w14:paraId="59D72358" w14:textId="77777777" w:rsidR="00D073EC" w:rsidRDefault="00D073EC" w:rsidP="00B36CEE">
      <w:pPr>
        <w:pStyle w:val="FootnoteText"/>
      </w:pPr>
      <w:r>
        <w:rPr>
          <w:rStyle w:val="FootnoteReference"/>
        </w:rPr>
        <w:footnoteRef/>
      </w:r>
      <w:r>
        <w:t xml:space="preserve"> Australian Institute of Company Directors ‘Gender Diversity Progress Report’ (2022) </w:t>
      </w:r>
      <w:hyperlink r:id="rId17" w:history="1">
        <w:r w:rsidRPr="001C35C7">
          <w:rPr>
            <w:rStyle w:val="Hyperlink"/>
          </w:rPr>
          <w:t>https://www.aicd.com.au/board-of-directors/diversity/women/ipos-an-opportunity-for-greater-gender-diversity.html</w:t>
        </w:r>
      </w:hyperlink>
      <w:r>
        <w:t xml:space="preserve"> </w:t>
      </w:r>
    </w:p>
  </w:footnote>
  <w:footnote w:id="27">
    <w:p w14:paraId="2D73CF0C" w14:textId="334C321A" w:rsidR="00D073EC" w:rsidRDefault="00D073EC">
      <w:pPr>
        <w:pStyle w:val="FootnoteText"/>
      </w:pPr>
      <w:r>
        <w:rPr>
          <w:rStyle w:val="FootnoteReference"/>
        </w:rPr>
        <w:footnoteRef/>
      </w:r>
      <w:r>
        <w:t xml:space="preserve"> </w:t>
      </w:r>
      <w:r w:rsidRPr="00AC27DC">
        <w:t xml:space="preserve">WGEA, Australia’s Gender Equality Scorecard ‘Key results from the WGEA Employer Census 2021-22’ December 2022 WGEA-Gender-Equality-Scorecard-2022.pdf  </w:t>
      </w:r>
    </w:p>
  </w:footnote>
  <w:footnote w:id="28">
    <w:p w14:paraId="4EDABE4C" w14:textId="781B10DB" w:rsidR="00D073EC" w:rsidRDefault="00D073EC">
      <w:pPr>
        <w:pStyle w:val="FootnoteText"/>
      </w:pPr>
      <w:r>
        <w:rPr>
          <w:rStyle w:val="FootnoteReference"/>
        </w:rPr>
        <w:footnoteRef/>
      </w:r>
      <w:r>
        <w:t xml:space="preserve"> Cassells R &amp; Duncan A (2021), Gender Equity Insights 2021: Making it a priority, BCEC|WGEA Gender Equity Series, Issue #6, March 2021</w:t>
      </w:r>
    </w:p>
  </w:footnote>
  <w:footnote w:id="29">
    <w:p w14:paraId="38C359A1" w14:textId="77777777" w:rsidR="00D073EC" w:rsidRDefault="00D073EC">
      <w:pPr>
        <w:pStyle w:val="FootnoteText"/>
      </w:pPr>
      <w:r>
        <w:rPr>
          <w:rStyle w:val="FootnoteReference"/>
        </w:rPr>
        <w:footnoteRef/>
      </w:r>
      <w:r>
        <w:t xml:space="preserve"> WGEA, Gender Pay Gap Data, </w:t>
      </w:r>
      <w:hyperlink r:id="rId18" w:anchor=":~:text=As%20of%20May%202022%2C%20women's,earned%20%24263.90%20less%20than%20men" w:history="1">
        <w:r w:rsidRPr="006E5D1A">
          <w:rPr>
            <w:rStyle w:val="Hyperlink"/>
          </w:rPr>
          <w:t>https://www.wgea.gov.au/pay-and-gender/gender-pay-gap-data#:~:text=As%20of%20May%202022%2C%20women's,earned%20%24263.90%20less%20than%20men</w:t>
        </w:r>
      </w:hyperlink>
      <w:r w:rsidRPr="00512D77">
        <w:t>.</w:t>
      </w:r>
      <w:r>
        <w:t xml:space="preserve"> </w:t>
      </w:r>
    </w:p>
  </w:footnote>
  <w:footnote w:id="30">
    <w:p w14:paraId="39523E2B" w14:textId="77777777" w:rsidR="00D073EC" w:rsidRDefault="00D073EC" w:rsidP="004B2D21">
      <w:pPr>
        <w:pStyle w:val="FootnoteText"/>
      </w:pPr>
      <w:r>
        <w:rPr>
          <w:rStyle w:val="FootnoteReference"/>
        </w:rPr>
        <w:footnoteRef/>
      </w:r>
      <w:r>
        <w:t xml:space="preserve"> </w:t>
      </w:r>
      <w:r>
        <w:rPr>
          <w:rFonts w:ascii="Calibri" w:hAnsi="Calibri" w:cs="Calibri"/>
        </w:rPr>
        <w:t>KPMG ‘</w:t>
      </w:r>
      <w:r w:rsidRPr="00102650">
        <w:rPr>
          <w:rFonts w:ascii="Calibri" w:hAnsi="Calibri" w:cs="Calibri"/>
          <w:iCs/>
        </w:rPr>
        <w:t>She’s Price(d)less: The Economics of the Gender Pay Gap</w:t>
      </w:r>
      <w:r>
        <w:rPr>
          <w:rFonts w:ascii="Calibri" w:hAnsi="Calibri" w:cs="Calibri"/>
          <w:iCs/>
        </w:rPr>
        <w:t>’</w:t>
      </w:r>
      <w:r>
        <w:rPr>
          <w:rFonts w:ascii="Calibri" w:hAnsi="Calibri" w:cs="Calibri"/>
        </w:rPr>
        <w:t xml:space="preserve"> (</w:t>
      </w:r>
      <w:r w:rsidRPr="00944E64">
        <w:rPr>
          <w:rFonts w:ascii="Calibri" w:hAnsi="Calibri" w:cs="Calibri"/>
        </w:rPr>
        <w:t>2022</w:t>
      </w:r>
      <w:r>
        <w:rPr>
          <w:rFonts w:ascii="Calibri" w:hAnsi="Calibri" w:cs="Calibri"/>
        </w:rPr>
        <w:t xml:space="preserve">) </w:t>
      </w:r>
      <w:hyperlink r:id="rId19" w:history="1">
        <w:r>
          <w:rPr>
            <w:rStyle w:val="Hyperlink"/>
          </w:rPr>
          <w:t>https://www.dca.org.au/research/project/shes-pricedless-2022-update-report</w:t>
        </w:r>
      </w:hyperlink>
      <w:r>
        <w:t>.</w:t>
      </w:r>
    </w:p>
  </w:footnote>
  <w:footnote w:id="31">
    <w:p w14:paraId="2327D8CE" w14:textId="77777777" w:rsidR="00D073EC" w:rsidRDefault="00D073EC">
      <w:pPr>
        <w:pStyle w:val="FootnoteText"/>
      </w:pPr>
      <w:r>
        <w:rPr>
          <w:rStyle w:val="FootnoteReference"/>
        </w:rPr>
        <w:footnoteRef/>
      </w:r>
      <w:r>
        <w:t xml:space="preserve"> She’s Price(d)less, </w:t>
      </w:r>
      <w:hyperlink r:id="rId20" w:history="1">
        <w:r w:rsidRPr="006E5D1A">
          <w:rPr>
            <w:rStyle w:val="Hyperlink"/>
          </w:rPr>
          <w:t>https://www.dca.org.au/sites/default/files/report_shes_pricedless_2022.pdf</w:t>
        </w:r>
      </w:hyperlink>
    </w:p>
  </w:footnote>
  <w:footnote w:id="32">
    <w:p w14:paraId="4AB520DD" w14:textId="77777777" w:rsidR="00D073EC" w:rsidRDefault="00D073EC" w:rsidP="00633B92">
      <w:pPr>
        <w:pStyle w:val="FootnoteText"/>
      </w:pPr>
      <w:r>
        <w:rPr>
          <w:rStyle w:val="FootnoteReference"/>
        </w:rPr>
        <w:footnoteRef/>
      </w:r>
      <w:r>
        <w:t xml:space="preserve"> HILDA ‘Household, Income and Labour Dynamics in Australia Survey’ (2019) Statistical Report, </w:t>
      </w:r>
      <w:hyperlink r:id="rId21" w:history="1">
        <w:r w:rsidRPr="00791063">
          <w:rPr>
            <w:rStyle w:val="Hyperlink"/>
          </w:rPr>
          <w:t>https://melbourneinstitute.unimelb.edu.au/__data/assets/pdf_file/0011/3127664/HILDA-Statistical-Report-2019.pdf</w:t>
        </w:r>
      </w:hyperlink>
      <w:r>
        <w:t xml:space="preserve"> </w:t>
      </w:r>
    </w:p>
  </w:footnote>
  <w:footnote w:id="33">
    <w:p w14:paraId="21BAA9CF" w14:textId="77777777" w:rsidR="00D073EC" w:rsidRDefault="00D073EC">
      <w:pPr>
        <w:pStyle w:val="FootnoteText"/>
      </w:pPr>
      <w:r>
        <w:rPr>
          <w:rStyle w:val="FootnoteReference"/>
        </w:rPr>
        <w:footnoteRef/>
      </w:r>
      <w:r>
        <w:t xml:space="preserve"> She’s Price(d)less, </w:t>
      </w:r>
      <w:hyperlink r:id="rId22" w:history="1">
        <w:r w:rsidRPr="006E5D1A">
          <w:rPr>
            <w:rStyle w:val="Hyperlink"/>
          </w:rPr>
          <w:t>https://www.dca.org.au/sites/default/files/report_shes_pricedless_2022.pdf</w:t>
        </w:r>
      </w:hyperlink>
    </w:p>
  </w:footnote>
  <w:footnote w:id="34">
    <w:p w14:paraId="111136C7" w14:textId="77777777" w:rsidR="00D073EC" w:rsidRDefault="00D073EC">
      <w:pPr>
        <w:pStyle w:val="FootnoteText"/>
      </w:pPr>
      <w:r>
        <w:rPr>
          <w:rStyle w:val="FootnoteReference"/>
        </w:rPr>
        <w:footnoteRef/>
      </w:r>
      <w:r>
        <w:t xml:space="preserve"> Ibid.</w:t>
      </w:r>
    </w:p>
  </w:footnote>
  <w:footnote w:id="35">
    <w:p w14:paraId="5C6F3C32" w14:textId="77777777" w:rsidR="00D073EC" w:rsidRDefault="00D073EC">
      <w:pPr>
        <w:pStyle w:val="FootnoteText"/>
      </w:pPr>
      <w:r>
        <w:rPr>
          <w:rStyle w:val="FootnoteReference"/>
        </w:rPr>
        <w:footnoteRef/>
      </w:r>
      <w:r>
        <w:t xml:space="preserve"> Ibid.</w:t>
      </w:r>
    </w:p>
  </w:footnote>
  <w:footnote w:id="36">
    <w:p w14:paraId="32652414" w14:textId="77777777" w:rsidR="00D073EC" w:rsidRDefault="00D073EC" w:rsidP="00321897">
      <w:pPr>
        <w:pStyle w:val="FootnoteText"/>
      </w:pPr>
      <w:r>
        <w:rPr>
          <w:rStyle w:val="FootnoteReference"/>
        </w:rPr>
        <w:footnoteRef/>
      </w:r>
      <w:r>
        <w:t xml:space="preserve"> WGEA ‘</w:t>
      </w:r>
      <w:r w:rsidRPr="0032485F">
        <w:t>Fourth edition of the She's Price(d)less report released</w:t>
      </w:r>
      <w:r>
        <w:t xml:space="preserve">’, 13 July 2022, </w:t>
      </w:r>
      <w:hyperlink r:id="rId23" w:history="1">
        <w:r w:rsidRPr="006E5D1A">
          <w:rPr>
            <w:rStyle w:val="Hyperlink"/>
          </w:rPr>
          <w:t>https://www.wgea.gov.au/publications/fourth-edition-of-the-shes-pricedless-report-released</w:t>
        </w:r>
      </w:hyperlink>
      <w:r>
        <w:t xml:space="preserve"> </w:t>
      </w:r>
    </w:p>
  </w:footnote>
  <w:footnote w:id="37">
    <w:p w14:paraId="6A168968" w14:textId="77777777" w:rsidR="00D073EC" w:rsidRDefault="00D073EC" w:rsidP="00784A87">
      <w:pPr>
        <w:pStyle w:val="FootnoteText"/>
      </w:pPr>
      <w:r>
        <w:rPr>
          <w:rStyle w:val="FootnoteReference"/>
        </w:rPr>
        <w:footnoteRef/>
      </w:r>
      <w:r>
        <w:t xml:space="preserve"> Ibid.</w:t>
      </w:r>
    </w:p>
  </w:footnote>
  <w:footnote w:id="38">
    <w:p w14:paraId="62D7F88C" w14:textId="77777777" w:rsidR="00D073EC" w:rsidRDefault="00D073EC" w:rsidP="00405CA1">
      <w:pPr>
        <w:pStyle w:val="FootnoteText"/>
      </w:pPr>
      <w:r>
        <w:rPr>
          <w:rStyle w:val="FootnoteReference"/>
        </w:rPr>
        <w:footnoteRef/>
      </w:r>
      <w:r>
        <w:t xml:space="preserve"> Ibid. </w:t>
      </w:r>
    </w:p>
  </w:footnote>
  <w:footnote w:id="39">
    <w:p w14:paraId="126707FA" w14:textId="794BBB8D" w:rsidR="00D073EC" w:rsidRDefault="00D073EC" w:rsidP="00E623D4">
      <w:pPr>
        <w:pStyle w:val="FootnoteText"/>
      </w:pPr>
      <w:r>
        <w:rPr>
          <w:rStyle w:val="FootnoteReference"/>
        </w:rPr>
        <w:footnoteRef/>
      </w:r>
      <w:r>
        <w:t xml:space="preserve"> WGEA ‘Australia’s Gender Pay Gap Statistics’ (2022 </w:t>
      </w:r>
      <w:hyperlink r:id="rId24" w:history="1">
        <w:r>
          <w:rPr>
            <w:rStyle w:val="Hyperlink"/>
          </w:rPr>
          <w:t>GPG Factsheet Final August 2022 (wgea.gov.au)</w:t>
        </w:r>
      </w:hyperlink>
    </w:p>
  </w:footnote>
  <w:footnote w:id="40">
    <w:p w14:paraId="15A9B1A1" w14:textId="77777777" w:rsidR="00D073EC" w:rsidRDefault="00D073EC" w:rsidP="00E623D4">
      <w:pPr>
        <w:pStyle w:val="FootnoteText"/>
      </w:pPr>
      <w:r>
        <w:rPr>
          <w:rStyle w:val="FootnoteReference"/>
        </w:rPr>
        <w:footnoteRef/>
      </w:r>
      <w:r>
        <w:t xml:space="preserve"> DCA ‘DCA Submission to the Review of the Workplace Gender Equality Act’ (2012) </w:t>
      </w:r>
      <w:hyperlink r:id="rId25" w:history="1">
        <w:r w:rsidRPr="0034477F">
          <w:rPr>
            <w:rStyle w:val="Hyperlink"/>
          </w:rPr>
          <w:t>https://www.dca.org.au/sites/default/files/dca_submission_review_of_the_workplace_gender_equality_act_0.pdf</w:t>
        </w:r>
      </w:hyperlink>
      <w:r>
        <w:t>.</w:t>
      </w:r>
    </w:p>
  </w:footnote>
  <w:footnote w:id="41">
    <w:p w14:paraId="2A101C9F" w14:textId="77777777" w:rsidR="00D073EC" w:rsidRDefault="00D073EC" w:rsidP="00E623D4">
      <w:pPr>
        <w:pStyle w:val="FootnoteText"/>
      </w:pPr>
      <w:r>
        <w:rPr>
          <w:rStyle w:val="FootnoteReference"/>
        </w:rPr>
        <w:footnoteRef/>
      </w:r>
      <w:r>
        <w:t xml:space="preserve"> Australian Government ‘Budget 2022-23: Women’s Budget Statement’ (2022) </w:t>
      </w:r>
      <w:hyperlink r:id="rId26" w:history="1">
        <w:r>
          <w:rPr>
            <w:rStyle w:val="Hyperlink"/>
          </w:rPr>
          <w:t>https://budget.gov.au/2022-23/content/womens-statement/download/womens_budget_statement_2022-23.pdf</w:t>
        </w:r>
      </w:hyperlink>
    </w:p>
  </w:footnote>
  <w:footnote w:id="42">
    <w:p w14:paraId="4726BCE7" w14:textId="77777777" w:rsidR="00D073EC" w:rsidRDefault="00D073EC" w:rsidP="00152BC4">
      <w:pPr>
        <w:pStyle w:val="FootnoteText"/>
      </w:pPr>
      <w:r>
        <w:rPr>
          <w:rStyle w:val="FootnoteReference"/>
        </w:rPr>
        <w:footnoteRef/>
      </w:r>
      <w:r>
        <w:t xml:space="preserve"> Minister for Education ‘</w:t>
      </w:r>
      <w:r w:rsidRPr="00152BC4">
        <w:t>Family Assistance Legislation Amendment (Cheaper Child Care) Bill</w:t>
      </w:r>
      <w:r>
        <w:t xml:space="preserve"> 2022 Second Reading Speech’ (2022) </w:t>
      </w:r>
      <w:hyperlink r:id="rId27" w:history="1">
        <w:r w:rsidRPr="00DA15E0">
          <w:rPr>
            <w:rStyle w:val="Hyperlink"/>
          </w:rPr>
          <w:t>https://parlinfo.aph.gov.au/parlInfo/search/display/display.w3p;query=Id%3A%22chamber%2Fhansardr%2F26128%2F0008%22</w:t>
        </w:r>
      </w:hyperlink>
      <w:r>
        <w:t xml:space="preserve"> </w:t>
      </w:r>
    </w:p>
  </w:footnote>
  <w:footnote w:id="43">
    <w:p w14:paraId="3429CC26" w14:textId="77777777" w:rsidR="00D073EC" w:rsidRDefault="00D073EC" w:rsidP="00FB3BDC">
      <w:pPr>
        <w:pStyle w:val="FootnoteText"/>
      </w:pPr>
      <w:r>
        <w:rPr>
          <w:rStyle w:val="FootnoteReference"/>
        </w:rPr>
        <w:footnoteRef/>
      </w:r>
      <w:r>
        <w:t xml:space="preserve"> WGEA ‘Gender Equality Workplace Statistics’ (2022) </w:t>
      </w:r>
      <w:hyperlink r:id="rId28" w:history="1">
        <w:r>
          <w:rPr>
            <w:rStyle w:val="Hyperlink"/>
          </w:rPr>
          <w:t>https://www.wgea.gov.au/publications/gender-equality-workplace-statistics-at-a-glance-2022</w:t>
        </w:r>
      </w:hyperlink>
      <w:r>
        <w:t xml:space="preserve">; and </w:t>
      </w:r>
      <w:r>
        <w:rPr>
          <w:rFonts w:cstheme="minorHAnsi"/>
        </w:rPr>
        <w:t xml:space="preserve">ABS ‘Labour and Employment Statistics’ (2022) </w:t>
      </w:r>
      <w:hyperlink r:id="rId29" w:history="1">
        <w:r w:rsidRPr="00F06AFC">
          <w:rPr>
            <w:rStyle w:val="Hyperlink"/>
            <w:rFonts w:cstheme="minorHAnsi"/>
          </w:rPr>
          <w:t>https://www.abs.gov.au/statistics/labour/employment-and-unemployment/labour-force-australia/jan-2022</w:t>
        </w:r>
      </w:hyperlink>
      <w:r>
        <w:rPr>
          <w:rStyle w:val="Hyperlink"/>
          <w:rFonts w:cstheme="minorHAnsi"/>
        </w:rPr>
        <w:t>.</w:t>
      </w:r>
    </w:p>
  </w:footnote>
  <w:footnote w:id="44">
    <w:p w14:paraId="4289ACAA" w14:textId="77777777" w:rsidR="00D073EC" w:rsidRDefault="00D073EC" w:rsidP="00F128AE">
      <w:pPr>
        <w:pStyle w:val="FootnoteText"/>
      </w:pPr>
      <w:r>
        <w:rPr>
          <w:rStyle w:val="FootnoteReference"/>
        </w:rPr>
        <w:footnoteRef/>
      </w:r>
      <w:r>
        <w:t xml:space="preserve"> Department of the Prime Minister and Cabinet ‘WGEA Review Report: Review of the Workplace Gender Equality Act 2012’ (2021) </w:t>
      </w:r>
      <w:hyperlink r:id="rId30" w:history="1">
        <w:r>
          <w:rPr>
            <w:rStyle w:val="Hyperlink"/>
          </w:rPr>
          <w:t>https://www.pmc.gov.au/sites/default/files/publications/wgea-review-report_1.pdf</w:t>
        </w:r>
      </w:hyperlink>
    </w:p>
  </w:footnote>
  <w:footnote w:id="45">
    <w:p w14:paraId="36B1CDF3" w14:textId="77777777" w:rsidR="00D073EC" w:rsidRDefault="00D073EC" w:rsidP="004B2D21">
      <w:pPr>
        <w:pStyle w:val="FootnoteText"/>
      </w:pPr>
      <w:r>
        <w:rPr>
          <w:rStyle w:val="FootnoteReference"/>
        </w:rPr>
        <w:footnoteRef/>
      </w:r>
      <w:r>
        <w:t xml:space="preserve"> DCA ‘Submission on the Workplace Gender Equality Act’ 2012 (2021) </w:t>
      </w:r>
      <w:hyperlink r:id="rId31" w:history="1">
        <w:r w:rsidRPr="0034477F">
          <w:rPr>
            <w:rStyle w:val="Hyperlink"/>
          </w:rPr>
          <w:t>https://www.dca.org.au/submissions/dca-submission-workplace-gender-equality-act-wgea-2012</w:t>
        </w:r>
      </w:hyperlink>
    </w:p>
  </w:footnote>
  <w:footnote w:id="46">
    <w:p w14:paraId="5E36B519" w14:textId="77777777" w:rsidR="00D073EC" w:rsidRDefault="00D073EC" w:rsidP="004B2D21">
      <w:pPr>
        <w:pStyle w:val="FootnoteText"/>
      </w:pPr>
      <w:r>
        <w:rPr>
          <w:rStyle w:val="FootnoteReference"/>
        </w:rPr>
        <w:footnoteRef/>
      </w:r>
      <w:r>
        <w:t xml:space="preserve"> </w:t>
      </w:r>
      <w:r>
        <w:rPr>
          <w:rFonts w:ascii="Calibri" w:hAnsi="Calibri" w:cs="Calibri"/>
        </w:rPr>
        <w:t>KPMG ‘</w:t>
      </w:r>
      <w:r w:rsidRPr="00102650">
        <w:rPr>
          <w:rFonts w:ascii="Calibri" w:hAnsi="Calibri" w:cs="Calibri"/>
          <w:iCs/>
        </w:rPr>
        <w:t>She’s Price(d)less: The Economics of the Gender Pay Gap</w:t>
      </w:r>
      <w:r>
        <w:rPr>
          <w:rFonts w:ascii="Calibri" w:hAnsi="Calibri" w:cs="Calibri"/>
          <w:iCs/>
        </w:rPr>
        <w:t>’</w:t>
      </w:r>
      <w:r>
        <w:rPr>
          <w:rFonts w:ascii="Calibri" w:hAnsi="Calibri" w:cs="Calibri"/>
        </w:rPr>
        <w:t xml:space="preserve"> (</w:t>
      </w:r>
      <w:r w:rsidRPr="00944E64">
        <w:rPr>
          <w:rFonts w:ascii="Calibri" w:hAnsi="Calibri" w:cs="Calibri"/>
        </w:rPr>
        <w:t>2022</w:t>
      </w:r>
      <w:r>
        <w:rPr>
          <w:rFonts w:ascii="Calibri" w:hAnsi="Calibri" w:cs="Calibri"/>
        </w:rPr>
        <w:t xml:space="preserve">) </w:t>
      </w:r>
      <w:hyperlink r:id="rId32" w:history="1">
        <w:r>
          <w:rPr>
            <w:rStyle w:val="Hyperlink"/>
          </w:rPr>
          <w:t>https://www.dca.org.au/research/project/shes-pricedless-2022-update-report</w:t>
        </w:r>
      </w:hyperlink>
      <w:r>
        <w:t>.</w:t>
      </w:r>
    </w:p>
  </w:footnote>
  <w:footnote w:id="47">
    <w:p w14:paraId="73CE6768" w14:textId="77777777" w:rsidR="00D073EC" w:rsidRDefault="00D073EC" w:rsidP="004B2D21">
      <w:pPr>
        <w:pStyle w:val="FootnoteText"/>
      </w:pPr>
      <w:r>
        <w:rPr>
          <w:rStyle w:val="FootnoteReference"/>
        </w:rPr>
        <w:footnoteRef/>
      </w:r>
      <w:r>
        <w:t xml:space="preserve"> Ibid.</w:t>
      </w:r>
    </w:p>
  </w:footnote>
  <w:footnote w:id="48">
    <w:p w14:paraId="5061ED20" w14:textId="77777777" w:rsidR="00D073EC" w:rsidRDefault="00D073EC" w:rsidP="004B2D21">
      <w:pPr>
        <w:pStyle w:val="FootnoteText"/>
      </w:pPr>
      <w:r>
        <w:rPr>
          <w:rStyle w:val="FootnoteReference"/>
        </w:rPr>
        <w:footnoteRef/>
      </w:r>
      <w:r>
        <w:t xml:space="preserve"> Ibid. </w:t>
      </w:r>
    </w:p>
  </w:footnote>
  <w:footnote w:id="49">
    <w:p w14:paraId="57D2D7A4" w14:textId="77777777" w:rsidR="00D073EC" w:rsidRDefault="00D073EC" w:rsidP="004B2D21">
      <w:pPr>
        <w:pStyle w:val="FootnoteText"/>
      </w:pPr>
      <w:r>
        <w:rPr>
          <w:rStyle w:val="FootnoteReference"/>
        </w:rPr>
        <w:footnoteRef/>
      </w:r>
      <w:r>
        <w:t xml:space="preserve"> WGEA ‘Australia’s Gender Pay Gap Statistics’ (2022) </w:t>
      </w:r>
      <w:hyperlink r:id="rId33" w:history="1">
        <w:r>
          <w:rPr>
            <w:rStyle w:val="Hyperlink"/>
          </w:rPr>
          <w:t>https://www.wgea.gov.au/publications/australias-gender-pay-gap-statistics</w:t>
        </w:r>
      </w:hyperlink>
      <w:r>
        <w:t>.</w:t>
      </w:r>
    </w:p>
  </w:footnote>
  <w:footnote w:id="50">
    <w:p w14:paraId="4EA78173" w14:textId="77777777" w:rsidR="00D073EC" w:rsidRDefault="00D073EC" w:rsidP="004B2D21">
      <w:pPr>
        <w:pStyle w:val="FootnoteText"/>
      </w:pPr>
      <w:r>
        <w:rPr>
          <w:rStyle w:val="FootnoteReference"/>
        </w:rPr>
        <w:footnoteRef/>
      </w:r>
      <w:r>
        <w:t xml:space="preserve"> Australian Human Rights Commission ‘A conversation in Gender Equality’ (2017) </w:t>
      </w:r>
      <w:hyperlink r:id="rId34" w:history="1">
        <w:r w:rsidRPr="00791063">
          <w:rPr>
            <w:rStyle w:val="Hyperlink"/>
          </w:rPr>
          <w:t>https://humanrights.gov.au/our-work/sex-discrimination/publications/conversation-gender-equality-2017</w:t>
        </w:r>
      </w:hyperlink>
      <w:r>
        <w:t xml:space="preserve"> </w:t>
      </w:r>
    </w:p>
  </w:footnote>
  <w:footnote w:id="51">
    <w:p w14:paraId="0B1DEE93" w14:textId="36470E56" w:rsidR="00D073EC" w:rsidRDefault="00D073EC" w:rsidP="000C7B79">
      <w:pPr>
        <w:pStyle w:val="FootnoteText"/>
      </w:pPr>
      <w:r>
        <w:rPr>
          <w:rStyle w:val="FootnoteReference"/>
        </w:rPr>
        <w:footnoteRef/>
      </w:r>
      <w:r>
        <w:t xml:space="preserve"> Bankwest Curtin Economics Centre, ‘Gender Equity Insights 2021: Making it a Priority’, (March 2021) </w:t>
      </w:r>
      <w:hyperlink r:id="rId35" w:history="1">
        <w:r w:rsidRPr="00935563">
          <w:rPr>
            <w:rStyle w:val="Hyperlink"/>
          </w:rPr>
          <w:t>https://bcec.edu.au/assets/2021/03/BCEC-WGEA-Gender-Equity-Insights-2021_WEB.pdf</w:t>
        </w:r>
      </w:hyperlink>
      <w:r>
        <w:t xml:space="preserve"> </w:t>
      </w:r>
    </w:p>
  </w:footnote>
  <w:footnote w:id="52">
    <w:p w14:paraId="1656300F" w14:textId="0301B0C7" w:rsidR="00D073EC" w:rsidRDefault="00D073EC" w:rsidP="004B2D21">
      <w:pPr>
        <w:pStyle w:val="FootnoteText"/>
      </w:pPr>
      <w:r>
        <w:rPr>
          <w:rStyle w:val="FootnoteReference"/>
        </w:rPr>
        <w:footnoteRef/>
      </w:r>
      <w:r>
        <w:t xml:space="preserve"> Australian Super, ‘The gender super gap: How gender inequality affects superannuation’ (2022) </w:t>
      </w:r>
      <w:hyperlink r:id="rId36" w:anchor=":~:text=Closing%20the%20gender%20super%20gap&amp;text=Rose%20Kerlin%2C%20AustralianSuper%20Group%20Executive,achieve%20a%20more%20comfortable%20retirement." w:history="1">
        <w:r>
          <w:rPr>
            <w:rStyle w:val="Hyperlink"/>
          </w:rPr>
          <w:t>https://www.australiansuper.com/superannuation/superannuation-articles/2020/02/gender-equality-and-your-super#:~:text=Closing%20the%20gender%20super%20gap&amp;text=Rose%20Kerlin%2C%20AustralianSuper%20Group%20Executive,achieve%20a%20more%20comfortable%20retirement.</w:t>
        </w:r>
      </w:hyperlink>
      <w:r>
        <w:t xml:space="preserve">  </w:t>
      </w:r>
    </w:p>
  </w:footnote>
  <w:footnote w:id="53">
    <w:p w14:paraId="037E5AD6" w14:textId="77777777" w:rsidR="00D073EC" w:rsidRDefault="00D073EC" w:rsidP="004B2D21">
      <w:pPr>
        <w:pStyle w:val="FootnoteText"/>
      </w:pPr>
      <w:r>
        <w:rPr>
          <w:rStyle w:val="FootnoteReference"/>
        </w:rPr>
        <w:footnoteRef/>
      </w:r>
      <w:r>
        <w:t xml:space="preserve"> Ibid.</w:t>
      </w:r>
    </w:p>
  </w:footnote>
  <w:footnote w:id="54">
    <w:p w14:paraId="216F7DBD" w14:textId="77777777" w:rsidR="00D073EC" w:rsidRDefault="00D073EC">
      <w:pPr>
        <w:pStyle w:val="FootnoteText"/>
      </w:pPr>
      <w:r>
        <w:rPr>
          <w:rStyle w:val="FootnoteReference"/>
        </w:rPr>
        <w:footnoteRef/>
      </w:r>
      <w:r>
        <w:t xml:space="preserve"> Australian Taxation Office, </w:t>
      </w:r>
      <w:hyperlink r:id="rId37" w:history="1">
        <w:r w:rsidRPr="00333CB5">
          <w:rPr>
            <w:rStyle w:val="Hyperlink"/>
          </w:rPr>
          <w:t>Individual statistics</w:t>
        </w:r>
      </w:hyperlink>
      <w:r>
        <w:t>, ATO website, n.d., accessed 16 October 2022.</w:t>
      </w:r>
    </w:p>
  </w:footnote>
  <w:footnote w:id="55">
    <w:p w14:paraId="4D3785C4" w14:textId="77777777" w:rsidR="00D073EC" w:rsidRDefault="00D073EC">
      <w:pPr>
        <w:pStyle w:val="FootnoteText"/>
      </w:pPr>
      <w:r>
        <w:rPr>
          <w:rStyle w:val="FootnoteReference"/>
        </w:rPr>
        <w:footnoteRef/>
      </w:r>
      <w:r>
        <w:t xml:space="preserve"> It should be noted that previously CEO remuneration was reported to WGEA and some employers do still provide CEO remuneration to WGEA voluntarily. </w:t>
      </w:r>
    </w:p>
  </w:footnote>
  <w:footnote w:id="56">
    <w:p w14:paraId="66137C54" w14:textId="77777777" w:rsidR="00D073EC" w:rsidRDefault="00D073EC" w:rsidP="004B2D21">
      <w:pPr>
        <w:pStyle w:val="FootnoteText"/>
      </w:pPr>
      <w:r>
        <w:rPr>
          <w:rStyle w:val="FootnoteReference"/>
        </w:rPr>
        <w:footnoteRef/>
      </w:r>
      <w:r>
        <w:t xml:space="preserve"> Bankwest Curtin Economics Centre and WGEA ‘Gender Equity Insights 2019: Breaking the Glass Ceiling’ (2019) </w:t>
      </w:r>
      <w:hyperlink r:id="rId38" w:history="1">
        <w:r>
          <w:rPr>
            <w:rStyle w:val="Hyperlink"/>
          </w:rPr>
          <w:t>https://bcec.edu.au/publications/gender-equity-insights-2019-breaking-through-the-glass-ceiling/</w:t>
        </w:r>
      </w:hyperlink>
    </w:p>
  </w:footnote>
  <w:footnote w:id="57">
    <w:p w14:paraId="14959156" w14:textId="77777777" w:rsidR="00D073EC" w:rsidRDefault="00D073EC" w:rsidP="004B2D21">
      <w:pPr>
        <w:pStyle w:val="FootnoteText"/>
      </w:pPr>
      <w:r>
        <w:rPr>
          <w:rStyle w:val="FootnoteReference"/>
        </w:rPr>
        <w:footnoteRef/>
      </w:r>
      <w:r>
        <w:t xml:space="preserve"> Ibid.</w:t>
      </w:r>
    </w:p>
  </w:footnote>
  <w:footnote w:id="58">
    <w:p w14:paraId="48F55C85" w14:textId="77777777" w:rsidR="00D073EC" w:rsidRDefault="00D073EC" w:rsidP="004B2D21">
      <w:pPr>
        <w:pStyle w:val="FootnoteText"/>
      </w:pPr>
      <w:r>
        <w:rPr>
          <w:rStyle w:val="FootnoteReference"/>
        </w:rPr>
        <w:footnoteRef/>
      </w:r>
      <w:r>
        <w:t xml:space="preserve"> Ibid. </w:t>
      </w:r>
    </w:p>
  </w:footnote>
  <w:footnote w:id="59">
    <w:p w14:paraId="07EB30B6" w14:textId="77777777" w:rsidR="00D073EC" w:rsidRDefault="00D073EC" w:rsidP="004B2D21">
      <w:pPr>
        <w:pStyle w:val="FootnoteText"/>
      </w:pPr>
      <w:r>
        <w:rPr>
          <w:rStyle w:val="FootnoteReference"/>
        </w:rPr>
        <w:footnoteRef/>
      </w:r>
      <w:r>
        <w:t xml:space="preserve"> Department of Prime Minister and Cabinet ‘WGEA Review Report’ (2022) </w:t>
      </w:r>
      <w:hyperlink r:id="rId39" w:history="1">
        <w:r>
          <w:rPr>
            <w:rStyle w:val="Hyperlink"/>
          </w:rPr>
          <w:t>https://www.pmc.gov.au/resource-centre/office-women/wgea-review-report</w:t>
        </w:r>
      </w:hyperlink>
    </w:p>
  </w:footnote>
  <w:footnote w:id="60">
    <w:p w14:paraId="64B87A26" w14:textId="77777777" w:rsidR="00D073EC" w:rsidRDefault="00D073EC" w:rsidP="004B2D21">
      <w:pPr>
        <w:pStyle w:val="FootnoteText"/>
      </w:pPr>
      <w:r>
        <w:rPr>
          <w:rStyle w:val="FootnoteReference"/>
        </w:rPr>
        <w:footnoteRef/>
      </w:r>
      <w:r>
        <w:t xml:space="preserve"> WGEA ‘Submission to the Review of the </w:t>
      </w:r>
      <w:r>
        <w:rPr>
          <w:i/>
        </w:rPr>
        <w:t xml:space="preserve">Workplace Gender Equality Act 2012’ </w:t>
      </w:r>
      <w:r>
        <w:t xml:space="preserve">(2021) </w:t>
      </w:r>
      <w:hyperlink r:id="rId40" w:history="1">
        <w:r>
          <w:rPr>
            <w:rStyle w:val="Hyperlink"/>
          </w:rPr>
          <w:t>https://www.pmc.gov.au/sites/default/files/submissions/wgea-submission-13-workplace-gender-equality-agency_0.pdf</w:t>
        </w:r>
      </w:hyperlink>
      <w:r>
        <w:t>.</w:t>
      </w:r>
    </w:p>
  </w:footnote>
  <w:footnote w:id="61">
    <w:p w14:paraId="14330150" w14:textId="4249B0BD" w:rsidR="00D073EC" w:rsidRDefault="00D073EC" w:rsidP="004B2D21">
      <w:pPr>
        <w:pStyle w:val="FootnoteText"/>
      </w:pPr>
      <w:r>
        <w:rPr>
          <w:rStyle w:val="FootnoteReference"/>
        </w:rPr>
        <w:footnoteRef/>
      </w:r>
      <w:r>
        <w:t xml:space="preserve"> Curtin University Media Release, ‘</w:t>
      </w:r>
      <w:r w:rsidRPr="00094CD1">
        <w:t>Over a quarter of a century until gender pay gap likely to close</w:t>
      </w:r>
      <w:r>
        <w:t xml:space="preserve">’ (26 March 2021) </w:t>
      </w:r>
      <w:hyperlink r:id="rId41" w:history="1">
        <w:r w:rsidRPr="00791063">
          <w:rPr>
            <w:rStyle w:val="Hyperlink"/>
          </w:rPr>
          <w:t>https://news.curtin.edu.au/media-releases/over-a-quarter-of-a-century-until-gender-pay-gap-likely-to-close/</w:t>
        </w:r>
      </w:hyperlink>
      <w:r>
        <w:t xml:space="preserve">. </w:t>
      </w:r>
    </w:p>
  </w:footnote>
  <w:footnote w:id="62">
    <w:p w14:paraId="03C6170F" w14:textId="4FCB44D2" w:rsidR="00D073EC" w:rsidRDefault="00D073EC">
      <w:pPr>
        <w:pStyle w:val="FootnoteText"/>
      </w:pPr>
      <w:r>
        <w:rPr>
          <w:rStyle w:val="FootnoteReference"/>
        </w:rPr>
        <w:footnoteRef/>
      </w:r>
      <w:r>
        <w:t xml:space="preserve"> WGEA, ‘Australia’s gender equality scorecard: Key results from the Workplace Gender Equality Agency’s 2020-21 employer census, (February 2022) </w:t>
      </w:r>
      <w:hyperlink r:id="rId42" w:history="1">
        <w:r w:rsidRPr="00E72F49">
          <w:rPr>
            <w:rStyle w:val="Hyperlink"/>
          </w:rPr>
          <w:t>https://www.wgea.gov.au/sites/default/files/documents/2020-21_WGEA_SCORECARD.pdf</w:t>
        </w:r>
      </w:hyperlink>
      <w:r>
        <w:t xml:space="preserve"> </w:t>
      </w:r>
    </w:p>
  </w:footnote>
  <w:footnote w:id="63">
    <w:p w14:paraId="616F4861" w14:textId="20757A04" w:rsidR="00D073EC" w:rsidRDefault="00D073EC" w:rsidP="00F13417">
      <w:pPr>
        <w:pStyle w:val="FootnoteText"/>
      </w:pPr>
      <w:r>
        <w:rPr>
          <w:rStyle w:val="FootnoteReference"/>
        </w:rPr>
        <w:footnoteRef/>
      </w:r>
      <w:r>
        <w:t xml:space="preserve"> Bankwest Curtin Economics Centre ‘Submission to the Review of the Workplace Gender Equality Act 2012’ (2021); DCA ‘Review of the Workplace Gender equality Act (2021); Future Super Group ‘Submission to the Review of the Workplace Gender Equality Act 2012 (2021).</w:t>
      </w:r>
    </w:p>
  </w:footnote>
  <w:footnote w:id="64">
    <w:p w14:paraId="05389858" w14:textId="77777777" w:rsidR="00D073EC" w:rsidRDefault="00D073EC" w:rsidP="004B2D21">
      <w:pPr>
        <w:pStyle w:val="FootnoteText"/>
      </w:pPr>
      <w:r>
        <w:rPr>
          <w:rStyle w:val="FootnoteReference"/>
        </w:rPr>
        <w:footnoteRef/>
      </w:r>
      <w:r>
        <w:t xml:space="preserve"> WGEA ‘Submission to the Review of the </w:t>
      </w:r>
      <w:r>
        <w:rPr>
          <w:i/>
        </w:rPr>
        <w:t>Workplace Gender Equality Act 2012’</w:t>
      </w:r>
      <w:r>
        <w:t xml:space="preserve"> (2021) </w:t>
      </w:r>
      <w:hyperlink r:id="rId43" w:history="1">
        <w:r>
          <w:rPr>
            <w:rStyle w:val="Hyperlink"/>
          </w:rPr>
          <w:t>https://www.pmc.gov.au/sites/default/files/submissions/wgea-submission-13-workplace-gender-equality-agency_0.pdf</w:t>
        </w:r>
      </w:hyperlink>
      <w:r>
        <w:t>.</w:t>
      </w:r>
    </w:p>
  </w:footnote>
  <w:footnote w:id="65">
    <w:p w14:paraId="6739190B" w14:textId="77777777" w:rsidR="00D073EC" w:rsidRDefault="00D073EC" w:rsidP="004B2D21">
      <w:pPr>
        <w:pStyle w:val="FootnoteText"/>
      </w:pPr>
      <w:r>
        <w:rPr>
          <w:rStyle w:val="FootnoteReference"/>
        </w:rPr>
        <w:footnoteRef/>
      </w:r>
      <w:r>
        <w:t xml:space="preserve"> James Purtill ‘Gender Pay Gap Bot calls out brands tweeting about International Women’s Day while paying women less than men (ABC, 2022) </w:t>
      </w:r>
      <w:hyperlink r:id="rId44" w:history="1">
        <w:r>
          <w:rPr>
            <w:rStyle w:val="Hyperlink"/>
          </w:rPr>
          <w:t>https://www.abc.net.au/news/science/2022-03-11/gender-pay-gap-bot-international-womens-day-twitter/100898172</w:t>
        </w:r>
      </w:hyperlink>
    </w:p>
  </w:footnote>
  <w:footnote w:id="66">
    <w:p w14:paraId="1482BA3A" w14:textId="77777777" w:rsidR="00D073EC" w:rsidRDefault="00D073EC" w:rsidP="004B2D21">
      <w:pPr>
        <w:pStyle w:val="FootnoteText"/>
      </w:pPr>
      <w:r>
        <w:rPr>
          <w:rStyle w:val="FootnoteReference"/>
        </w:rPr>
        <w:footnoteRef/>
      </w:r>
      <w:r>
        <w:t xml:space="preserve"> Tomasz Oblo ‘Study finds “trade-off” between pay transparency and performance’ (Personnel Today, 2022) </w:t>
      </w:r>
      <w:hyperlink r:id="rId45" w:history="1">
        <w:r w:rsidRPr="00791063">
          <w:rPr>
            <w:rStyle w:val="Hyperlink"/>
          </w:rPr>
          <w:t>https://www.personneltoday.com/hr/study-finds-trade-off-between-pay-transparency-and-performance/</w:t>
        </w:r>
      </w:hyperlink>
      <w:r>
        <w:t xml:space="preserve"> </w:t>
      </w:r>
    </w:p>
  </w:footnote>
  <w:footnote w:id="67">
    <w:p w14:paraId="762F06E1" w14:textId="77777777" w:rsidR="00D073EC" w:rsidRDefault="00D073EC" w:rsidP="004B2D21">
      <w:pPr>
        <w:pStyle w:val="FootnoteText"/>
      </w:pPr>
      <w:r>
        <w:rPr>
          <w:rStyle w:val="FootnoteReference"/>
        </w:rPr>
        <w:footnoteRef/>
      </w:r>
      <w:r>
        <w:t xml:space="preserve"> Morten Bennedsen et al ‘Do Firms Respond to Gender Pay Gap Transparency?’ (Working Paper No. 25435 2022)</w:t>
      </w:r>
    </w:p>
  </w:footnote>
  <w:footnote w:id="68">
    <w:p w14:paraId="0527CE58" w14:textId="301E78F4" w:rsidR="00D073EC" w:rsidRPr="00094CD1" w:rsidRDefault="00D073EC" w:rsidP="004B2D21">
      <w:pPr>
        <w:pStyle w:val="FootnoteText"/>
        <w:rPr>
          <w:i/>
        </w:rPr>
      </w:pPr>
      <w:r>
        <w:rPr>
          <w:rStyle w:val="FootnoteReference"/>
        </w:rPr>
        <w:footnoteRef/>
      </w:r>
      <w:r>
        <w:t xml:space="preserve"> </w:t>
      </w:r>
      <w:r w:rsidRPr="004313D0">
        <w:rPr>
          <w:i/>
        </w:rPr>
        <w:t>Workplace</w:t>
      </w:r>
      <w:r>
        <w:rPr>
          <w:i/>
        </w:rPr>
        <w:t xml:space="preserve"> Gender Equality (Minimum Standards) Instrument 2014.</w:t>
      </w:r>
    </w:p>
  </w:footnote>
  <w:footnote w:id="69">
    <w:p w14:paraId="6323A8F5" w14:textId="77777777" w:rsidR="00D073EC" w:rsidRDefault="00D073EC" w:rsidP="004B2D21">
      <w:pPr>
        <w:pStyle w:val="FootnoteText"/>
      </w:pPr>
      <w:r>
        <w:rPr>
          <w:rStyle w:val="FootnoteReference"/>
        </w:rPr>
        <w:footnoteRef/>
      </w:r>
      <w:r>
        <w:t xml:space="preserve"> </w:t>
      </w:r>
      <w:r w:rsidRPr="00197A20">
        <w:rPr>
          <w:rFonts w:cstheme="minorHAnsi"/>
        </w:rPr>
        <w:t>Global In</w:t>
      </w:r>
      <w:r>
        <w:rPr>
          <w:rFonts w:cstheme="minorHAnsi"/>
        </w:rPr>
        <w:t xml:space="preserve">stitute for Women’s Leadership ‘Bridging the Gap: An Analysis of Gender Pay Gap Reporting in Six Countries’ (2021) </w:t>
      </w:r>
      <w:hyperlink r:id="rId46" w:history="1">
        <w:r>
          <w:rPr>
            <w:rStyle w:val="Hyperlink"/>
          </w:rPr>
          <w:t>https://www.kcl.ac.uk/giwl/assets/bridging-the-gap-full-report.pdf</w:t>
        </w:r>
      </w:hyperlink>
    </w:p>
  </w:footnote>
  <w:footnote w:id="70">
    <w:p w14:paraId="6A15B889" w14:textId="77777777" w:rsidR="00D073EC" w:rsidRDefault="00D073EC" w:rsidP="004B2D21">
      <w:pPr>
        <w:pStyle w:val="FootnoteText"/>
      </w:pPr>
      <w:r>
        <w:rPr>
          <w:rStyle w:val="FootnoteReference"/>
        </w:rPr>
        <w:footnoteRef/>
      </w:r>
      <w:r>
        <w:t xml:space="preserve"> John Daley ‘</w:t>
      </w:r>
      <w:r w:rsidRPr="005A4896">
        <w:t>Game-changers: Economic reform priorities for Australia</w:t>
      </w:r>
      <w:r>
        <w:t xml:space="preserve">’ (The Grattan Institute, 2012) </w:t>
      </w:r>
      <w:hyperlink r:id="rId47" w:history="1">
        <w:r>
          <w:rPr>
            <w:rStyle w:val="Hyperlink"/>
          </w:rPr>
          <w:t>Game-changers: Economic reform priorities for Australia - Grattan Institute</w:t>
        </w:r>
      </w:hyperlink>
    </w:p>
  </w:footnote>
  <w:footnote w:id="71">
    <w:p w14:paraId="5E55516F" w14:textId="77777777" w:rsidR="00D073EC" w:rsidRDefault="00D073EC" w:rsidP="004B2D21">
      <w:pPr>
        <w:pStyle w:val="FootnoteText"/>
      </w:pPr>
      <w:r>
        <w:rPr>
          <w:rStyle w:val="FootnoteReference"/>
        </w:rPr>
        <w:footnoteRef/>
      </w:r>
      <w:r>
        <w:t xml:space="preserve"> WGEA ‘She’s Price(d)less: The economics of the gender pay gap’ (2019) </w:t>
      </w:r>
      <w:hyperlink r:id="rId48" w:history="1">
        <w:r>
          <w:rPr>
            <w:rStyle w:val="Hyperlink"/>
          </w:rPr>
          <w:t>https://www.wgea.gov.au/publications/shes-pricedless-the-economics-of-the-gender-pay-gap</w:t>
        </w:r>
      </w:hyperlink>
      <w:r>
        <w:t>.</w:t>
      </w:r>
    </w:p>
  </w:footnote>
  <w:footnote w:id="72">
    <w:p w14:paraId="0A21FE39" w14:textId="77777777" w:rsidR="00D073EC" w:rsidRDefault="00D073EC" w:rsidP="004B2D21">
      <w:pPr>
        <w:pStyle w:val="FootnoteText"/>
      </w:pPr>
      <w:r>
        <w:rPr>
          <w:rStyle w:val="FootnoteReference"/>
        </w:rPr>
        <w:footnoteRef/>
      </w:r>
      <w:r>
        <w:t xml:space="preserve"> Ibid.</w:t>
      </w:r>
    </w:p>
  </w:footnote>
  <w:footnote w:id="73">
    <w:p w14:paraId="55227D97" w14:textId="77777777" w:rsidR="00D073EC" w:rsidRPr="005A7865" w:rsidRDefault="00D073EC" w:rsidP="004B2D21">
      <w:pPr>
        <w:pStyle w:val="FootnoteText"/>
      </w:pPr>
      <w:r>
        <w:rPr>
          <w:rStyle w:val="FootnoteReference"/>
        </w:rPr>
        <w:footnoteRef/>
      </w:r>
      <w:r>
        <w:t xml:space="preserve"> KPMG and DCA ‘</w:t>
      </w:r>
      <w:r w:rsidRPr="004313D0">
        <w:t>Understanding the Economic Implications of the Gender Pay Gap in Australia</w:t>
      </w:r>
      <w:r>
        <w:t>’</w:t>
      </w:r>
      <w:r>
        <w:rPr>
          <w:i/>
        </w:rPr>
        <w:t xml:space="preserve"> </w:t>
      </w:r>
      <w:r>
        <w:t xml:space="preserve">(2009) </w:t>
      </w:r>
      <w:hyperlink r:id="rId49" w:history="1">
        <w:r>
          <w:rPr>
            <w:rStyle w:val="Hyperlink"/>
          </w:rPr>
          <w:t>https://www.dca.org.au/sites/default/files/gender_pay_equity_gap_report_kpmg_final.pdf</w:t>
        </w:r>
      </w:hyperlink>
    </w:p>
  </w:footnote>
  <w:footnote w:id="74">
    <w:p w14:paraId="2738DC21" w14:textId="77777777" w:rsidR="00D073EC" w:rsidRDefault="00D073EC" w:rsidP="004B2D21">
      <w:pPr>
        <w:pStyle w:val="FootnoteText"/>
      </w:pPr>
      <w:r>
        <w:rPr>
          <w:rStyle w:val="FootnoteReference"/>
        </w:rPr>
        <w:footnoteRef/>
      </w:r>
      <w:r>
        <w:t xml:space="preserve"> Ibid.</w:t>
      </w:r>
    </w:p>
  </w:footnote>
  <w:footnote w:id="75">
    <w:p w14:paraId="4B61A266" w14:textId="77777777" w:rsidR="00D073EC" w:rsidRPr="00037EE2" w:rsidRDefault="00D073EC" w:rsidP="004B2D21">
      <w:pPr>
        <w:pStyle w:val="FootnoteText"/>
      </w:pPr>
      <w:r>
        <w:rPr>
          <w:rStyle w:val="FootnoteReference"/>
        </w:rPr>
        <w:footnoteRef/>
      </w:r>
      <w:r>
        <w:t xml:space="preserve"> Equity Economics, </w:t>
      </w:r>
      <w:r w:rsidRPr="00A51FB7">
        <w:t>Making Australia the Best P</w:t>
      </w:r>
      <w:r>
        <w:t xml:space="preserve">lace in the World to be a Parent (2021) </w:t>
      </w:r>
      <w:hyperlink r:id="rId50" w:history="1">
        <w:r>
          <w:rPr>
            <w:rStyle w:val="Hyperlink"/>
          </w:rPr>
          <w:t>https://www.equityeconomics.com.au/report-archive/how-australias-parenting-policies-are-failing-women-and-our-economy</w:t>
        </w:r>
      </w:hyperlink>
    </w:p>
  </w:footnote>
  <w:footnote w:id="76">
    <w:p w14:paraId="7B9FF6AC" w14:textId="77777777" w:rsidR="00D073EC" w:rsidRDefault="00D073EC">
      <w:pPr>
        <w:pStyle w:val="FootnoteText"/>
      </w:pPr>
      <w:r>
        <w:rPr>
          <w:rStyle w:val="FootnoteReference"/>
        </w:rPr>
        <w:footnoteRef/>
      </w:r>
      <w:r>
        <w:t xml:space="preserve"> Department of Prime Minister and Cabinet ‘WGEA Review Report’ (2022) </w:t>
      </w:r>
      <w:hyperlink r:id="rId51" w:history="1">
        <w:r>
          <w:rPr>
            <w:rStyle w:val="Hyperlink"/>
          </w:rPr>
          <w:t>https://www.pmc.gov.au/resource-centre/office-women/wgea-review-report</w:t>
        </w:r>
      </w:hyperlink>
    </w:p>
  </w:footnote>
  <w:footnote w:id="77">
    <w:p w14:paraId="42C71999" w14:textId="77777777" w:rsidR="00D073EC" w:rsidRDefault="00D073EC" w:rsidP="004B2D21">
      <w:pPr>
        <w:pStyle w:val="FootnoteText"/>
      </w:pPr>
      <w:r>
        <w:rPr>
          <w:rStyle w:val="FootnoteReference"/>
        </w:rPr>
        <w:footnoteRef/>
      </w:r>
      <w:r>
        <w:t xml:space="preserve"> WGEA ‘Our Story’ </w:t>
      </w:r>
      <w:hyperlink r:id="rId52" w:history="1">
        <w:r>
          <w:rPr>
            <w:rStyle w:val="Hyperlink"/>
          </w:rPr>
          <w:t>https://www.wgea.gov.au/about/our-story</w:t>
        </w:r>
      </w:hyperlink>
    </w:p>
  </w:footnote>
  <w:footnote w:id="78">
    <w:p w14:paraId="6B2DD8D2" w14:textId="77777777" w:rsidR="00D073EC" w:rsidRDefault="00D073EC" w:rsidP="004B2D21">
      <w:pPr>
        <w:pStyle w:val="FootnoteText"/>
      </w:pPr>
      <w:r>
        <w:rPr>
          <w:rStyle w:val="FootnoteReference"/>
        </w:rPr>
        <w:footnoteRef/>
      </w:r>
      <w:r>
        <w:t xml:space="preserve"> Ibid.</w:t>
      </w:r>
    </w:p>
  </w:footnote>
  <w:footnote w:id="79">
    <w:p w14:paraId="58E3F31D" w14:textId="77777777" w:rsidR="00D073EC" w:rsidRDefault="00D073EC" w:rsidP="004B2D21">
      <w:pPr>
        <w:pStyle w:val="FootnoteText"/>
      </w:pPr>
      <w:r>
        <w:rPr>
          <w:rStyle w:val="FootnoteReference"/>
        </w:rPr>
        <w:footnoteRef/>
      </w:r>
      <w:r>
        <w:t xml:space="preserve"> Ibid. </w:t>
      </w:r>
    </w:p>
  </w:footnote>
  <w:footnote w:id="80">
    <w:p w14:paraId="3BF27F12" w14:textId="77777777" w:rsidR="00D073EC" w:rsidRDefault="00D073EC" w:rsidP="004B2D21">
      <w:pPr>
        <w:pStyle w:val="FootnoteText"/>
      </w:pPr>
      <w:r>
        <w:rPr>
          <w:rStyle w:val="FootnoteReference"/>
        </w:rPr>
        <w:footnoteRef/>
      </w:r>
      <w:r>
        <w:t xml:space="preserve"> WGEA ‘Australia’s Gender Pay Gap Statistics’ (2022) </w:t>
      </w:r>
      <w:hyperlink r:id="rId53" w:history="1">
        <w:r>
          <w:rPr>
            <w:rStyle w:val="Hyperlink"/>
          </w:rPr>
          <w:t>https://www.wgea.gov.au/publications/australias-gender-pay-gap-statistics</w:t>
        </w:r>
      </w:hyperlink>
      <w:r>
        <w:t>.</w:t>
      </w:r>
    </w:p>
  </w:footnote>
  <w:footnote w:id="81">
    <w:p w14:paraId="61019FB7" w14:textId="480B3D0A" w:rsidR="00D073EC" w:rsidRDefault="00D073EC" w:rsidP="004B2D21">
      <w:pPr>
        <w:pStyle w:val="FootnoteText"/>
      </w:pPr>
      <w:r>
        <w:rPr>
          <w:rStyle w:val="FootnoteReference"/>
        </w:rPr>
        <w:footnoteRef/>
      </w:r>
      <w:r>
        <w:t xml:space="preserve"> PwC, ‘Women of PwC’ </w:t>
      </w:r>
      <w:hyperlink r:id="rId54" w:history="1">
        <w:r w:rsidRPr="00935563">
          <w:rPr>
            <w:rStyle w:val="Hyperlink"/>
          </w:rPr>
          <w:t>https://www.pwc.co.uk/who-we-are/our-purpose/empowered-people-communities/inclusion/diversity-pay-report.html</w:t>
        </w:r>
      </w:hyperlink>
      <w:r>
        <w:t xml:space="preserve"> </w:t>
      </w:r>
    </w:p>
  </w:footnote>
  <w:footnote w:id="82">
    <w:p w14:paraId="165928F1" w14:textId="77777777" w:rsidR="00D073EC" w:rsidRDefault="00D073EC" w:rsidP="004B2D21">
      <w:pPr>
        <w:pStyle w:val="FootnoteText"/>
      </w:pPr>
      <w:r w:rsidRPr="00F34F83">
        <w:rPr>
          <w:rStyle w:val="FootnoteReference"/>
        </w:rPr>
        <w:footnoteRef/>
      </w:r>
      <w:r w:rsidRPr="00F34F83">
        <w:t xml:space="preserve"> </w:t>
      </w:r>
      <w:r>
        <w:t>Edmund Tadros ‘Experts call on more firms to copy PwC’s pay transparency’ (</w:t>
      </w:r>
      <w:r w:rsidRPr="00F34F83">
        <w:rPr>
          <w:rFonts w:cstheme="minorHAnsi"/>
          <w:shd w:val="clear" w:color="auto" w:fill="FFFFFF"/>
        </w:rPr>
        <w:t>Australian Financial Review, 2022</w:t>
      </w:r>
      <w:r>
        <w:rPr>
          <w:rFonts w:cstheme="minorHAnsi"/>
          <w:shd w:val="clear" w:color="auto" w:fill="FFFFFF"/>
        </w:rPr>
        <w:t xml:space="preserve">) </w:t>
      </w:r>
      <w:hyperlink r:id="rId55" w:history="1">
        <w:r>
          <w:rPr>
            <w:rStyle w:val="Hyperlink"/>
          </w:rPr>
          <w:t>https://www.afr.com/companies/professional-services/experts-call-on-more-firms-to-copy-pwc-s-pay-transparency-20220418-p5ae96</w:t>
        </w:r>
      </w:hyperlink>
      <w:r>
        <w:t>.</w:t>
      </w:r>
    </w:p>
  </w:footnote>
  <w:footnote w:id="83">
    <w:p w14:paraId="758469E2" w14:textId="77777777" w:rsidR="00D073EC" w:rsidRDefault="00D073EC" w:rsidP="004B2D21">
      <w:pPr>
        <w:pStyle w:val="FootnoteText"/>
      </w:pPr>
      <w:r>
        <w:rPr>
          <w:rStyle w:val="FootnoteReference"/>
        </w:rPr>
        <w:footnoteRef/>
      </w:r>
      <w:r>
        <w:t xml:space="preserve"> Ibid.</w:t>
      </w:r>
    </w:p>
  </w:footnote>
  <w:footnote w:id="84">
    <w:p w14:paraId="051B0AF9" w14:textId="20C2FC1D" w:rsidR="00D073EC" w:rsidRDefault="00D073EC">
      <w:pPr>
        <w:pStyle w:val="FootnoteText"/>
      </w:pPr>
      <w:r>
        <w:rPr>
          <w:rStyle w:val="FootnoteReference"/>
        </w:rPr>
        <w:footnoteRef/>
      </w:r>
      <w:r>
        <w:t xml:space="preserve"> WGEA, Non-compliant organisations list as at 30 January 2023, </w:t>
      </w:r>
      <w:hyperlink r:id="rId56" w:history="1">
        <w:r>
          <w:rPr>
            <w:rStyle w:val="Hyperlink"/>
          </w:rPr>
          <w:t>Non-compliant organisations list | WGEA</w:t>
        </w:r>
      </w:hyperlink>
      <w:r>
        <w:t xml:space="preserve"> </w:t>
      </w:r>
    </w:p>
  </w:footnote>
  <w:footnote w:id="85">
    <w:p w14:paraId="73DEF61D" w14:textId="6507C570" w:rsidR="00D073EC" w:rsidRDefault="00D073EC" w:rsidP="004B2D21">
      <w:pPr>
        <w:pStyle w:val="FootnoteText"/>
      </w:pPr>
      <w:r>
        <w:rPr>
          <w:rStyle w:val="FootnoteReference"/>
        </w:rPr>
        <w:footnoteRef/>
      </w:r>
      <w:r>
        <w:t xml:space="preserve"> Alexandra Topping ‘Gender pay gap law could have significant impact, says experts’ (Guardian Article, 2017) </w:t>
      </w:r>
      <w:hyperlink r:id="rId57" w:history="1">
        <w:r>
          <w:rPr>
            <w:rStyle w:val="Hyperlink"/>
          </w:rPr>
          <w:t>https://www.theguardian.com/society/2017/apr/06/gender-pay-gap-law-could-have-significant-impact-say-experts</w:t>
        </w:r>
      </w:hyperlink>
    </w:p>
  </w:footnote>
  <w:footnote w:id="86">
    <w:p w14:paraId="4B94AFD8" w14:textId="77777777" w:rsidR="00D073EC" w:rsidRDefault="00D073EC" w:rsidP="004B2D21">
      <w:pPr>
        <w:pStyle w:val="FootnoteText"/>
      </w:pPr>
      <w:r>
        <w:rPr>
          <w:rStyle w:val="FootnoteReference"/>
        </w:rPr>
        <w:footnoteRef/>
      </w:r>
      <w:r>
        <w:t xml:space="preserve"> Department of Prime Minister and Cabinet ‘WGEA Review Report’ (2022) </w:t>
      </w:r>
      <w:hyperlink r:id="rId58" w:history="1">
        <w:r>
          <w:rPr>
            <w:rStyle w:val="Hyperlink"/>
          </w:rPr>
          <w:t>https://www.pmc.gov.au/resource-centre/office-women/wgea-review-report</w:t>
        </w:r>
      </w:hyperlink>
    </w:p>
  </w:footnote>
  <w:footnote w:id="87">
    <w:p w14:paraId="222ACE4F" w14:textId="77777777" w:rsidR="00D073EC" w:rsidRDefault="00D073EC" w:rsidP="004B2D21">
      <w:pPr>
        <w:pStyle w:val="FootnoteText"/>
      </w:pPr>
      <w:r>
        <w:rPr>
          <w:rStyle w:val="FootnoteReference"/>
        </w:rPr>
        <w:footnoteRef/>
      </w:r>
      <w:r>
        <w:t xml:space="preserve"> Australian Government ‘Budget 2022-23: Women’s Budget Statement’ (2022) </w:t>
      </w:r>
      <w:hyperlink r:id="rId59" w:history="1">
        <w:r>
          <w:rPr>
            <w:rStyle w:val="Hyperlink"/>
          </w:rPr>
          <w:t>https://budget.gov.au/2022-23/content/womens-statement/download/womens_budget_statement_2022-23.pdf</w:t>
        </w:r>
      </w:hyperlink>
    </w:p>
  </w:footnote>
  <w:footnote w:id="88">
    <w:p w14:paraId="5F396232" w14:textId="77777777" w:rsidR="00D073EC" w:rsidRDefault="00D073EC" w:rsidP="004B2D21">
      <w:pPr>
        <w:pStyle w:val="FootnoteText"/>
      </w:pPr>
      <w:r>
        <w:rPr>
          <w:rStyle w:val="FootnoteReference"/>
        </w:rPr>
        <w:footnoteRef/>
      </w:r>
      <w:r>
        <w:t xml:space="preserve"> Department of Prime Minister and Cabinet ‘WGEA Review Report’ (2022) </w:t>
      </w:r>
      <w:hyperlink r:id="rId60" w:history="1">
        <w:r>
          <w:rPr>
            <w:rStyle w:val="Hyperlink"/>
          </w:rPr>
          <w:t>https://www.pmc.gov.au/resource-centre/office-women/wgea-review-report</w:t>
        </w:r>
      </w:hyperlink>
    </w:p>
  </w:footnote>
  <w:footnote w:id="89">
    <w:p w14:paraId="37790C87" w14:textId="77777777" w:rsidR="00D073EC" w:rsidRDefault="00D073EC" w:rsidP="004B2D21">
      <w:pPr>
        <w:pStyle w:val="FootnoteText"/>
      </w:pPr>
      <w:r>
        <w:rPr>
          <w:rStyle w:val="FootnoteReference"/>
        </w:rPr>
        <w:footnoteRef/>
      </w:r>
      <w:r>
        <w:t xml:space="preserve"> Ibid.</w:t>
      </w:r>
    </w:p>
  </w:footnote>
  <w:footnote w:id="90">
    <w:p w14:paraId="6CF46A88" w14:textId="6B1CF16B" w:rsidR="00D073EC" w:rsidRDefault="00D073EC">
      <w:pPr>
        <w:pStyle w:val="FootnoteText"/>
      </w:pPr>
      <w:r>
        <w:rPr>
          <w:rStyle w:val="FootnoteReference"/>
        </w:rPr>
        <w:footnoteRef/>
      </w:r>
      <w:r>
        <w:t xml:space="preserve"> KPMG, ‘Gender pay gap reporting: its impact and possible future’, 21 February 2022, </w:t>
      </w:r>
      <w:hyperlink r:id="rId61" w:history="1">
        <w:r>
          <w:rPr>
            <w:rStyle w:val="Hyperlink"/>
          </w:rPr>
          <w:t>Gender pay gap reporting - KPMG United Kingdom</w:t>
        </w:r>
      </w:hyperlink>
      <w:r>
        <w:t>.</w:t>
      </w:r>
    </w:p>
  </w:footnote>
  <w:footnote w:id="91">
    <w:p w14:paraId="39E27441" w14:textId="328DC9D5" w:rsidR="00D073EC" w:rsidRDefault="00D073EC" w:rsidP="004B2D21">
      <w:pPr>
        <w:pStyle w:val="FootnoteText"/>
      </w:pPr>
      <w:r>
        <w:rPr>
          <w:rStyle w:val="FootnoteReference"/>
        </w:rPr>
        <w:footnoteRef/>
      </w:r>
      <w:r>
        <w:t xml:space="preserve"> </w:t>
      </w:r>
      <w:r w:rsidRPr="007B463E">
        <w:t xml:space="preserve">European Commission, Directorate-General for Justice and Consumers, Veldman, A., Pay transparency in the EU : a legal analysis of the situation in the EU Member States, Iceland, Liechtenstein and Norway, Publications Office, 2017, </w:t>
      </w:r>
      <w:hyperlink r:id="rId62" w:history="1">
        <w:r w:rsidRPr="00935563">
          <w:rPr>
            <w:rStyle w:val="Hyperlink"/>
          </w:rPr>
          <w:t>https://data.europa.eu/doi/10.2838/148250</w:t>
        </w:r>
      </w:hyperlink>
      <w:r>
        <w:t xml:space="preserve">; Martha Ceballos, Annick Masselot and Richard Watt ‘Pay Transparency across Countries and Legal Systems’ (2022) </w:t>
      </w:r>
      <w:hyperlink r:id="rId63" w:history="1">
        <w:r>
          <w:rPr>
            <w:rStyle w:val="Hyperlink"/>
          </w:rPr>
          <w:t>https://www.cesifo.org/DocDL/CESifo-Forum-2022-2-ceballos-etal-gender-employment-and-pay-gap-march.pdf</w:t>
        </w:r>
      </w:hyperlink>
      <w:r>
        <w:t xml:space="preserve">; Michael Baker et al ‘Can Transparency Laws Fix the Gender Wage Gap’ (Harvard Business Review, 2020) </w:t>
      </w:r>
      <w:hyperlink r:id="rId64" w:history="1">
        <w:r>
          <w:rPr>
            <w:rStyle w:val="Hyperlink"/>
          </w:rPr>
          <w:t>https://hbr.org/2020/02/can-transparency-laws-fix-the-gender-wage-gap</w:t>
        </w:r>
      </w:hyperlink>
      <w:r>
        <w:rPr>
          <w:rStyle w:val="Hyperlink"/>
        </w:rPr>
        <w:t xml:space="preserve">; </w:t>
      </w:r>
      <w:r>
        <w:t xml:space="preserve">KPMG, ‘Gender pay gap reporting: its impact and possible future’, 21 February 2022, </w:t>
      </w:r>
      <w:hyperlink r:id="rId65" w:history="1">
        <w:r>
          <w:rPr>
            <w:rStyle w:val="Hyperlink"/>
          </w:rPr>
          <w:t>Gender pay gap reporting - KPMG United Kingdom</w:t>
        </w:r>
      </w:hyperlink>
      <w:r>
        <w:t>.</w:t>
      </w:r>
    </w:p>
  </w:footnote>
  <w:footnote w:id="92">
    <w:p w14:paraId="3F92B9F4" w14:textId="64F7F488" w:rsidR="00D073EC" w:rsidRDefault="00D073EC" w:rsidP="004B2D21">
      <w:pPr>
        <w:pStyle w:val="FootnoteText"/>
      </w:pPr>
      <w:r>
        <w:rPr>
          <w:rStyle w:val="FootnoteReference"/>
        </w:rPr>
        <w:footnoteRef/>
      </w:r>
      <w:r>
        <w:t xml:space="preserve"> Nigel Marriott, ‘The three most common mistakes made in gender pay gap reports’ (Personnel Today 2018) </w:t>
      </w:r>
      <w:hyperlink r:id="rId66" w:history="1">
        <w:r w:rsidRPr="00791063">
          <w:rPr>
            <w:rStyle w:val="Hyperlink"/>
          </w:rPr>
          <w:t>https://www.personneltoday.com/hr/gender-pay-gap-reporting-errors/</w:t>
        </w:r>
      </w:hyperlink>
      <w:r>
        <w:t xml:space="preserve">. </w:t>
      </w:r>
    </w:p>
  </w:footnote>
  <w:footnote w:id="93">
    <w:p w14:paraId="7AF4A565" w14:textId="77777777" w:rsidR="00D073EC" w:rsidRDefault="00D073EC" w:rsidP="007E6A09">
      <w:pPr>
        <w:pStyle w:val="FootnoteText"/>
      </w:pPr>
      <w:r>
        <w:rPr>
          <w:rStyle w:val="FootnoteReference"/>
        </w:rPr>
        <w:footnoteRef/>
      </w:r>
      <w:r>
        <w:t xml:space="preserve"> </w:t>
      </w:r>
      <w:r w:rsidRPr="004313D0">
        <w:rPr>
          <w:i/>
        </w:rPr>
        <w:t xml:space="preserve">Workplace Gender Equality Act </w:t>
      </w:r>
      <w:r>
        <w:rPr>
          <w:i/>
        </w:rPr>
        <w:t xml:space="preserve">2012 </w:t>
      </w:r>
      <w:r>
        <w:t>(Cth)</w:t>
      </w:r>
    </w:p>
  </w:footnote>
  <w:footnote w:id="94">
    <w:p w14:paraId="167A1924" w14:textId="4A5B19FF" w:rsidR="00D073EC" w:rsidRDefault="00D073EC" w:rsidP="00D423D2">
      <w:pPr>
        <w:pStyle w:val="FootnoteText"/>
      </w:pPr>
      <w:r>
        <w:rPr>
          <w:rStyle w:val="FootnoteReference"/>
        </w:rPr>
        <w:footnoteRef/>
      </w:r>
      <w:r>
        <w:t xml:space="preserve"> </w:t>
      </w:r>
      <w:r w:rsidRPr="004313D0">
        <w:rPr>
          <w:i/>
        </w:rPr>
        <w:t xml:space="preserve">Workplace Gender Equality Act </w:t>
      </w:r>
      <w:r>
        <w:rPr>
          <w:i/>
        </w:rPr>
        <w:t xml:space="preserve">2012 </w:t>
      </w:r>
      <w:r>
        <w:t>(Cth).</w:t>
      </w:r>
    </w:p>
  </w:footnote>
  <w:footnote w:id="95">
    <w:p w14:paraId="652340E2" w14:textId="7B247D5C" w:rsidR="00D073EC" w:rsidRDefault="00D073EC" w:rsidP="004B2D21">
      <w:pPr>
        <w:pStyle w:val="FootnoteText"/>
      </w:pPr>
      <w:r>
        <w:rPr>
          <w:rStyle w:val="FootnoteReference"/>
        </w:rPr>
        <w:footnoteRef/>
      </w:r>
      <w:r>
        <w:t xml:space="preserve"> This approach is in line with what recommendations of the Review required an </w:t>
      </w:r>
      <w:r>
        <w:rPr>
          <w:rFonts w:cstheme="minorHAnsi"/>
          <w:lang w:val="en-GB"/>
        </w:rPr>
        <w:t>IA</w:t>
      </w:r>
      <w:r>
        <w:t xml:space="preserve">, and has been agreed with OIA. </w:t>
      </w:r>
    </w:p>
  </w:footnote>
  <w:footnote w:id="96">
    <w:p w14:paraId="147D10E5" w14:textId="77777777" w:rsidR="00D073EC" w:rsidRDefault="00D073EC" w:rsidP="004B2D21">
      <w:pPr>
        <w:pStyle w:val="FootnoteText"/>
      </w:pPr>
      <w:r>
        <w:rPr>
          <w:rStyle w:val="FootnoteReference"/>
        </w:rPr>
        <w:footnoteRef/>
      </w:r>
      <w:r>
        <w:t xml:space="preserve"> Carol T Kulik ‘Gender (in)equality in Australia: Good Intentions and unintended consequences’  </w:t>
      </w:r>
      <w:r>
        <w:rPr>
          <w:i/>
        </w:rPr>
        <w:t xml:space="preserve">Asia Pacific Journal of Human Resources </w:t>
      </w:r>
      <w:r>
        <w:t>(2022).</w:t>
      </w:r>
    </w:p>
  </w:footnote>
  <w:footnote w:id="97">
    <w:p w14:paraId="0BAABA51" w14:textId="63245322" w:rsidR="00D073EC" w:rsidRDefault="00D073EC">
      <w:pPr>
        <w:pStyle w:val="FootnoteText"/>
      </w:pPr>
      <w:r>
        <w:rPr>
          <w:rStyle w:val="FootnoteReference"/>
        </w:rPr>
        <w:footnoteRef/>
      </w:r>
      <w:r>
        <w:t xml:space="preserve"> OECD Employment, Labour and Social Affairs Policy Briefs, ‘Can pay transparency tools close the gender wage gap? (2021) </w:t>
      </w:r>
      <w:hyperlink r:id="rId67" w:history="1">
        <w:r>
          <w:rPr>
            <w:rStyle w:val="Hyperlink"/>
          </w:rPr>
          <w:t>Pay-Transparency-2021-Policy-Brief.pdf (oecd.org)</w:t>
        </w:r>
      </w:hyperlink>
    </w:p>
  </w:footnote>
  <w:footnote w:id="98">
    <w:p w14:paraId="6187F4C0" w14:textId="05379E93" w:rsidR="00D073EC" w:rsidRDefault="00D073EC">
      <w:pPr>
        <w:pStyle w:val="FootnoteText"/>
      </w:pPr>
      <w:r>
        <w:rPr>
          <w:rStyle w:val="FootnoteReference"/>
        </w:rPr>
        <w:footnoteRef/>
      </w:r>
      <w:r>
        <w:t xml:space="preserve"> </w:t>
      </w:r>
      <w:r w:rsidRPr="008F7893">
        <w:t>I</w:t>
      </w:r>
      <w:r>
        <w:t>bid.</w:t>
      </w:r>
    </w:p>
  </w:footnote>
  <w:footnote w:id="99">
    <w:p w14:paraId="7EF582F6" w14:textId="77777777" w:rsidR="00D073EC" w:rsidRDefault="00D073EC">
      <w:pPr>
        <w:pStyle w:val="FootnoteText"/>
      </w:pPr>
      <w:r>
        <w:rPr>
          <w:rStyle w:val="FootnoteReference"/>
        </w:rPr>
        <w:footnoteRef/>
      </w:r>
      <w:r>
        <w:t xml:space="preserve"> Ibid.</w:t>
      </w:r>
    </w:p>
  </w:footnote>
  <w:footnote w:id="100">
    <w:p w14:paraId="2BAE0237" w14:textId="5851E1F6" w:rsidR="00D073EC" w:rsidRDefault="00D073EC" w:rsidP="006250CF">
      <w:pPr>
        <w:pStyle w:val="FootnoteText"/>
      </w:pPr>
      <w:r>
        <w:rPr>
          <w:rStyle w:val="FootnoteReference"/>
        </w:rPr>
        <w:footnoteRef/>
      </w:r>
      <w:r>
        <w:t xml:space="preserve"> WGEA ‘Australia’s Gender Equality Scorecard’ (2022) </w:t>
      </w:r>
      <w:hyperlink r:id="rId68" w:history="1">
        <w:r w:rsidRPr="00D72234">
          <w:rPr>
            <w:rStyle w:val="Hyperlink"/>
          </w:rPr>
          <w:t>https://www.wgea.gov.au/sites/default/files/documents/2020-21_WGEA_SCORECARD.pdf</w:t>
        </w:r>
      </w:hyperlink>
      <w:r>
        <w:t>.</w:t>
      </w:r>
    </w:p>
  </w:footnote>
  <w:footnote w:id="101">
    <w:p w14:paraId="4D97D2B8" w14:textId="77777777" w:rsidR="00D073EC" w:rsidRDefault="00D073EC" w:rsidP="006250CF">
      <w:pPr>
        <w:pStyle w:val="FootnoteText"/>
      </w:pPr>
      <w:r>
        <w:rPr>
          <w:rStyle w:val="FootnoteReference"/>
        </w:rPr>
        <w:footnoteRef/>
      </w:r>
      <w:r>
        <w:t xml:space="preserve"> Department of Prime Minister and Cabinet ‘WGEA Review Report’ (2022) </w:t>
      </w:r>
      <w:hyperlink r:id="rId69" w:history="1">
        <w:r>
          <w:rPr>
            <w:rStyle w:val="Hyperlink"/>
          </w:rPr>
          <w:t>https://www.pmc.gov.au/resource-centre/office-women/wgea-review-report</w:t>
        </w:r>
      </w:hyperlink>
      <w:r>
        <w:t>.</w:t>
      </w:r>
    </w:p>
  </w:footnote>
  <w:footnote w:id="102">
    <w:p w14:paraId="547BB568" w14:textId="77777777" w:rsidR="00D073EC" w:rsidRDefault="00D073EC" w:rsidP="006250CF">
      <w:pPr>
        <w:pStyle w:val="FootnoteText"/>
      </w:pPr>
      <w:r>
        <w:rPr>
          <w:rStyle w:val="FootnoteReference"/>
        </w:rPr>
        <w:footnoteRef/>
      </w:r>
      <w:r>
        <w:t xml:space="preserve"> Ibid.</w:t>
      </w:r>
    </w:p>
  </w:footnote>
  <w:footnote w:id="103">
    <w:p w14:paraId="28EB4B72" w14:textId="77777777" w:rsidR="00D073EC" w:rsidRDefault="00D073EC" w:rsidP="006250CF">
      <w:pPr>
        <w:pStyle w:val="FootnoteText"/>
      </w:pPr>
      <w:r>
        <w:rPr>
          <w:rStyle w:val="FootnoteReference"/>
        </w:rPr>
        <w:footnoteRef/>
      </w:r>
      <w:r>
        <w:t xml:space="preserve"> Ibid.</w:t>
      </w:r>
    </w:p>
  </w:footnote>
  <w:footnote w:id="104">
    <w:p w14:paraId="65BA2722" w14:textId="082355A6" w:rsidR="00D073EC" w:rsidRDefault="00D073EC" w:rsidP="00D854F4">
      <w:pPr>
        <w:pStyle w:val="FootnoteText"/>
      </w:pPr>
      <w:r>
        <w:rPr>
          <w:rStyle w:val="FootnoteReference"/>
        </w:rPr>
        <w:footnoteRef/>
      </w:r>
      <w:r>
        <w:t xml:space="preserve"> The Office of Impact Analysis ‘</w:t>
      </w:r>
      <w:r w:rsidRPr="00F06AFC">
        <w:rPr>
          <w:rFonts w:cstheme="minorHAnsi"/>
        </w:rPr>
        <w:t>Australian Government Guide to Regulatory Impact Statements</w:t>
      </w:r>
      <w:r>
        <w:rPr>
          <w:rFonts w:cstheme="minorHAnsi"/>
        </w:rPr>
        <w:t xml:space="preserve">’ (2020) </w:t>
      </w:r>
      <w:hyperlink r:id="rId70" w:history="1">
        <w:r>
          <w:rPr>
            <w:rStyle w:val="Hyperlink"/>
          </w:rPr>
          <w:t>Australian Government Guide to Regulatory Impact Analysis | The Office of Impact Analysis (pmc.gov.au)</w:t>
        </w:r>
      </w:hyperlink>
    </w:p>
  </w:footnote>
  <w:footnote w:id="105">
    <w:p w14:paraId="317C3193" w14:textId="77777777" w:rsidR="00D073EC" w:rsidRDefault="00D073EC" w:rsidP="00D854F4">
      <w:pPr>
        <w:pStyle w:val="FootnoteText"/>
      </w:pPr>
      <w:r>
        <w:rPr>
          <w:rStyle w:val="FootnoteReference"/>
        </w:rPr>
        <w:footnoteRef/>
      </w:r>
      <w:r>
        <w:t xml:space="preserve"> Ibid.</w:t>
      </w:r>
    </w:p>
  </w:footnote>
  <w:footnote w:id="106">
    <w:p w14:paraId="04868F4D" w14:textId="0C0AC01A" w:rsidR="00D073EC" w:rsidRDefault="00D073EC" w:rsidP="00CD5160">
      <w:pPr>
        <w:pStyle w:val="FootnoteText"/>
      </w:pPr>
      <w:r>
        <w:rPr>
          <w:rStyle w:val="FootnoteReference"/>
        </w:rPr>
        <w:footnoteRef/>
      </w:r>
      <w:r>
        <w:t xml:space="preserve"> ABC News, ‘</w:t>
      </w:r>
      <w:r w:rsidRPr="009A51B1">
        <w:t>Gender Pay Gap Bot calls out brands tweeting about International Women's Day while paying women less than men</w:t>
      </w:r>
      <w:r>
        <w:t xml:space="preserve">’ (11 March 2022) </w:t>
      </w:r>
      <w:hyperlink r:id="rId71" w:history="1">
        <w:r>
          <w:rPr>
            <w:rStyle w:val="Hyperlink"/>
          </w:rPr>
          <w:t>Gender Pay Gap Bot calls out brands tweeting about International Women's Day while paying women less than men - ABC News</w:t>
        </w:r>
      </w:hyperlink>
    </w:p>
  </w:footnote>
  <w:footnote w:id="107">
    <w:p w14:paraId="3934279C" w14:textId="7E775968" w:rsidR="00D073EC" w:rsidRDefault="00D073EC">
      <w:pPr>
        <w:pStyle w:val="FootnoteText"/>
      </w:pPr>
      <w:r>
        <w:rPr>
          <w:rStyle w:val="FootnoteReference"/>
        </w:rPr>
        <w:footnoteRef/>
      </w:r>
      <w:r>
        <w:t xml:space="preserve"> Office for National Statistics, ‘Gender Pay Gap in the UK: 2022’ (26 October 2022) </w:t>
      </w:r>
      <w:hyperlink r:id="rId72" w:history="1">
        <w:r w:rsidRPr="003F251D">
          <w:rPr>
            <w:rStyle w:val="Hyperlink"/>
          </w:rPr>
          <w:t>https://www.ons.gov.uk/employmentandlabourmarket/peopleinwork/earningsandworkinghours/bulletins/genderpaygapintheuk/2022</w:t>
        </w:r>
      </w:hyperlink>
    </w:p>
  </w:footnote>
  <w:footnote w:id="108">
    <w:p w14:paraId="20E04CB6" w14:textId="770A4738" w:rsidR="00D073EC" w:rsidRDefault="00D073EC">
      <w:pPr>
        <w:pStyle w:val="FootnoteText"/>
      </w:pPr>
      <w:r>
        <w:rPr>
          <w:rStyle w:val="FootnoteReference"/>
        </w:rPr>
        <w:footnoteRef/>
      </w:r>
      <w:r>
        <w:t xml:space="preserve"> Ibid.</w:t>
      </w:r>
    </w:p>
  </w:footnote>
  <w:footnote w:id="109">
    <w:p w14:paraId="57EBAF11" w14:textId="73F1077B" w:rsidR="00D073EC" w:rsidRDefault="00D073EC" w:rsidP="00CD5160">
      <w:pPr>
        <w:pStyle w:val="FootnoteText"/>
      </w:pPr>
      <w:r>
        <w:rPr>
          <w:rStyle w:val="FootnoteReference"/>
        </w:rPr>
        <w:footnoteRef/>
      </w:r>
      <w:r>
        <w:t xml:space="preserve"> European Parliament Press Release, ‘Gender pay gap: Parliament backs binding pay-transparency measures’ (5 April 2022) </w:t>
      </w:r>
      <w:hyperlink r:id="rId73" w:history="1">
        <w:r>
          <w:rPr>
            <w:rStyle w:val="Hyperlink"/>
          </w:rPr>
          <w:t>Gender pay gap: Parliament backs binding pay-transparency measures | News | European Parliament (europa.eu)</w:t>
        </w:r>
      </w:hyperlink>
    </w:p>
  </w:footnote>
  <w:footnote w:id="110">
    <w:p w14:paraId="07A80DEC" w14:textId="77777777" w:rsidR="00D073EC" w:rsidRDefault="00D073EC" w:rsidP="00CD5160">
      <w:pPr>
        <w:pStyle w:val="FootnoteText"/>
      </w:pPr>
      <w:r>
        <w:rPr>
          <w:rStyle w:val="FootnoteReference"/>
        </w:rPr>
        <w:footnoteRef/>
      </w:r>
      <w:r>
        <w:t xml:space="preserve"> Directive of the European Parliament and of the Council, European Commission, Brussels (4 March 2021) 2021/0050(COD).</w:t>
      </w:r>
    </w:p>
  </w:footnote>
  <w:footnote w:id="111">
    <w:p w14:paraId="552ADC0B" w14:textId="00FCCB35" w:rsidR="00D073EC" w:rsidRDefault="00D073EC" w:rsidP="00CD5160">
      <w:pPr>
        <w:pStyle w:val="FootnoteText"/>
      </w:pPr>
      <w:r>
        <w:rPr>
          <w:rStyle w:val="FootnoteReference"/>
        </w:rPr>
        <w:footnoteRef/>
      </w:r>
      <w:r>
        <w:t xml:space="preserve"> Ibid.</w:t>
      </w:r>
    </w:p>
  </w:footnote>
  <w:footnote w:id="112">
    <w:p w14:paraId="68486C82" w14:textId="14B7A825" w:rsidR="00D073EC" w:rsidRDefault="00D073EC" w:rsidP="00CD5160">
      <w:pPr>
        <w:pStyle w:val="FootnoteText"/>
      </w:pPr>
      <w:r>
        <w:rPr>
          <w:rStyle w:val="FootnoteReference"/>
        </w:rPr>
        <w:footnoteRef/>
      </w:r>
      <w:r>
        <w:t xml:space="preserve"> Ibid.</w:t>
      </w:r>
    </w:p>
  </w:footnote>
  <w:footnote w:id="113">
    <w:p w14:paraId="3D77A140" w14:textId="77777777" w:rsidR="00D073EC" w:rsidRPr="004664F8" w:rsidRDefault="00D073EC" w:rsidP="00CD5160">
      <w:pPr>
        <w:pStyle w:val="FootnoteText"/>
      </w:pPr>
      <w:r>
        <w:rPr>
          <w:rStyle w:val="FootnoteReference"/>
        </w:rPr>
        <w:footnoteRef/>
      </w:r>
      <w:r>
        <w:t xml:space="preserve"> </w:t>
      </w:r>
      <w:r>
        <w:rPr>
          <w:i/>
        </w:rPr>
        <w:t xml:space="preserve">Pay Equity Act 2021 </w:t>
      </w:r>
      <w:r>
        <w:t>(CAN) section 2.</w:t>
      </w:r>
    </w:p>
  </w:footnote>
  <w:footnote w:id="114">
    <w:p w14:paraId="3171EEEA" w14:textId="77777777" w:rsidR="00D073EC" w:rsidRDefault="00D073EC" w:rsidP="00CD5160">
      <w:pPr>
        <w:pStyle w:val="FootnoteText"/>
      </w:pPr>
      <w:r>
        <w:rPr>
          <w:rStyle w:val="FootnoteReference"/>
        </w:rPr>
        <w:footnoteRef/>
      </w:r>
      <w:r>
        <w:t xml:space="preserve"> </w:t>
      </w:r>
      <w:r>
        <w:rPr>
          <w:i/>
        </w:rPr>
        <w:t xml:space="preserve">Pay Equity Act 2021 </w:t>
      </w:r>
      <w:r>
        <w:t>(CAN) section 12.</w:t>
      </w:r>
    </w:p>
  </w:footnote>
  <w:footnote w:id="115">
    <w:p w14:paraId="7AE7589A" w14:textId="3CA22125" w:rsidR="00D073EC" w:rsidRDefault="00D073EC" w:rsidP="00CD5160">
      <w:pPr>
        <w:pStyle w:val="FootnoteText"/>
      </w:pPr>
      <w:r>
        <w:rPr>
          <w:rStyle w:val="FootnoteReference"/>
        </w:rPr>
        <w:footnoteRef/>
      </w:r>
      <w:r>
        <w:t xml:space="preserve"> Government of Canada News Release, ‘</w:t>
      </w:r>
      <w:r w:rsidRPr="00C56587">
        <w:t>Government of Canada announces that the Pay Equity Act will come into force on August 31, 2021</w:t>
      </w:r>
      <w:r>
        <w:t xml:space="preserve">’ (7 July 2021) </w:t>
      </w:r>
      <w:hyperlink r:id="rId74" w:history="1">
        <w:r>
          <w:rPr>
            <w:rStyle w:val="Hyperlink"/>
          </w:rPr>
          <w:t>Government of Canada announces that the Pay Equity Act will come into force on August 31, 2021 - Canada.ca</w:t>
        </w:r>
      </w:hyperlink>
    </w:p>
  </w:footnote>
  <w:footnote w:id="116">
    <w:p w14:paraId="183F04BC" w14:textId="0BA4C134" w:rsidR="00D073EC" w:rsidRDefault="00D073EC" w:rsidP="00CD5160">
      <w:pPr>
        <w:pStyle w:val="FootnoteText"/>
      </w:pPr>
      <w:r>
        <w:rPr>
          <w:rStyle w:val="FootnoteReference"/>
        </w:rPr>
        <w:footnoteRef/>
      </w:r>
      <w:r>
        <w:t xml:space="preserve"> Government of Canada, </w:t>
      </w:r>
      <w:hyperlink r:id="rId75" w:history="1">
        <w:r>
          <w:rPr>
            <w:rStyle w:val="Hyperlink"/>
          </w:rPr>
          <w:t>Share your ideas: Consultation on proposed Pay Equity Regulations - Canada.ca</w:t>
        </w:r>
      </w:hyperlink>
    </w:p>
  </w:footnote>
  <w:footnote w:id="117">
    <w:p w14:paraId="3C3AD9A9" w14:textId="6A733E8B" w:rsidR="00D073EC" w:rsidRDefault="00D073EC">
      <w:pPr>
        <w:pStyle w:val="FootnoteText"/>
      </w:pPr>
      <w:r>
        <w:rPr>
          <w:rStyle w:val="FootnoteReference"/>
        </w:rPr>
        <w:footnoteRef/>
      </w:r>
      <w:r>
        <w:t xml:space="preserve"> European Institute for Gender Equality, ‘Men and Gender Equality: Gender equality is also a men’s issue’, accessed 30 January 2022, </w:t>
      </w:r>
      <w:hyperlink r:id="rId76" w:history="1">
        <w:r w:rsidRPr="00473698">
          <w:rPr>
            <w:rStyle w:val="Hyperlink"/>
          </w:rPr>
          <w:t>file:///C:/Users/pmc18071/Downloads/european_institute_for_gender_equality_-_men_and_gender_equality_-_2017-06-09.pdf</w:t>
        </w:r>
      </w:hyperlink>
      <w:r>
        <w:t xml:space="preserve"> </w:t>
      </w:r>
    </w:p>
  </w:footnote>
  <w:footnote w:id="118">
    <w:p w14:paraId="44A54C48" w14:textId="4A3A6EB3" w:rsidR="00D073EC" w:rsidRDefault="00D073EC">
      <w:pPr>
        <w:pStyle w:val="FootnoteText"/>
      </w:pPr>
      <w:r>
        <w:rPr>
          <w:rStyle w:val="FootnoteReference"/>
        </w:rPr>
        <w:footnoteRef/>
      </w:r>
      <w:r>
        <w:t xml:space="preserve"> </w:t>
      </w:r>
      <w:r w:rsidRPr="00912034">
        <w:rPr>
          <w:i/>
        </w:rPr>
        <w:t>Workplace Gender Equality Act 2012</w:t>
      </w:r>
    </w:p>
  </w:footnote>
  <w:footnote w:id="119">
    <w:p w14:paraId="146C3189" w14:textId="0B62BC39" w:rsidR="00D073EC" w:rsidRDefault="00D073EC" w:rsidP="00912034">
      <w:pPr>
        <w:pStyle w:val="FootnoteText"/>
      </w:pPr>
      <w:r>
        <w:rPr>
          <w:rStyle w:val="FootnoteReference"/>
        </w:rPr>
        <w:footnoteRef/>
      </w:r>
      <w:r>
        <w:t xml:space="preserve"> WGEA ‘Australia’s Gender Pay Gap Statistics’ (August 2022) </w:t>
      </w:r>
      <w:hyperlink r:id="rId77" w:history="1">
        <w:r>
          <w:rPr>
            <w:rStyle w:val="Hyperlink"/>
          </w:rPr>
          <w:t>GPG Factsheet Final August 2022 (wgea.gov.au)</w:t>
        </w:r>
      </w:hyperlink>
    </w:p>
  </w:footnote>
  <w:footnote w:id="120">
    <w:p w14:paraId="4D863403" w14:textId="0A988D39" w:rsidR="00D073EC" w:rsidRDefault="00D073EC" w:rsidP="007E1B52">
      <w:pPr>
        <w:pStyle w:val="FootnoteText"/>
      </w:pPr>
      <w:r>
        <w:rPr>
          <w:rStyle w:val="FootnoteReference"/>
        </w:rPr>
        <w:footnoteRef/>
      </w:r>
      <w:r>
        <w:t xml:space="preserve"> Cassells R &amp; Duncan A (2021), Gender Equity Insights 2021: Making it a priority, BCEC|WGEA Gender Equity Series, Issue #6, March 2021, &lt;</w:t>
      </w:r>
      <w:hyperlink r:id="rId78" w:history="1">
        <w:r>
          <w:rPr>
            <w:rStyle w:val="Hyperlink"/>
          </w:rPr>
          <w:t>BCEC-WGEA-Gender-Equity-Insights-2021_WEB.pdf</w:t>
        </w:r>
      </w:hyperlink>
      <w:r>
        <w:t xml:space="preserve">; </w:t>
      </w:r>
    </w:p>
  </w:footnote>
  <w:footnote w:id="121">
    <w:p w14:paraId="613D3A30" w14:textId="1F1C99D8" w:rsidR="00D073EC" w:rsidRDefault="00D073EC">
      <w:pPr>
        <w:pStyle w:val="FootnoteText"/>
      </w:pPr>
      <w:r>
        <w:rPr>
          <w:rStyle w:val="FootnoteReference"/>
        </w:rPr>
        <w:footnoteRef/>
      </w:r>
      <w:r>
        <w:t xml:space="preserve"> Ministry for Primary Industries New Zealand, ‘The social value of a job’ (December 2014) </w:t>
      </w:r>
      <w:hyperlink r:id="rId79" w:history="1">
        <w:r w:rsidRPr="00935563">
          <w:rPr>
            <w:rStyle w:val="Hyperlink"/>
          </w:rPr>
          <w:t>https://www.mpi.govt.nz/dmsdocument/5266-The-social-value-of-a-job</w:t>
        </w:r>
      </w:hyperlink>
      <w:r>
        <w:t xml:space="preserve"> </w:t>
      </w:r>
    </w:p>
  </w:footnote>
  <w:footnote w:id="122">
    <w:p w14:paraId="04EE3C73" w14:textId="77777777" w:rsidR="00D073EC" w:rsidRDefault="00D073EC">
      <w:pPr>
        <w:pStyle w:val="FootnoteText"/>
      </w:pPr>
      <w:r>
        <w:rPr>
          <w:rStyle w:val="FootnoteReference"/>
        </w:rPr>
        <w:footnoteRef/>
      </w:r>
      <w:r>
        <w:t xml:space="preserve"> Ibid.</w:t>
      </w:r>
    </w:p>
  </w:footnote>
  <w:footnote w:id="123">
    <w:p w14:paraId="4291C8AA" w14:textId="7EF85658" w:rsidR="00D073EC" w:rsidRDefault="00D073EC">
      <w:pPr>
        <w:pStyle w:val="FootnoteText"/>
      </w:pPr>
      <w:r>
        <w:rPr>
          <w:rStyle w:val="FootnoteReference"/>
        </w:rPr>
        <w:footnoteRef/>
      </w:r>
      <w:r>
        <w:t xml:space="preserve"> </w:t>
      </w:r>
      <w:r w:rsidRPr="002A367B">
        <w:t xml:space="preserve">Goldman Sachs JBWere, Australia's Hidden Resource: The Economic Case for Increasing Female Participation (2009) </w:t>
      </w:r>
      <w:hyperlink r:id="rId80" w:history="1">
        <w:r>
          <w:rPr>
            <w:rStyle w:val="Hyperlink"/>
          </w:rPr>
          <w:t>Australia's Hidden Resource - The Economic Case for Increasing Female Participation - Goldman Sachs JBWere - Australian Securities Exchange - ASX</w:t>
        </w:r>
      </w:hyperlink>
    </w:p>
  </w:footnote>
  <w:footnote w:id="124">
    <w:p w14:paraId="6DCC0722" w14:textId="27C915D3" w:rsidR="00D073EC" w:rsidRPr="00912034" w:rsidRDefault="00D073EC" w:rsidP="00912034">
      <w:pPr>
        <w:pStyle w:val="FootnoteText"/>
      </w:pPr>
      <w:r>
        <w:rPr>
          <w:rStyle w:val="FootnoteReference"/>
        </w:rPr>
        <w:footnoteRef/>
      </w:r>
      <w:r>
        <w:t xml:space="preserve"> Diversity Council Australia (M. Flood, G. Russell, J. O’Leary and C. Brown), </w:t>
      </w:r>
      <w:r w:rsidRPr="00912034">
        <w:rPr>
          <w:i/>
        </w:rPr>
        <w:t>Men Make a Difference: How to Engage Men on Gender Equality</w:t>
      </w:r>
      <w:r>
        <w:t xml:space="preserve">, Synopsis Report, Sydney, Diversity Council Australia, 2017, </w:t>
      </w:r>
      <w:hyperlink r:id="rId81" w:history="1">
        <w:r w:rsidRPr="00935563">
          <w:rPr>
            <w:rStyle w:val="Hyperlink"/>
          </w:rPr>
          <w:t>https://www.dca.org.au/sites/default/files/dca_engaging_men_synopsis_online_final.pdf</w:t>
        </w:r>
      </w:hyperlink>
      <w:r>
        <w:t xml:space="preserve"> </w:t>
      </w:r>
    </w:p>
  </w:footnote>
  <w:footnote w:id="125">
    <w:p w14:paraId="111C872B" w14:textId="6DBB1834" w:rsidR="00D073EC" w:rsidRDefault="00D073EC" w:rsidP="00BA2F4D">
      <w:pPr>
        <w:pStyle w:val="FootnoteText"/>
      </w:pPr>
      <w:r>
        <w:rPr>
          <w:rStyle w:val="FootnoteReference"/>
        </w:rPr>
        <w:footnoteRef/>
      </w:r>
      <w:r>
        <w:t xml:space="preserve"> World Health Organisation, ‘The health and well-being of men in the WHO European Region: </w:t>
      </w:r>
    </w:p>
    <w:p w14:paraId="473A9A56" w14:textId="5468B9C9" w:rsidR="00D073EC" w:rsidRDefault="00D073EC" w:rsidP="00BA2F4D">
      <w:pPr>
        <w:pStyle w:val="FootnoteText"/>
      </w:pPr>
      <w:r>
        <w:t xml:space="preserve">better health through a gender approach’(2018), </w:t>
      </w:r>
      <w:hyperlink r:id="rId82" w:history="1">
        <w:r>
          <w:rPr>
            <w:rStyle w:val="Hyperlink"/>
          </w:rPr>
          <w:t>mhr-report-eng.pdf (who.int)</w:t>
        </w:r>
      </w:hyperlink>
    </w:p>
  </w:footnote>
  <w:footnote w:id="126">
    <w:p w14:paraId="2E3FC02B" w14:textId="715A8E4E" w:rsidR="00D073EC" w:rsidRDefault="00D073EC">
      <w:pPr>
        <w:pStyle w:val="FootnoteText"/>
      </w:pPr>
      <w:r>
        <w:rPr>
          <w:rStyle w:val="FootnoteReference"/>
        </w:rPr>
        <w:footnoteRef/>
      </w:r>
      <w:r>
        <w:t xml:space="preserve"> </w:t>
      </w:r>
      <w:r w:rsidRPr="000A0347">
        <w:t>I</w:t>
      </w:r>
      <w:r>
        <w:t>bid.</w:t>
      </w:r>
    </w:p>
  </w:footnote>
  <w:footnote w:id="127">
    <w:p w14:paraId="5EBBECD0" w14:textId="49EA2196" w:rsidR="00D073EC" w:rsidRDefault="00D073EC">
      <w:pPr>
        <w:pStyle w:val="FootnoteText"/>
      </w:pPr>
      <w:r>
        <w:rPr>
          <w:rStyle w:val="FootnoteReference"/>
        </w:rPr>
        <w:footnoteRef/>
      </w:r>
      <w:r>
        <w:t xml:space="preserve"> </w:t>
      </w:r>
      <w:r w:rsidRPr="000A0347">
        <w:t>Rudman, L.A., Phelan, J.E. The Interpersonal Power of Feminism: Is Feminism Good for Romantic Relationships?. Sex Roles 57, 787–799 (2007).</w:t>
      </w:r>
      <w:r>
        <w:t xml:space="preserve"> </w:t>
      </w:r>
      <w:hyperlink r:id="rId83" w:history="1">
        <w:r>
          <w:rPr>
            <w:rStyle w:val="Hyperlink"/>
          </w:rPr>
          <w:t>The Interpersonal Power of Feminism: Is Feminism Good for Romantic Relationships? | SpringerLink</w:t>
        </w:r>
      </w:hyperlink>
    </w:p>
  </w:footnote>
  <w:footnote w:id="128">
    <w:p w14:paraId="390B6F00" w14:textId="77777777" w:rsidR="00D073EC" w:rsidRPr="00B13713" w:rsidRDefault="00D073EC" w:rsidP="00B13713">
      <w:pPr>
        <w:pStyle w:val="FootnoteText"/>
        <w:rPr>
          <w:rStyle w:val="Hyperlink"/>
        </w:rPr>
      </w:pPr>
      <w:r>
        <w:rPr>
          <w:rStyle w:val="FootnoteReference"/>
        </w:rPr>
        <w:footnoteRef/>
      </w:r>
      <w:r>
        <w:t xml:space="preserve"> WGEA, </w:t>
      </w:r>
      <w:r w:rsidRPr="00BF74CA">
        <w:t>Workplace gender equality: the business case</w:t>
      </w:r>
      <w:r>
        <w:t xml:space="preserve">, 12 November 2018, </w:t>
      </w:r>
      <w:hyperlink r:id="rId84" w:history="1">
        <w:r>
          <w:rPr>
            <w:rStyle w:val="Hyperlink"/>
          </w:rPr>
          <w:t>Workplace gender equality: the business case | WGEA</w:t>
        </w:r>
      </w:hyperlink>
      <w:r>
        <w:rPr>
          <w:rStyle w:val="Hyperlink"/>
        </w:rPr>
        <w:t xml:space="preserve">; </w:t>
      </w:r>
      <w:r w:rsidRPr="00B13713">
        <w:rPr>
          <w:rStyle w:val="Hyperlink"/>
        </w:rPr>
        <w:t xml:space="preserve">Diversity Council Australia (M. Flood, G. Russell, J. O’Leary </w:t>
      </w:r>
    </w:p>
    <w:p w14:paraId="06AE3276" w14:textId="77777777" w:rsidR="00D073EC" w:rsidRPr="00B13713" w:rsidRDefault="00D073EC" w:rsidP="00B13713">
      <w:pPr>
        <w:pStyle w:val="FootnoteText"/>
        <w:rPr>
          <w:rStyle w:val="Hyperlink"/>
        </w:rPr>
      </w:pPr>
      <w:r w:rsidRPr="00B13713">
        <w:rPr>
          <w:rStyle w:val="Hyperlink"/>
        </w:rPr>
        <w:t xml:space="preserve">and C. Brown), Men Make a Difference: How to Engage Men on Gender Equality, </w:t>
      </w:r>
    </w:p>
    <w:p w14:paraId="6A78D46E" w14:textId="2B01BC00" w:rsidR="00D073EC" w:rsidRDefault="00D073EC" w:rsidP="00B13713">
      <w:pPr>
        <w:pStyle w:val="FootnoteText"/>
      </w:pPr>
      <w:r w:rsidRPr="00B13713">
        <w:rPr>
          <w:rStyle w:val="Hyperlink"/>
        </w:rPr>
        <w:t>Synopsis Report, Sydney, Diversity Council Australia, 2017</w:t>
      </w:r>
      <w:r>
        <w:rPr>
          <w:rStyle w:val="Hyperlink"/>
        </w:rPr>
        <w:t xml:space="preserve">; </w:t>
      </w:r>
      <w:r w:rsidRPr="00B13713">
        <w:rPr>
          <w:rStyle w:val="Hyperlink"/>
        </w:rPr>
        <w:t>Croft, A., Atkinson, C., &amp; May, A. M. (2021). Promoting Gender Equality by Supporting Men’s Emotional Flexibility. Policy Insights from the Behavioral and Brain Sciences, 8(1), 42–49. https://doi.org/10.1177/2372732220984491</w:t>
      </w:r>
    </w:p>
  </w:footnote>
  <w:footnote w:id="129">
    <w:p w14:paraId="239E412E" w14:textId="77777777" w:rsidR="00D073EC" w:rsidRDefault="00D073EC" w:rsidP="00C56531">
      <w:pPr>
        <w:pStyle w:val="FootnoteText"/>
      </w:pPr>
      <w:r>
        <w:rPr>
          <w:rStyle w:val="FootnoteReference"/>
        </w:rPr>
        <w:footnoteRef/>
      </w:r>
      <w:r>
        <w:t xml:space="preserve"> Duncan AS, Mavisakalyan A and Salazar S (2022), Gender Equity Insights 2022: The State of </w:t>
      </w:r>
    </w:p>
    <w:p w14:paraId="387A7D3E" w14:textId="4B353A94" w:rsidR="00D073EC" w:rsidRDefault="00D073EC" w:rsidP="00C56531">
      <w:pPr>
        <w:pStyle w:val="FootnoteText"/>
      </w:pPr>
      <w:r>
        <w:t xml:space="preserve">Inequality in Australia, BCEC|WGEA Gender Equity Series, Issue #7, October 2022 </w:t>
      </w:r>
      <w:hyperlink r:id="rId85" w:history="1">
        <w:r w:rsidRPr="00935563">
          <w:rPr>
            <w:rStyle w:val="Hyperlink"/>
          </w:rPr>
          <w:t>https://www.wgea.gov.au/sites/default/files/documents/BCEC_WGEA_Gender_Equity_Insights_Report_2022_WEB.pdf</w:t>
        </w:r>
      </w:hyperlink>
      <w:r>
        <w:t xml:space="preserve"> </w:t>
      </w:r>
    </w:p>
  </w:footnote>
  <w:footnote w:id="130">
    <w:p w14:paraId="4E2381F9" w14:textId="77777777" w:rsidR="00D073EC" w:rsidRDefault="00D073EC">
      <w:pPr>
        <w:pStyle w:val="FootnoteText"/>
      </w:pPr>
      <w:r>
        <w:rPr>
          <w:rStyle w:val="FootnoteReference"/>
        </w:rPr>
        <w:footnoteRef/>
      </w:r>
      <w:r>
        <w:t xml:space="preserve"> WGEA ‘</w:t>
      </w:r>
      <w:r w:rsidRPr="0032485F">
        <w:t>Fourth edition of the She's Price(d)less report released</w:t>
      </w:r>
      <w:r>
        <w:t xml:space="preserve">’, 13 July 2022, </w:t>
      </w:r>
      <w:hyperlink r:id="rId86" w:history="1">
        <w:r w:rsidRPr="006E5D1A">
          <w:rPr>
            <w:rStyle w:val="Hyperlink"/>
          </w:rPr>
          <w:t>https://www.wgea.gov.au/publications/fourth-edition-of-the-shes-pricedless-report-released</w:t>
        </w:r>
      </w:hyperlink>
    </w:p>
  </w:footnote>
  <w:footnote w:id="131">
    <w:p w14:paraId="433E0E1D" w14:textId="673F8BA6" w:rsidR="00D073EC" w:rsidRDefault="00D073EC" w:rsidP="009521B6">
      <w:pPr>
        <w:pStyle w:val="FootnoteText"/>
      </w:pPr>
      <w:r>
        <w:rPr>
          <w:rStyle w:val="FootnoteReference"/>
        </w:rPr>
        <w:footnoteRef/>
      </w:r>
      <w:r>
        <w:t xml:space="preserve"> WGEA, </w:t>
      </w:r>
      <w:r>
        <w:rPr>
          <w:i/>
        </w:rPr>
        <w:t xml:space="preserve">The Business Case for Gender Equality, </w:t>
      </w:r>
      <w:r>
        <w:t xml:space="preserve">(November 2018) </w:t>
      </w:r>
      <w:hyperlink r:id="rId87" w:history="1">
        <w:r w:rsidRPr="00935563">
          <w:rPr>
            <w:rStyle w:val="Hyperlink"/>
          </w:rPr>
          <w:t>https://www.wgea.gov.au/sites/default/files/documents/wgea-business-case-for-gender-equality_0.pdf</w:t>
        </w:r>
      </w:hyperlink>
      <w:r>
        <w:t xml:space="preserve"> </w:t>
      </w:r>
    </w:p>
  </w:footnote>
  <w:footnote w:id="132">
    <w:p w14:paraId="3EB05483" w14:textId="77777777" w:rsidR="00D073EC" w:rsidRDefault="00D073EC" w:rsidP="00633D69">
      <w:pPr>
        <w:pStyle w:val="FootnoteText"/>
      </w:pPr>
      <w:r>
        <w:rPr>
          <w:rStyle w:val="FootnoteReference"/>
        </w:rPr>
        <w:footnoteRef/>
      </w:r>
      <w:r>
        <w:t xml:space="preserve"> WGEA, Gender Pay Gap Data, </w:t>
      </w:r>
      <w:hyperlink r:id="rId88" w:anchor=":~:text=As%20of%20May%202022%2C%20women's,earned%20%24263.90%20less%20than%20men" w:history="1">
        <w:r w:rsidRPr="006E5D1A">
          <w:rPr>
            <w:rStyle w:val="Hyperlink"/>
          </w:rPr>
          <w:t>https://www.wgea.gov.au/pay-and-gender/gender-pay-gap-data#:~:text=As%20of%20May%202022%2C%20women's,earned%20%24263.90%20less%20than%20men</w:t>
        </w:r>
      </w:hyperlink>
      <w:r w:rsidRPr="00512D77">
        <w:t>.</w:t>
      </w:r>
      <w:r>
        <w:t xml:space="preserve"> </w:t>
      </w:r>
    </w:p>
  </w:footnote>
  <w:footnote w:id="133">
    <w:p w14:paraId="0DA70799" w14:textId="77777777" w:rsidR="00D073EC" w:rsidRPr="00037EE2" w:rsidRDefault="00D073EC" w:rsidP="004C7766">
      <w:pPr>
        <w:pStyle w:val="FootnoteText"/>
      </w:pPr>
      <w:r>
        <w:rPr>
          <w:rStyle w:val="FootnoteReference"/>
        </w:rPr>
        <w:footnoteRef/>
      </w:r>
      <w:r>
        <w:t xml:space="preserve"> Equity Economics, </w:t>
      </w:r>
      <w:r w:rsidRPr="00A51FB7">
        <w:t>Making Australia the Best P</w:t>
      </w:r>
      <w:r>
        <w:t xml:space="preserve">lace in the World to be a Parent (2021) </w:t>
      </w:r>
      <w:hyperlink r:id="rId89" w:history="1">
        <w:r>
          <w:rPr>
            <w:rStyle w:val="Hyperlink"/>
          </w:rPr>
          <w:t>https://www.equityeconomics.com.au/report-archive/how-australias-parenting-policies-are-failing-women-and-our-economy</w:t>
        </w:r>
      </w:hyperlink>
    </w:p>
  </w:footnote>
  <w:footnote w:id="134">
    <w:p w14:paraId="5BDB4289" w14:textId="19886464" w:rsidR="00D073EC" w:rsidRDefault="00D073EC">
      <w:pPr>
        <w:pStyle w:val="FootnoteText"/>
      </w:pPr>
      <w:r>
        <w:rPr>
          <w:rStyle w:val="FootnoteReference"/>
        </w:rPr>
        <w:footnoteRef/>
      </w:r>
      <w:r>
        <w:t xml:space="preserve"> </w:t>
      </w:r>
      <w:r w:rsidRPr="005A3D1F">
        <w:t>World Economic Forum</w:t>
      </w:r>
      <w:r>
        <w:t xml:space="preserve">, </w:t>
      </w:r>
      <w:r w:rsidRPr="00A64020">
        <w:rPr>
          <w:i/>
        </w:rPr>
        <w:t>Global Gender Pay Gap Repor</w:t>
      </w:r>
      <w:r>
        <w:t xml:space="preserve">t, (13 July 2022), </w:t>
      </w:r>
      <w:hyperlink r:id="rId90" w:anchor=":~:text=1.2.-,Global%20results,the%202021%20and%202022%20editions" w:history="1">
        <w:r w:rsidRPr="00935563">
          <w:rPr>
            <w:rStyle w:val="Hyperlink"/>
          </w:rPr>
          <w:t>https://www.weforum.org/reports/global-gender-gap-report-2022/in-full/1-benchmarking-gender-gaps-2022/#:~:text=1.2.-,Global%20results,the%202021%20and%202022%20editions</w:t>
        </w:r>
      </w:hyperlink>
      <w:r w:rsidRPr="00A64020">
        <w:t>.</w:t>
      </w:r>
      <w:r>
        <w:t xml:space="preserve"> </w:t>
      </w:r>
    </w:p>
  </w:footnote>
  <w:footnote w:id="135">
    <w:p w14:paraId="7415C3B7" w14:textId="4C8985F7" w:rsidR="00D073EC" w:rsidRDefault="00D073EC">
      <w:pPr>
        <w:pStyle w:val="FootnoteText"/>
      </w:pPr>
      <w:r>
        <w:rPr>
          <w:rStyle w:val="FootnoteReference"/>
        </w:rPr>
        <w:footnoteRef/>
      </w:r>
      <w:r>
        <w:t xml:space="preserve"> WGEA, The Business Case for Gender Equality, November 2018, </w:t>
      </w:r>
      <w:r w:rsidRPr="00447C9C">
        <w:t>https://www.wgea.gov.au/sites/default/files/documents/wgea-business-case-for-gender-equality_0.pdf</w:t>
      </w:r>
    </w:p>
  </w:footnote>
  <w:footnote w:id="136">
    <w:p w14:paraId="365AF69F" w14:textId="593DE934" w:rsidR="00D073EC" w:rsidRDefault="00D073EC">
      <w:pPr>
        <w:pStyle w:val="FootnoteText"/>
      </w:pPr>
      <w:r>
        <w:rPr>
          <w:rStyle w:val="FootnoteReference"/>
        </w:rPr>
        <w:footnoteRef/>
      </w:r>
      <w:r>
        <w:t xml:space="preserve"> </w:t>
      </w:r>
      <w:r w:rsidRPr="005A3D1F">
        <w:t>World Economic Forum</w:t>
      </w:r>
      <w:r>
        <w:t xml:space="preserve">, </w:t>
      </w:r>
      <w:r w:rsidRPr="00A64020">
        <w:rPr>
          <w:i/>
        </w:rPr>
        <w:t>Global Gender Pay Gap Repor</w:t>
      </w:r>
      <w:r>
        <w:t xml:space="preserve">t, (13 July 2022), </w:t>
      </w:r>
      <w:hyperlink r:id="rId91" w:anchor=":~:text=1.2.-,Global%20results,the%202021%20and%202022%20editions" w:history="1">
        <w:r w:rsidRPr="00935563">
          <w:rPr>
            <w:rStyle w:val="Hyperlink"/>
          </w:rPr>
          <w:t>https://www.weforum.org/reports/global-gender-gap-report-2022/in-full/1-benchmarking-gender-gaps-2022/#:~:text=1.2.-,Global%20results,the%202021%20and%202022%20editions</w:t>
        </w:r>
      </w:hyperlink>
      <w:r w:rsidRPr="00A64020">
        <w:t>.</w:t>
      </w:r>
      <w:r>
        <w:t xml:space="preserve">; WGEA, The Business Case for Gender Equality, November 2018, </w:t>
      </w:r>
      <w:r w:rsidRPr="00447C9C">
        <w:t>https://www.wgea.gov.au/sites/default/files/documents/wgea-business-case-for-gender-equality_0.pdf</w:t>
      </w:r>
    </w:p>
  </w:footnote>
  <w:footnote w:id="137">
    <w:p w14:paraId="05946654" w14:textId="77777777" w:rsidR="00D073EC" w:rsidRPr="00F6270C" w:rsidRDefault="00D073EC">
      <w:pPr>
        <w:pStyle w:val="FootnoteText"/>
        <w:rPr>
          <w:rFonts w:cstheme="minorHAnsi"/>
        </w:rPr>
      </w:pPr>
      <w:r w:rsidRPr="00F6270C">
        <w:rPr>
          <w:rStyle w:val="FootnoteReference"/>
          <w:rFonts w:cstheme="minorHAnsi"/>
        </w:rPr>
        <w:footnoteRef/>
      </w:r>
      <w:r w:rsidRPr="00F6270C">
        <w:rPr>
          <w:rFonts w:cstheme="minorHAnsi"/>
        </w:rPr>
        <w:t xml:space="preserve"> </w:t>
      </w:r>
      <w:r w:rsidRPr="00F6270C">
        <w:rPr>
          <w:rFonts w:cstheme="minorHAnsi"/>
          <w:color w:val="000000"/>
        </w:rPr>
        <w:t xml:space="preserve">Gender Equity Insights 2020: Delivering on Business Outcomes, </w:t>
      </w:r>
      <w:hyperlink r:id="rId92" w:history="1">
        <w:r w:rsidRPr="00F6270C">
          <w:rPr>
            <w:rStyle w:val="Hyperlink"/>
            <w:rFonts w:cstheme="minorHAnsi"/>
          </w:rPr>
          <w:t>https://bcec.edu.au/publications/gender-equity-insights-2020-delivering-the-business-outcomes/</w:t>
        </w:r>
      </w:hyperlink>
      <w:r w:rsidRPr="00F6270C">
        <w:rPr>
          <w:rFonts w:cstheme="minorHAnsi"/>
          <w:color w:val="000000"/>
        </w:rPr>
        <w:t xml:space="preserve"> </w:t>
      </w:r>
    </w:p>
  </w:footnote>
  <w:footnote w:id="138">
    <w:p w14:paraId="29264EDA" w14:textId="77777777" w:rsidR="00D073EC" w:rsidRDefault="00D073EC">
      <w:pPr>
        <w:pStyle w:val="FootnoteText"/>
      </w:pPr>
      <w:r w:rsidRPr="00F6270C">
        <w:rPr>
          <w:rStyle w:val="FootnoteReference"/>
          <w:rFonts w:cstheme="minorHAnsi"/>
        </w:rPr>
        <w:footnoteRef/>
      </w:r>
      <w:r w:rsidRPr="00F6270C">
        <w:rPr>
          <w:rFonts w:cstheme="minorHAnsi"/>
        </w:rPr>
        <w:t xml:space="preserve"> </w:t>
      </w:r>
      <w:r>
        <w:t xml:space="preserve">Department of Prime Minister and Cabinet ‘WGEA Review Report’ (2022) </w:t>
      </w:r>
      <w:hyperlink r:id="rId93" w:history="1">
        <w:r>
          <w:rPr>
            <w:rStyle w:val="Hyperlink"/>
          </w:rPr>
          <w:t>https://www.pmc.gov.au/resource-centre/office-women/wgea-review-report</w:t>
        </w:r>
      </w:hyperlink>
    </w:p>
  </w:footnote>
  <w:footnote w:id="139">
    <w:p w14:paraId="3DABCCB9" w14:textId="77777777" w:rsidR="00D073EC" w:rsidRDefault="00D073EC" w:rsidP="00761610">
      <w:pPr>
        <w:pStyle w:val="FootnoteText"/>
      </w:pPr>
      <w:r>
        <w:rPr>
          <w:rStyle w:val="FootnoteReference"/>
        </w:rPr>
        <w:footnoteRef/>
      </w:r>
      <w:r>
        <w:t xml:space="preserve"> WGEA ‘</w:t>
      </w:r>
      <w:r w:rsidRPr="0032485F">
        <w:t>Fourth edition of the She's Price(d)less report released</w:t>
      </w:r>
      <w:r>
        <w:t xml:space="preserve">’, 13 July 2022, </w:t>
      </w:r>
      <w:hyperlink r:id="rId94" w:history="1">
        <w:r w:rsidRPr="006E5D1A">
          <w:rPr>
            <w:rStyle w:val="Hyperlink"/>
          </w:rPr>
          <w:t>https://www.wgea.gov.au/publications/fourth-edition-of-the-shes-pricedless-report-released</w:t>
        </w:r>
      </w:hyperlink>
    </w:p>
  </w:footnote>
  <w:footnote w:id="140">
    <w:p w14:paraId="02D9B2A6" w14:textId="799A426E" w:rsidR="00D073EC" w:rsidRDefault="00D073EC" w:rsidP="00761610">
      <w:pPr>
        <w:pStyle w:val="FootnoteText"/>
      </w:pPr>
      <w:r>
        <w:rPr>
          <w:rStyle w:val="FootnoteReference"/>
        </w:rPr>
        <w:footnoteRef/>
      </w:r>
      <w:r>
        <w:t xml:space="preserve"> WGEA, </w:t>
      </w:r>
      <w:r>
        <w:rPr>
          <w:i/>
        </w:rPr>
        <w:t xml:space="preserve">The Business Case for Gender Equality, </w:t>
      </w:r>
      <w:r>
        <w:t xml:space="preserve">(November 2018) </w:t>
      </w:r>
      <w:hyperlink r:id="rId95" w:history="1">
        <w:r w:rsidRPr="00935563">
          <w:rPr>
            <w:rStyle w:val="Hyperlink"/>
          </w:rPr>
          <w:t>https://www.wgea.gov.au/sites/default/files/documents/wgea-business-case-for-gender-equality_0.pdf</w:t>
        </w:r>
      </w:hyperlink>
      <w:r>
        <w:t xml:space="preserve"> </w:t>
      </w:r>
    </w:p>
  </w:footnote>
  <w:footnote w:id="141">
    <w:p w14:paraId="74A72AD2" w14:textId="77777777" w:rsidR="00D073EC" w:rsidRDefault="00D073EC" w:rsidP="00761610">
      <w:pPr>
        <w:pStyle w:val="FootnoteText"/>
      </w:pPr>
      <w:r>
        <w:rPr>
          <w:rStyle w:val="FootnoteReference"/>
        </w:rPr>
        <w:footnoteRef/>
      </w:r>
      <w:r>
        <w:t xml:space="preserve"> WGEA, Gender Pay Gap Data, </w:t>
      </w:r>
      <w:hyperlink r:id="rId96" w:anchor=":~:text=As%20of%20May%202022%2C%20women's,earned%20%24263.90%20less%20than%20men" w:history="1">
        <w:r w:rsidRPr="006E5D1A">
          <w:rPr>
            <w:rStyle w:val="Hyperlink"/>
          </w:rPr>
          <w:t>https://www.wgea.gov.au/pay-and-gender/gender-pay-gap-data#:~:text=As%20of%20May%202022%2C%20women's,earned%20%24263.90%20less%20than%20men</w:t>
        </w:r>
      </w:hyperlink>
      <w:r w:rsidRPr="00512D77">
        <w:t>.</w:t>
      </w:r>
      <w:r>
        <w:t xml:space="preserve"> </w:t>
      </w:r>
    </w:p>
  </w:footnote>
  <w:footnote w:id="142">
    <w:p w14:paraId="4C22B40D" w14:textId="77777777" w:rsidR="00D073EC" w:rsidRDefault="00D073EC" w:rsidP="008F6F0E">
      <w:pPr>
        <w:pStyle w:val="FootnoteText"/>
      </w:pPr>
      <w:r>
        <w:rPr>
          <w:rStyle w:val="FootnoteReference"/>
        </w:rPr>
        <w:footnoteRef/>
      </w:r>
      <w:r>
        <w:t xml:space="preserve"> WGEA ‘She’s Price(d)less: The economics of the gender pay gap’ (2019) </w:t>
      </w:r>
      <w:hyperlink r:id="rId97" w:history="1">
        <w:r>
          <w:rPr>
            <w:rStyle w:val="Hyperlink"/>
          </w:rPr>
          <w:t>https://www.wgea.gov.au/publications/shes-pricedless-the-economics-of-the-gender-pay-gap</w:t>
        </w:r>
      </w:hyperlink>
      <w:r>
        <w:t>.</w:t>
      </w:r>
    </w:p>
  </w:footnote>
  <w:footnote w:id="143">
    <w:p w14:paraId="5AF31614" w14:textId="77777777" w:rsidR="00D073EC" w:rsidRDefault="00D073EC" w:rsidP="006655CC">
      <w:pPr>
        <w:pStyle w:val="FootnoteText"/>
      </w:pPr>
      <w:r>
        <w:rPr>
          <w:rStyle w:val="FootnoteReference"/>
        </w:rPr>
        <w:footnoteRef/>
      </w:r>
      <w:r>
        <w:t xml:space="preserve"> James Purtill ‘Gender Pay Gap Bot calls out brands tweeting about International Women’s Day while paying women less than men (ABC, 2022) </w:t>
      </w:r>
      <w:hyperlink r:id="rId98" w:history="1">
        <w:r>
          <w:rPr>
            <w:rStyle w:val="Hyperlink"/>
          </w:rPr>
          <w:t>https://www.abc.net.au/news/science/2022-03-11/gender-pay-gap-bot-international-womens-day-twitter/100898172</w:t>
        </w:r>
      </w:hyperlink>
      <w:r>
        <w:t xml:space="preserve">; Tomasz Oblo ‘Study finds “trade-off” between pay transparency and performance’ (Personnel Today, 2022) </w:t>
      </w:r>
      <w:hyperlink r:id="rId99" w:history="1">
        <w:r w:rsidRPr="00791063">
          <w:rPr>
            <w:rStyle w:val="Hyperlink"/>
          </w:rPr>
          <w:t>https://www.personneltoday.com/hr/study-finds-trade-off-between-pay-transparency-and-performance/</w:t>
        </w:r>
      </w:hyperlink>
    </w:p>
  </w:footnote>
  <w:footnote w:id="144">
    <w:p w14:paraId="3AA2EFFB" w14:textId="77777777" w:rsidR="00D073EC" w:rsidRDefault="00D073EC" w:rsidP="006655CC">
      <w:pPr>
        <w:pStyle w:val="FootnoteText"/>
      </w:pPr>
      <w:r>
        <w:rPr>
          <w:rStyle w:val="FootnoteReference"/>
        </w:rPr>
        <w:footnoteRef/>
      </w:r>
      <w:r>
        <w:t xml:space="preserve"> WGEA, Gender Pay Gap Data, </w:t>
      </w:r>
      <w:hyperlink r:id="rId100" w:anchor=":~:text=As%20of%20May%202022%2C%20women's,earned%20%24263.90%20less%20than%20men" w:history="1">
        <w:r w:rsidRPr="006E5D1A">
          <w:rPr>
            <w:rStyle w:val="Hyperlink"/>
          </w:rPr>
          <w:t>https://www.wgea.gov.au/pay-and-gender/gender-pay-gap-data#:~:text=As%20of%20May%202022%2C%20women's,earned%20%24263.90%20less%20than%20men</w:t>
        </w:r>
      </w:hyperlink>
      <w:r w:rsidRPr="00512D77">
        <w:t>.</w:t>
      </w:r>
      <w:r>
        <w:t xml:space="preserve"> </w:t>
      </w:r>
    </w:p>
  </w:footnote>
  <w:footnote w:id="145">
    <w:p w14:paraId="17DD4D8C" w14:textId="0C56B111" w:rsidR="00D073EC" w:rsidRDefault="00D073EC" w:rsidP="00947621">
      <w:pPr>
        <w:pStyle w:val="FootnoteText"/>
      </w:pPr>
      <w:r>
        <w:rPr>
          <w:rStyle w:val="FootnoteReference"/>
        </w:rPr>
        <w:footnoteRef/>
      </w:r>
      <w:r>
        <w:t xml:space="preserve"> Fitzsimmons, T.W., Yates, M.S. &amp; Callan, V.J. (2022). Experiences of COVID-19: The pandemic and work/life outcomes for Australian men and women. Brisbane: University of Queensland Business School, 106.</w:t>
      </w:r>
    </w:p>
  </w:footnote>
  <w:footnote w:id="146">
    <w:p w14:paraId="35917486" w14:textId="77777777" w:rsidR="00D073EC" w:rsidRDefault="00D073EC" w:rsidP="00E36959">
      <w:pPr>
        <w:pStyle w:val="FootnoteText"/>
      </w:pPr>
      <w:r>
        <w:rPr>
          <w:rStyle w:val="FootnoteReference"/>
        </w:rPr>
        <w:footnoteRef/>
      </w:r>
      <w:r>
        <w:t xml:space="preserve"> </w:t>
      </w:r>
      <w:r w:rsidRPr="00766330">
        <w:t xml:space="preserve">OECD (2012) Closing the Gender Gap: Act Now, OECD Publishing, </w:t>
      </w:r>
      <w:hyperlink r:id="rId101" w:history="1">
        <w:r w:rsidRPr="00AE5E59">
          <w:rPr>
            <w:rStyle w:val="Hyperlink"/>
          </w:rPr>
          <w:t>http://dx.doi.org/10.1787/9789264179370-en</w:t>
        </w:r>
      </w:hyperlink>
      <w:r>
        <w:t xml:space="preserve"> </w:t>
      </w:r>
    </w:p>
  </w:footnote>
  <w:footnote w:id="147">
    <w:p w14:paraId="2830082E" w14:textId="77777777" w:rsidR="00D073EC" w:rsidRDefault="00D073EC" w:rsidP="00E36959">
      <w:pPr>
        <w:pStyle w:val="FootnoteText"/>
      </w:pPr>
      <w:r>
        <w:rPr>
          <w:rStyle w:val="FootnoteReference"/>
        </w:rPr>
        <w:footnoteRef/>
      </w:r>
      <w:r>
        <w:t xml:space="preserve"> WGEA ‘Australia’s Gender Pay Gap Statistics’ (2022) </w:t>
      </w:r>
      <w:hyperlink r:id="rId102" w:history="1">
        <w:r>
          <w:rPr>
            <w:rStyle w:val="Hyperlink"/>
          </w:rPr>
          <w:t>https://www.wgea.gov.au/publications/australias-gender-pay-gap-statistics</w:t>
        </w:r>
      </w:hyperlink>
      <w:r>
        <w:t>.</w:t>
      </w:r>
    </w:p>
  </w:footnote>
  <w:footnote w:id="148">
    <w:p w14:paraId="1FF4B3C7" w14:textId="77777777" w:rsidR="00D073EC" w:rsidRDefault="00D073EC">
      <w:pPr>
        <w:pStyle w:val="FootnoteText"/>
      </w:pPr>
      <w:r>
        <w:rPr>
          <w:rStyle w:val="FootnoteReference"/>
        </w:rPr>
        <w:footnoteRef/>
      </w:r>
      <w:r>
        <w:t xml:space="preserve"> New York Times, ‘Twitter Bot Highlights Gender Pay Gap One Company at a Time’, </w:t>
      </w:r>
      <w:hyperlink r:id="rId103" w:history="1">
        <w:r w:rsidRPr="006E5D1A">
          <w:rPr>
            <w:rStyle w:val="Hyperlink"/>
          </w:rPr>
          <w:t>https://www.nytimes.com/2022/03/09/business/pay-gap-international-womens-day-twitter.html</w:t>
        </w:r>
      </w:hyperlink>
      <w:r>
        <w:t xml:space="preserve"> </w:t>
      </w:r>
    </w:p>
  </w:footnote>
  <w:footnote w:id="149">
    <w:p w14:paraId="09A18A73" w14:textId="25DFAF59" w:rsidR="00D073EC" w:rsidRDefault="00D073EC">
      <w:pPr>
        <w:pStyle w:val="FootnoteText"/>
      </w:pPr>
      <w:r>
        <w:rPr>
          <w:rStyle w:val="FootnoteReference"/>
        </w:rPr>
        <w:footnoteRef/>
      </w:r>
      <w:r>
        <w:t xml:space="preserve"> </w:t>
      </w:r>
      <w:r w:rsidRPr="00CB60C5">
        <w:t xml:space="preserve">Department of Prime Minister and Cabinet ‘WGEA Review Report’ (2022) </w:t>
      </w:r>
      <w:hyperlink r:id="rId104" w:history="1">
        <w:r w:rsidRPr="00935563">
          <w:rPr>
            <w:rStyle w:val="Hyperlink"/>
          </w:rPr>
          <w:t>https://www.pmc.gov.au/resource-centre/office-women/wgea-review-report</w:t>
        </w:r>
      </w:hyperlink>
      <w:r>
        <w:t xml:space="preserve"> </w:t>
      </w:r>
    </w:p>
  </w:footnote>
  <w:footnote w:id="150">
    <w:p w14:paraId="15491740" w14:textId="32C8439C" w:rsidR="00D073EC" w:rsidRDefault="00D073EC">
      <w:pPr>
        <w:pStyle w:val="FootnoteText"/>
      </w:pPr>
      <w:r>
        <w:rPr>
          <w:rStyle w:val="FootnoteReference"/>
        </w:rPr>
        <w:footnoteRef/>
      </w:r>
      <w:r>
        <w:t xml:space="preserve"> Ibid.</w:t>
      </w:r>
    </w:p>
  </w:footnote>
  <w:footnote w:id="151">
    <w:p w14:paraId="300DB1F1" w14:textId="717E85E7" w:rsidR="00D073EC" w:rsidRDefault="00D073EC">
      <w:pPr>
        <w:pStyle w:val="FootnoteText"/>
      </w:pPr>
      <w:r>
        <w:rPr>
          <w:rStyle w:val="FootnoteReference"/>
        </w:rPr>
        <w:footnoteRef/>
      </w:r>
      <w:r>
        <w:t xml:space="preserve"> </w:t>
      </w:r>
      <w:r w:rsidRPr="00D84E2A">
        <w:rPr>
          <w:szCs w:val="22"/>
        </w:rPr>
        <w:t xml:space="preserve">Department of Prime Minister and Cabinet ‘WGEA Review Report’ (2022) </w:t>
      </w:r>
      <w:hyperlink r:id="rId105" w:history="1">
        <w:r w:rsidRPr="00935563">
          <w:rPr>
            <w:rStyle w:val="Hyperlink"/>
            <w:sz w:val="22"/>
            <w:szCs w:val="22"/>
          </w:rPr>
          <w:t>https://www.pmc.gov.au/resource-centre/office-women/wgea-review-report</w:t>
        </w:r>
      </w:hyperlink>
      <w:r>
        <w:rPr>
          <w:sz w:val="22"/>
          <w:szCs w:val="22"/>
        </w:rPr>
        <w:t xml:space="preserve"> </w:t>
      </w:r>
    </w:p>
  </w:footnote>
  <w:footnote w:id="152">
    <w:p w14:paraId="18702D2A" w14:textId="18AE4D29" w:rsidR="00D073EC" w:rsidRDefault="00D073EC">
      <w:pPr>
        <w:pStyle w:val="FootnoteText"/>
      </w:pPr>
      <w:r>
        <w:rPr>
          <w:rStyle w:val="FootnoteReference"/>
        </w:rPr>
        <w:footnoteRef/>
      </w:r>
      <w:r>
        <w:t xml:space="preserve"> </w:t>
      </w:r>
      <w:r>
        <w:rPr>
          <w:sz w:val="22"/>
          <w:szCs w:val="22"/>
        </w:rPr>
        <w:t>Ibid.</w:t>
      </w:r>
    </w:p>
  </w:footnote>
  <w:footnote w:id="153">
    <w:p w14:paraId="22816A18" w14:textId="2E8E98FC" w:rsidR="00D073EC" w:rsidRPr="00421793" w:rsidRDefault="00D073EC" w:rsidP="005730F9">
      <w:pPr>
        <w:pStyle w:val="FootnoteText"/>
      </w:pPr>
      <w:r>
        <w:rPr>
          <w:rStyle w:val="FootnoteReference"/>
        </w:rPr>
        <w:footnoteRef/>
      </w:r>
      <w:r>
        <w:t xml:space="preserve"> Cristian L Dezso and David Gaddis Ross, </w:t>
      </w:r>
      <w:r>
        <w:rPr>
          <w:i/>
        </w:rPr>
        <w:t xml:space="preserve">Does Female Representation in Top Management Improve Firm Performance? A Panel Data Investigation </w:t>
      </w:r>
      <w:r>
        <w:t xml:space="preserve">(2012) </w:t>
      </w:r>
      <w:hyperlink r:id="rId106" w:history="1">
        <w:r w:rsidRPr="00935563">
          <w:rPr>
            <w:rStyle w:val="Hyperlink"/>
          </w:rPr>
          <w:t>https://www0.gsb.columbia.edu/mygsb/faculty/research/pubfiles/3063/female_representation.pdf</w:t>
        </w:r>
      </w:hyperlink>
      <w:r>
        <w:t xml:space="preserve"> </w:t>
      </w:r>
    </w:p>
  </w:footnote>
  <w:footnote w:id="154">
    <w:p w14:paraId="59CFD948" w14:textId="158745FE" w:rsidR="00D073EC" w:rsidRDefault="00D073EC" w:rsidP="005730F9">
      <w:pPr>
        <w:pStyle w:val="FootnoteText"/>
      </w:pPr>
      <w:r>
        <w:rPr>
          <w:rStyle w:val="FootnoteReference"/>
        </w:rPr>
        <w:footnoteRef/>
      </w:r>
      <w:r>
        <w:t xml:space="preserve"> McKinsey &amp; Company </w:t>
      </w:r>
      <w:r>
        <w:rPr>
          <w:i/>
        </w:rPr>
        <w:t>Diversity wins: How inclusion matters</w:t>
      </w:r>
      <w:r>
        <w:t xml:space="preserve">, (19 May 2020), </w:t>
      </w:r>
      <w:hyperlink r:id="rId107" w:history="1">
        <w:r>
          <w:rPr>
            <w:rStyle w:val="Hyperlink"/>
          </w:rPr>
          <w:t>How diversity, equity, and inclusion (DE&amp;I) matter | McKinsey</w:t>
        </w:r>
      </w:hyperlink>
    </w:p>
  </w:footnote>
  <w:footnote w:id="155">
    <w:p w14:paraId="15CF92B3" w14:textId="38839BBB" w:rsidR="00D073EC" w:rsidRDefault="00D073EC">
      <w:pPr>
        <w:pStyle w:val="FootnoteText"/>
      </w:pPr>
      <w:r>
        <w:rPr>
          <w:rStyle w:val="FootnoteReference"/>
        </w:rPr>
        <w:footnoteRef/>
      </w:r>
      <w:r>
        <w:t xml:space="preserve"> Media Release, </w:t>
      </w:r>
      <w:r>
        <w:rPr>
          <w:i/>
        </w:rPr>
        <w:t xml:space="preserve">More women at the top proves better for business, </w:t>
      </w:r>
      <w:hyperlink r:id="rId108" w:history="1">
        <w:r>
          <w:rPr>
            <w:rStyle w:val="Hyperlink"/>
          </w:rPr>
          <w:t>BCEC WGEA Media Release - More women at the top proves better for business.pdf</w:t>
        </w:r>
      </w:hyperlink>
    </w:p>
  </w:footnote>
  <w:footnote w:id="156">
    <w:p w14:paraId="573B93F3" w14:textId="410EBF4B" w:rsidR="00D073EC" w:rsidRDefault="00D073EC" w:rsidP="005730F9">
      <w:pPr>
        <w:pStyle w:val="FootnoteText"/>
      </w:pPr>
      <w:r>
        <w:rPr>
          <w:rStyle w:val="FootnoteReference"/>
        </w:rPr>
        <w:footnoteRef/>
      </w:r>
      <w:r>
        <w:t xml:space="preserve"> Dr Joanna Nash and Dr Ron Guido, Real Index Investments, </w:t>
      </w:r>
      <w:r>
        <w:rPr>
          <w:i/>
        </w:rPr>
        <w:t xml:space="preserve">Beyond lip service: tracking the impact of the gender diversity gap </w:t>
      </w:r>
      <w:r>
        <w:t xml:space="preserve">(12 May 2022) </w:t>
      </w:r>
      <w:hyperlink r:id="rId109" w:history="1">
        <w:r w:rsidRPr="00935563">
          <w:rPr>
            <w:rStyle w:val="Hyperlink"/>
          </w:rPr>
          <w:t>https://www.firstsentierinvestors.com.au/content/dam/web/australia/realindex/realindex-lipservice-report.pdf</w:t>
        </w:r>
      </w:hyperlink>
      <w:r>
        <w:t xml:space="preserve"> </w:t>
      </w:r>
    </w:p>
  </w:footnote>
  <w:footnote w:id="157">
    <w:p w14:paraId="23A7B097" w14:textId="217F2F99" w:rsidR="00D073EC" w:rsidRPr="00E25503" w:rsidRDefault="00D073EC" w:rsidP="005730F9">
      <w:pPr>
        <w:pStyle w:val="FootnoteText"/>
      </w:pPr>
      <w:r>
        <w:rPr>
          <w:rStyle w:val="FootnoteReference"/>
        </w:rPr>
        <w:footnoteRef/>
      </w:r>
      <w:r>
        <w:t xml:space="preserve"> McKinsey &amp; Company, </w:t>
      </w:r>
      <w:r w:rsidRPr="00E25503">
        <w:rPr>
          <w:i/>
        </w:rPr>
        <w:t>Diversity Matters</w:t>
      </w:r>
      <w:r>
        <w:rPr>
          <w:i/>
        </w:rPr>
        <w:t xml:space="preserve"> </w:t>
      </w:r>
      <w:r>
        <w:t xml:space="preserve">(2 February 2015), </w:t>
      </w:r>
      <w:hyperlink r:id="rId110" w:history="1">
        <w:r w:rsidRPr="00935563">
          <w:rPr>
            <w:rStyle w:val="Hyperlink"/>
          </w:rPr>
          <w:t>https://www.mckinsey.com/~/media/mckinsey/business%20functions/people%20and%20organizational%20performance/our%20insights/why%20diversity%20matters/diversity%20matters.pdf</w:t>
        </w:r>
      </w:hyperlink>
      <w:r>
        <w:t xml:space="preserve"> </w:t>
      </w:r>
    </w:p>
  </w:footnote>
  <w:footnote w:id="158">
    <w:p w14:paraId="689FE223" w14:textId="77777777" w:rsidR="00D073EC" w:rsidRDefault="00D073EC">
      <w:pPr>
        <w:pStyle w:val="FootnoteText"/>
      </w:pPr>
      <w:r>
        <w:rPr>
          <w:rStyle w:val="FootnoteReference"/>
        </w:rPr>
        <w:footnoteRef/>
      </w:r>
      <w:r>
        <w:t xml:space="preserve"> ANZCSO reporting changes will not be implemented as part of the current policy changes (and this </w:t>
      </w:r>
      <w:r>
        <w:rPr>
          <w:rFonts w:cstheme="minorHAnsi"/>
          <w:lang w:val="en-GB"/>
        </w:rPr>
        <w:t>IA</w:t>
      </w:r>
      <w:r>
        <w:t xml:space="preserve">), and will be incorporated into future implementation. </w:t>
      </w:r>
    </w:p>
  </w:footnote>
  <w:footnote w:id="159">
    <w:p w14:paraId="58B33DDE" w14:textId="5EE9FA5A" w:rsidR="00D073EC" w:rsidRDefault="00D073EC" w:rsidP="00746789">
      <w:pPr>
        <w:pStyle w:val="FootnoteText"/>
      </w:pPr>
      <w:r>
        <w:rPr>
          <w:rStyle w:val="FootnoteReference"/>
        </w:rPr>
        <w:footnoteRef/>
      </w:r>
      <w:r>
        <w:t xml:space="preserve"> John Daley ‘</w:t>
      </w:r>
      <w:r w:rsidRPr="005A4896">
        <w:t>Game-changers: Economic reform priorities for Australia</w:t>
      </w:r>
      <w:r>
        <w:t xml:space="preserve">’ (The Grattan Institute, 2012) </w:t>
      </w:r>
      <w:hyperlink r:id="rId111" w:history="1">
        <w:r>
          <w:rPr>
            <w:rStyle w:val="Hyperlink"/>
          </w:rPr>
          <w:t>Game-changers: Economic reform priorities for Australia - Grattan Institute</w:t>
        </w:r>
      </w:hyperlink>
    </w:p>
  </w:footnote>
  <w:footnote w:id="160">
    <w:p w14:paraId="505489DB" w14:textId="740C21AD" w:rsidR="00D073EC" w:rsidRDefault="00D073EC" w:rsidP="004A1687">
      <w:pPr>
        <w:pStyle w:val="FootnoteText"/>
      </w:pPr>
      <w:r>
        <w:rPr>
          <w:rStyle w:val="FootnoteReference"/>
        </w:rPr>
        <w:footnoteRef/>
      </w:r>
      <w:r>
        <w:t xml:space="preserve"> </w:t>
      </w:r>
      <w:r w:rsidRPr="004A1687">
        <w:t>Goldman Sachs, ‘Womenomics in Australia –</w:t>
      </w:r>
      <w:r>
        <w:t xml:space="preserve"> Some Progress, but More </w:t>
      </w:r>
      <w:r w:rsidRPr="004A1687">
        <w:t>Potential’</w:t>
      </w:r>
      <w:r>
        <w:t xml:space="preserve">, 26 November 2019, </w:t>
      </w:r>
      <w:hyperlink r:id="rId112" w:history="1">
        <w:r>
          <w:rPr>
            <w:rStyle w:val="Hyperlink"/>
          </w:rPr>
          <w:t>Australia and New Zealand Economics Analyst Womenomics in Australia – Some Progress, but More Potential (goldmansachs.com)</w:t>
        </w:r>
      </w:hyperlink>
      <w:r>
        <w:t xml:space="preserve"> </w:t>
      </w:r>
    </w:p>
  </w:footnote>
  <w:footnote w:id="161">
    <w:p w14:paraId="563976FE" w14:textId="77777777" w:rsidR="00D073EC" w:rsidRDefault="00D073EC" w:rsidP="003E295A">
      <w:pPr>
        <w:pStyle w:val="FootnoteText"/>
      </w:pPr>
      <w:r>
        <w:rPr>
          <w:rStyle w:val="FootnoteReference"/>
        </w:rPr>
        <w:footnoteRef/>
      </w:r>
      <w:r>
        <w:t xml:space="preserve"> John Daley ‘</w:t>
      </w:r>
      <w:r w:rsidRPr="005A4896">
        <w:t>Game-changers: Economic reform priorities for Australia</w:t>
      </w:r>
      <w:r>
        <w:t xml:space="preserve">’ (The Grattan Institute, 2012) </w:t>
      </w:r>
      <w:hyperlink r:id="rId113" w:history="1">
        <w:r>
          <w:rPr>
            <w:rStyle w:val="Hyperlink"/>
          </w:rPr>
          <w:t>Game-changers: Economic reform priorities for Australia - Grattan Institute</w:t>
        </w:r>
      </w:hyperlink>
    </w:p>
  </w:footnote>
  <w:footnote w:id="162">
    <w:p w14:paraId="7596BF58" w14:textId="77777777" w:rsidR="00D073EC" w:rsidRPr="00037EE2" w:rsidRDefault="00D073EC" w:rsidP="003E295A">
      <w:pPr>
        <w:pStyle w:val="FootnoteText"/>
      </w:pPr>
      <w:r>
        <w:rPr>
          <w:rStyle w:val="FootnoteReference"/>
        </w:rPr>
        <w:footnoteRef/>
      </w:r>
      <w:r>
        <w:t xml:space="preserve"> Equity Economics, </w:t>
      </w:r>
      <w:r w:rsidRPr="00A51FB7">
        <w:t>Making Australia the Best P</w:t>
      </w:r>
      <w:r>
        <w:t xml:space="preserve">lace in the World to be a Parent (2021) </w:t>
      </w:r>
      <w:hyperlink r:id="rId114" w:history="1">
        <w:r>
          <w:rPr>
            <w:rStyle w:val="Hyperlink"/>
          </w:rPr>
          <w:t>https://www.equityeconomics.com.au/report-archive/how-australias-parenting-policies-are-failing-women-and-our-economy</w:t>
        </w:r>
      </w:hyperlink>
    </w:p>
  </w:footnote>
  <w:footnote w:id="163">
    <w:p w14:paraId="33378157" w14:textId="77777777" w:rsidR="00D073EC" w:rsidRDefault="00D073EC" w:rsidP="00447284">
      <w:pPr>
        <w:pStyle w:val="FootnoteText"/>
      </w:pPr>
      <w:r>
        <w:rPr>
          <w:rStyle w:val="FootnoteReference"/>
        </w:rPr>
        <w:footnoteRef/>
      </w:r>
      <w:r>
        <w:t xml:space="preserve"> OECD ‘Can pay transparency tools close the gender wage gap’ (2021) </w:t>
      </w:r>
      <w:hyperlink r:id="rId115" w:history="1">
        <w:r w:rsidRPr="000C235A">
          <w:rPr>
            <w:rStyle w:val="Hyperlink"/>
          </w:rPr>
          <w:t>https://www.oecd.org/gender/Pay-Transparency-2021-Policy-Brief.pdf</w:t>
        </w:r>
      </w:hyperlink>
      <w:r>
        <w:t>.</w:t>
      </w:r>
    </w:p>
  </w:footnote>
  <w:footnote w:id="164">
    <w:p w14:paraId="7369AF82" w14:textId="77777777" w:rsidR="00D073EC" w:rsidRDefault="00D073EC" w:rsidP="00447284">
      <w:pPr>
        <w:pStyle w:val="FootnoteText"/>
      </w:pPr>
      <w:r>
        <w:rPr>
          <w:rStyle w:val="FootnoteReference"/>
        </w:rPr>
        <w:footnoteRef/>
      </w:r>
      <w:r>
        <w:t xml:space="preserve"> Department of Prime Minister and Cabinet ‘WGEA Review Report’ (2022) </w:t>
      </w:r>
      <w:hyperlink r:id="rId116" w:history="1">
        <w:r>
          <w:rPr>
            <w:rStyle w:val="Hyperlink"/>
          </w:rPr>
          <w:t>https://www.pmc.gov.au/resource-centre/office-women/wgea-review-report</w:t>
        </w:r>
      </w:hyperlink>
      <w:r>
        <w:t>.</w:t>
      </w:r>
    </w:p>
  </w:footnote>
  <w:footnote w:id="165">
    <w:p w14:paraId="387F0450" w14:textId="77777777" w:rsidR="00D073EC" w:rsidRPr="001F72D7" w:rsidRDefault="00D073EC" w:rsidP="00924E25">
      <w:pPr>
        <w:pStyle w:val="FootnoteText"/>
      </w:pPr>
      <w:r>
        <w:rPr>
          <w:rStyle w:val="FootnoteReference"/>
        </w:rPr>
        <w:footnoteRef/>
      </w:r>
      <w:r>
        <w:t xml:space="preserve"> </w:t>
      </w:r>
      <w:r w:rsidRPr="004A1687">
        <w:rPr>
          <w:rFonts w:cstheme="minorHAnsi"/>
          <w:sz w:val="18"/>
        </w:rPr>
        <w:t>The average annual growth rate of business/community organisations is calculated as the five-year average annual growth rate of number of businesses/ registered charities operating as at 30 June each year over the last five years (i.e. since 2016–17 FY). The ABS data was accessed on 18 October 2022 and the unpublished data from ACNC was received on 20 October 2022 via email communications.</w:t>
      </w:r>
    </w:p>
    <w:p w14:paraId="7BD55517" w14:textId="77777777" w:rsidR="00D073EC" w:rsidRDefault="00D073EC" w:rsidP="00924E2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5FDB" w14:textId="77777777" w:rsidR="00D96BFB" w:rsidRDefault="00D9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F2DE6" w14:textId="77777777" w:rsidR="00D96BFB" w:rsidRDefault="00D96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128F" w14:textId="77777777" w:rsidR="00D96BFB" w:rsidRDefault="00D9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2B3"/>
    <w:multiLevelType w:val="hybridMultilevel"/>
    <w:tmpl w:val="D6CE42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C51595"/>
    <w:multiLevelType w:val="hybridMultilevel"/>
    <w:tmpl w:val="3E803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C80A0C"/>
    <w:multiLevelType w:val="multilevel"/>
    <w:tmpl w:val="B3626C4E"/>
    <w:lvl w:ilvl="0">
      <w:start w:val="1"/>
      <w:numFmt w:val="bullet"/>
      <w:pStyle w:val="ListBulletLevel1"/>
      <w:lvlText w:val=""/>
      <w:lvlJc w:val="left"/>
      <w:pPr>
        <w:tabs>
          <w:tab w:val="num" w:pos="596"/>
        </w:tabs>
        <w:ind w:left="596" w:hanging="454"/>
      </w:pPr>
      <w:rPr>
        <w:rFonts w:ascii="Symbol" w:hAnsi="Symbol" w:hint="default"/>
        <w:color w:val="auto"/>
        <w:sz w:val="16"/>
        <w:szCs w:val="16"/>
      </w:rPr>
    </w:lvl>
    <w:lvl w:ilvl="1">
      <w:start w:val="1"/>
      <w:numFmt w:val="bullet"/>
      <w:pStyle w:val="ListBulletLevel2"/>
      <w:lvlText w:val=""/>
      <w:lvlJc w:val="left"/>
      <w:pPr>
        <w:tabs>
          <w:tab w:val="num" w:pos="1049"/>
        </w:tabs>
        <w:ind w:left="1049" w:hanging="453"/>
      </w:pPr>
      <w:rPr>
        <w:rFonts w:ascii="Symbol" w:hAnsi="Symbol" w:hint="default"/>
        <w:color w:val="auto"/>
        <w:sz w:val="16"/>
        <w:szCs w:val="16"/>
      </w:rPr>
    </w:lvl>
    <w:lvl w:ilvl="2">
      <w:start w:val="1"/>
      <w:numFmt w:val="none"/>
      <w:lvlText w:val=""/>
      <w:lvlJc w:val="left"/>
      <w:pPr>
        <w:tabs>
          <w:tab w:val="num" w:pos="1503"/>
        </w:tabs>
        <w:ind w:left="1503" w:hanging="454"/>
      </w:pPr>
      <w:rPr>
        <w:rFonts w:hint="default"/>
      </w:rPr>
    </w:lvl>
    <w:lvl w:ilvl="3">
      <w:start w:val="1"/>
      <w:numFmt w:val="none"/>
      <w:lvlText w:val=""/>
      <w:lvlJc w:val="left"/>
      <w:pPr>
        <w:ind w:left="1582" w:hanging="360"/>
      </w:pPr>
      <w:rPr>
        <w:rFonts w:hint="default"/>
      </w:rPr>
    </w:lvl>
    <w:lvl w:ilvl="4">
      <w:start w:val="1"/>
      <w:numFmt w:val="none"/>
      <w:lvlText w:val=""/>
      <w:lvlJc w:val="left"/>
      <w:pPr>
        <w:ind w:left="1942" w:hanging="360"/>
      </w:pPr>
      <w:rPr>
        <w:rFonts w:hint="default"/>
      </w:rPr>
    </w:lvl>
    <w:lvl w:ilvl="5">
      <w:start w:val="1"/>
      <w:numFmt w:val="none"/>
      <w:lvlText w:val=""/>
      <w:lvlJc w:val="left"/>
      <w:pPr>
        <w:ind w:left="2302" w:hanging="360"/>
      </w:pPr>
      <w:rPr>
        <w:rFonts w:hint="default"/>
      </w:rPr>
    </w:lvl>
    <w:lvl w:ilvl="6">
      <w:start w:val="1"/>
      <w:numFmt w:val="none"/>
      <w:lvlText w:val=""/>
      <w:lvlJc w:val="left"/>
      <w:pPr>
        <w:ind w:left="2662" w:hanging="360"/>
      </w:pPr>
      <w:rPr>
        <w:rFonts w:hint="default"/>
      </w:rPr>
    </w:lvl>
    <w:lvl w:ilvl="7">
      <w:start w:val="1"/>
      <w:numFmt w:val="none"/>
      <w:lvlText w:val=""/>
      <w:lvlJc w:val="left"/>
      <w:pPr>
        <w:ind w:left="3022" w:hanging="360"/>
      </w:pPr>
      <w:rPr>
        <w:rFonts w:hint="default"/>
      </w:rPr>
    </w:lvl>
    <w:lvl w:ilvl="8">
      <w:start w:val="1"/>
      <w:numFmt w:val="none"/>
      <w:lvlText w:val=""/>
      <w:lvlJc w:val="left"/>
      <w:pPr>
        <w:ind w:left="3382" w:hanging="360"/>
      </w:pPr>
      <w:rPr>
        <w:rFonts w:hint="default"/>
      </w:rPr>
    </w:lvl>
  </w:abstractNum>
  <w:abstractNum w:abstractNumId="3" w15:restartNumberingAfterBreak="0">
    <w:nsid w:val="092B7346"/>
    <w:multiLevelType w:val="hybridMultilevel"/>
    <w:tmpl w:val="3972416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1738DE"/>
    <w:multiLevelType w:val="hybridMultilevel"/>
    <w:tmpl w:val="9FE46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B47CC"/>
    <w:multiLevelType w:val="multilevel"/>
    <w:tmpl w:val="4D784E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B59078C"/>
    <w:multiLevelType w:val="hybridMultilevel"/>
    <w:tmpl w:val="47304F88"/>
    <w:lvl w:ilvl="0" w:tplc="0C09000F">
      <w:start w:val="1"/>
      <w:numFmt w:val="decimal"/>
      <w:lvlText w:val="%1."/>
      <w:lvlJc w:val="left"/>
      <w:pPr>
        <w:ind w:left="720" w:hanging="360"/>
      </w:pPr>
      <w:rPr>
        <w:rFonts w:hint="default"/>
      </w:rPr>
    </w:lvl>
    <w:lvl w:ilvl="1" w:tplc="558C6F36">
      <w:numFmt w:val="bullet"/>
      <w:lvlText w:val="-"/>
      <w:lvlJc w:val="left"/>
      <w:pPr>
        <w:ind w:left="1440" w:hanging="360"/>
      </w:pPr>
      <w:rPr>
        <w:rFonts w:ascii="Calibri" w:eastAsia="Calibr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0A15EA"/>
    <w:multiLevelType w:val="hybridMultilevel"/>
    <w:tmpl w:val="C1C40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9B1530"/>
    <w:multiLevelType w:val="hybridMultilevel"/>
    <w:tmpl w:val="450AF5D8"/>
    <w:styleLink w:val="Numberedlist"/>
    <w:lvl w:ilvl="0" w:tplc="A6CEDA74">
      <w:start w:val="1"/>
      <w:numFmt w:val="decimal"/>
      <w:pStyle w:val="Numberedlist1stindent"/>
      <w:lvlText w:val="%1."/>
      <w:lvlJc w:val="left"/>
      <w:pPr>
        <w:tabs>
          <w:tab w:val="num" w:pos="397"/>
        </w:tabs>
        <w:ind w:left="397" w:hanging="397"/>
      </w:pPr>
      <w:rPr>
        <w:rFonts w:hint="default"/>
      </w:rPr>
    </w:lvl>
    <w:lvl w:ilvl="1" w:tplc="51882E2C">
      <w:start w:val="1"/>
      <w:numFmt w:val="lowerLetter"/>
      <w:pStyle w:val="Numberedlist2ndindent"/>
      <w:lvlText w:val="%2."/>
      <w:lvlJc w:val="left"/>
      <w:pPr>
        <w:tabs>
          <w:tab w:val="num" w:pos="794"/>
        </w:tabs>
        <w:ind w:left="794" w:hanging="397"/>
      </w:pPr>
      <w:rPr>
        <w:rFonts w:hint="default"/>
      </w:rPr>
    </w:lvl>
    <w:lvl w:ilvl="2" w:tplc="A9A6CACA">
      <w:start w:val="1"/>
      <w:numFmt w:val="lowerRoman"/>
      <w:pStyle w:val="Numberedlist3rdindent"/>
      <w:lvlText w:val="%3."/>
      <w:lvlJc w:val="left"/>
      <w:pPr>
        <w:tabs>
          <w:tab w:val="num" w:pos="1191"/>
        </w:tabs>
        <w:ind w:left="1191" w:hanging="397"/>
      </w:pPr>
      <w:rPr>
        <w:rFonts w:hint="default"/>
      </w:rPr>
    </w:lvl>
    <w:lvl w:ilvl="3" w:tplc="1FF6A568">
      <w:start w:val="1"/>
      <w:numFmt w:val="decimal"/>
      <w:lvlText w:val="%4."/>
      <w:lvlJc w:val="left"/>
      <w:pPr>
        <w:tabs>
          <w:tab w:val="num" w:pos="1588"/>
        </w:tabs>
        <w:ind w:left="1588" w:hanging="397"/>
      </w:pPr>
      <w:rPr>
        <w:rFonts w:hint="default"/>
      </w:rPr>
    </w:lvl>
    <w:lvl w:ilvl="4" w:tplc="F3F47A78">
      <w:start w:val="1"/>
      <w:numFmt w:val="lowerLetter"/>
      <w:lvlText w:val="%5."/>
      <w:lvlJc w:val="left"/>
      <w:pPr>
        <w:tabs>
          <w:tab w:val="num" w:pos="1985"/>
        </w:tabs>
        <w:ind w:left="1985" w:hanging="397"/>
      </w:pPr>
      <w:rPr>
        <w:rFonts w:hint="default"/>
      </w:rPr>
    </w:lvl>
    <w:lvl w:ilvl="5" w:tplc="BD4ED3BC">
      <w:start w:val="1"/>
      <w:numFmt w:val="lowerRoman"/>
      <w:lvlText w:val="%6."/>
      <w:lvlJc w:val="left"/>
      <w:pPr>
        <w:tabs>
          <w:tab w:val="num" w:pos="2382"/>
        </w:tabs>
        <w:ind w:left="2382" w:hanging="397"/>
      </w:pPr>
      <w:rPr>
        <w:rFonts w:hint="default"/>
      </w:rPr>
    </w:lvl>
    <w:lvl w:ilvl="6" w:tplc="6FF6B572">
      <w:start w:val="1"/>
      <w:numFmt w:val="decimal"/>
      <w:lvlText w:val="%7."/>
      <w:lvlJc w:val="left"/>
      <w:pPr>
        <w:tabs>
          <w:tab w:val="num" w:pos="2779"/>
        </w:tabs>
        <w:ind w:left="2779" w:hanging="397"/>
      </w:pPr>
      <w:rPr>
        <w:rFonts w:hint="default"/>
      </w:rPr>
    </w:lvl>
    <w:lvl w:ilvl="7" w:tplc="7D42D89C">
      <w:start w:val="1"/>
      <w:numFmt w:val="lowerLetter"/>
      <w:lvlText w:val="%8."/>
      <w:lvlJc w:val="left"/>
      <w:pPr>
        <w:tabs>
          <w:tab w:val="num" w:pos="3176"/>
        </w:tabs>
        <w:ind w:left="3176" w:hanging="397"/>
      </w:pPr>
      <w:rPr>
        <w:rFonts w:hint="default"/>
      </w:rPr>
    </w:lvl>
    <w:lvl w:ilvl="8" w:tplc="63307CA0">
      <w:start w:val="1"/>
      <w:numFmt w:val="lowerRoman"/>
      <w:lvlText w:val="%9."/>
      <w:lvlJc w:val="left"/>
      <w:pPr>
        <w:tabs>
          <w:tab w:val="num" w:pos="3573"/>
        </w:tabs>
        <w:ind w:left="3573" w:hanging="397"/>
      </w:pPr>
      <w:rPr>
        <w:rFonts w:hint="default"/>
      </w:rPr>
    </w:lvl>
  </w:abstractNum>
  <w:abstractNum w:abstractNumId="9" w15:restartNumberingAfterBreak="0">
    <w:nsid w:val="13320AE0"/>
    <w:multiLevelType w:val="hybridMultilevel"/>
    <w:tmpl w:val="E0A47D5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AC3F12"/>
    <w:multiLevelType w:val="hybridMultilevel"/>
    <w:tmpl w:val="C1103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714E6B"/>
    <w:multiLevelType w:val="hybridMultilevel"/>
    <w:tmpl w:val="4BA45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8C466D"/>
    <w:multiLevelType w:val="multilevel"/>
    <w:tmpl w:val="11D22C94"/>
    <w:lvl w:ilvl="0">
      <w:start w:val="10"/>
      <w:numFmt w:val="decimal"/>
      <w:lvlText w:val="%1."/>
      <w:lvlJc w:val="left"/>
      <w:pPr>
        <w:ind w:left="765" w:hanging="405"/>
      </w:pPr>
      <w:rPr>
        <w:rFonts w:hint="default"/>
      </w:rPr>
    </w:lvl>
    <w:lvl w:ilvl="1">
      <w:start w:val="3"/>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784511A"/>
    <w:multiLevelType w:val="multilevel"/>
    <w:tmpl w:val="EA5E96EA"/>
    <w:numStyleLink w:val="KeyPoints"/>
  </w:abstractNum>
  <w:abstractNum w:abstractNumId="14" w15:restartNumberingAfterBreak="0">
    <w:nsid w:val="1C411ACB"/>
    <w:multiLevelType w:val="hybridMultilevel"/>
    <w:tmpl w:val="D83AD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657454"/>
    <w:multiLevelType w:val="hybridMultilevel"/>
    <w:tmpl w:val="17E07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A21764"/>
    <w:multiLevelType w:val="hybridMultilevel"/>
    <w:tmpl w:val="1EA2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DC29CC"/>
    <w:multiLevelType w:val="hybridMultilevel"/>
    <w:tmpl w:val="4B70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0D1876"/>
    <w:multiLevelType w:val="hybridMultilevel"/>
    <w:tmpl w:val="456E0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0A0D8C"/>
    <w:multiLevelType w:val="hybridMultilevel"/>
    <w:tmpl w:val="A2787DF2"/>
    <w:lvl w:ilvl="0" w:tplc="3C829B90">
      <w:start w:val="1"/>
      <w:numFmt w:val="decimal"/>
      <w:lvlText w:val="%1."/>
      <w:lvlJc w:val="left"/>
      <w:pPr>
        <w:ind w:left="720" w:hanging="360"/>
      </w:pPr>
      <w:rPr>
        <w:rFonts w:hint="default"/>
        <w:b w:val="0"/>
      </w:rPr>
    </w:lvl>
    <w:lvl w:ilvl="1" w:tplc="558C6F36">
      <w:numFmt w:val="bullet"/>
      <w:lvlText w:val="-"/>
      <w:lvlJc w:val="left"/>
      <w:pPr>
        <w:ind w:left="1440" w:hanging="360"/>
      </w:pPr>
      <w:rPr>
        <w:rFonts w:ascii="Calibri" w:eastAsia="Calibr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EE051F"/>
    <w:multiLevelType w:val="hybridMultilevel"/>
    <w:tmpl w:val="459266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4133F0"/>
    <w:multiLevelType w:val="hybridMultilevel"/>
    <w:tmpl w:val="F7BC73CA"/>
    <w:lvl w:ilvl="0" w:tplc="0C09000F">
      <w:start w:val="3"/>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67F15AE"/>
    <w:multiLevelType w:val="multilevel"/>
    <w:tmpl w:val="E6001A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3F14F3"/>
    <w:multiLevelType w:val="hybridMultilevel"/>
    <w:tmpl w:val="C088916C"/>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4" w15:restartNumberingAfterBreak="0">
    <w:nsid w:val="2AC327D5"/>
    <w:multiLevelType w:val="hybridMultilevel"/>
    <w:tmpl w:val="A15A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146823"/>
    <w:multiLevelType w:val="hybridMultilevel"/>
    <w:tmpl w:val="1110D5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14146C2"/>
    <w:multiLevelType w:val="multilevel"/>
    <w:tmpl w:val="6FC420C6"/>
    <w:lvl w:ilvl="0">
      <w:start w:val="1"/>
      <w:numFmt w:val="decimal"/>
      <w:lvlText w:val="%1."/>
      <w:lvlJc w:val="left"/>
      <w:pPr>
        <w:ind w:left="720" w:hanging="360"/>
      </w:pPr>
      <w:rPr>
        <w:rFonts w:asciiTheme="minorHAnsi" w:hAnsiTheme="minorHAnsi" w:cstheme="minorHAnsi" w:hint="default"/>
        <w:b w:val="0"/>
      </w:rPr>
    </w:lvl>
    <w:lvl w:ilvl="1">
      <w:start w:val="1"/>
      <w:numFmt w:val="decimal"/>
      <w:isLgl/>
      <w:lvlText w:val="%2."/>
      <w:lvlJc w:val="left"/>
      <w:pPr>
        <w:ind w:left="720" w:hanging="360"/>
      </w:pPr>
      <w:rPr>
        <w:rFonts w:ascii="Calibri Light" w:eastAsia="Calibri Light" w:hAnsi="Calibri Light" w:cs="Calibri Ligh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555462C"/>
    <w:multiLevelType w:val="hybridMultilevel"/>
    <w:tmpl w:val="AC466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9" w15:restartNumberingAfterBreak="0">
    <w:nsid w:val="39960093"/>
    <w:multiLevelType w:val="hybridMultilevel"/>
    <w:tmpl w:val="70E44438"/>
    <w:lvl w:ilvl="0" w:tplc="A7CE27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E37E41"/>
    <w:multiLevelType w:val="hybridMultilevel"/>
    <w:tmpl w:val="96E68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D24646"/>
    <w:multiLevelType w:val="multilevel"/>
    <w:tmpl w:val="6CA0A368"/>
    <w:lvl w:ilvl="0">
      <w:start w:val="12"/>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AF76880"/>
    <w:multiLevelType w:val="hybridMultilevel"/>
    <w:tmpl w:val="99D40A1C"/>
    <w:styleLink w:val="Bullets"/>
    <w:lvl w:ilvl="0" w:tplc="1F7C308E">
      <w:start w:val="1"/>
      <w:numFmt w:val="bullet"/>
      <w:lvlText w:val=""/>
      <w:lvlJc w:val="left"/>
      <w:pPr>
        <w:tabs>
          <w:tab w:val="num" w:pos="284"/>
        </w:tabs>
        <w:ind w:left="284" w:hanging="284"/>
      </w:pPr>
      <w:rPr>
        <w:rFonts w:ascii="Wingdings 3" w:hAnsi="Wingdings 3" w:hint="default"/>
        <w:b w:val="0"/>
        <w:i w:val="0"/>
        <w:color w:val="44546A" w:themeColor="text2"/>
      </w:rPr>
    </w:lvl>
    <w:lvl w:ilvl="1" w:tplc="0AA6CFA4">
      <w:start w:val="1"/>
      <w:numFmt w:val="bullet"/>
      <w:lvlText w:val="•"/>
      <w:lvlJc w:val="left"/>
      <w:pPr>
        <w:tabs>
          <w:tab w:val="num" w:pos="568"/>
        </w:tabs>
        <w:ind w:left="568" w:hanging="284"/>
      </w:pPr>
      <w:rPr>
        <w:rFonts w:asciiTheme="minorHAnsi" w:hAnsiTheme="minorHAnsi" w:hint="default"/>
        <w:b/>
        <w:color w:val="44546A" w:themeColor="text2"/>
      </w:rPr>
    </w:lvl>
    <w:lvl w:ilvl="2" w:tplc="758ABE24">
      <w:start w:val="1"/>
      <w:numFmt w:val="bullet"/>
      <w:lvlText w:val=""/>
      <w:lvlJc w:val="left"/>
      <w:pPr>
        <w:tabs>
          <w:tab w:val="num" w:pos="852"/>
        </w:tabs>
        <w:ind w:left="852" w:hanging="284"/>
      </w:pPr>
      <w:rPr>
        <w:rFonts w:ascii="Wingdings 2" w:hAnsi="Wingdings 2" w:hint="default"/>
        <w:color w:val="44546A" w:themeColor="text2"/>
        <w:position w:val="-3"/>
      </w:rPr>
    </w:lvl>
    <w:lvl w:ilvl="3" w:tplc="EB3AA5B6">
      <w:start w:val="1"/>
      <w:numFmt w:val="bullet"/>
      <w:pStyle w:val="Bullets4thindent"/>
      <w:lvlText w:val="–"/>
      <w:lvlJc w:val="left"/>
      <w:pPr>
        <w:tabs>
          <w:tab w:val="num" w:pos="1136"/>
        </w:tabs>
        <w:ind w:left="1136" w:hanging="284"/>
      </w:pPr>
      <w:rPr>
        <w:rFonts w:asciiTheme="minorHAnsi" w:hAnsiTheme="minorHAnsi" w:hint="default"/>
        <w:color w:val="000000" w:themeColor="text1"/>
      </w:rPr>
    </w:lvl>
    <w:lvl w:ilvl="4" w:tplc="A538DA90">
      <w:start w:val="1"/>
      <w:numFmt w:val="bullet"/>
      <w:lvlText w:val=""/>
      <w:lvlJc w:val="left"/>
      <w:pPr>
        <w:tabs>
          <w:tab w:val="num" w:pos="1420"/>
        </w:tabs>
        <w:ind w:left="1420" w:hanging="284"/>
      </w:pPr>
      <w:rPr>
        <w:rFonts w:ascii="Wingdings 3" w:hAnsi="Wingdings 3" w:hint="default"/>
        <w:color w:val="44546A" w:themeColor="text2"/>
      </w:rPr>
    </w:lvl>
    <w:lvl w:ilvl="5" w:tplc="415A78A4">
      <w:start w:val="1"/>
      <w:numFmt w:val="bullet"/>
      <w:lvlText w:val="•"/>
      <w:lvlJc w:val="left"/>
      <w:pPr>
        <w:tabs>
          <w:tab w:val="num" w:pos="1701"/>
        </w:tabs>
        <w:ind w:left="1701" w:hanging="281"/>
      </w:pPr>
      <w:rPr>
        <w:rFonts w:asciiTheme="minorHAnsi" w:hAnsiTheme="minorHAnsi" w:hint="default"/>
        <w:b/>
        <w:color w:val="44546A" w:themeColor="text2"/>
      </w:rPr>
    </w:lvl>
    <w:lvl w:ilvl="6" w:tplc="C276B9A8">
      <w:start w:val="1"/>
      <w:numFmt w:val="bullet"/>
      <w:lvlText w:val=""/>
      <w:lvlJc w:val="left"/>
      <w:pPr>
        <w:tabs>
          <w:tab w:val="num" w:pos="1985"/>
        </w:tabs>
        <w:ind w:left="1985" w:hanging="284"/>
      </w:pPr>
      <w:rPr>
        <w:rFonts w:ascii="Wingdings 2" w:hAnsi="Wingdings 2" w:hint="default"/>
        <w:color w:val="44546A" w:themeColor="text2"/>
        <w:position w:val="-3"/>
      </w:rPr>
    </w:lvl>
    <w:lvl w:ilvl="7" w:tplc="D6DE79CC">
      <w:start w:val="1"/>
      <w:numFmt w:val="bullet"/>
      <w:lvlText w:val="–"/>
      <w:lvlJc w:val="left"/>
      <w:pPr>
        <w:tabs>
          <w:tab w:val="num" w:pos="2272"/>
        </w:tabs>
        <w:ind w:left="2272" w:hanging="284"/>
      </w:pPr>
      <w:rPr>
        <w:rFonts w:asciiTheme="minorHAnsi" w:hAnsiTheme="minorHAnsi" w:hint="default"/>
        <w:color w:val="000000" w:themeColor="text1"/>
      </w:rPr>
    </w:lvl>
    <w:lvl w:ilvl="8" w:tplc="0C64D6EA">
      <w:start w:val="1"/>
      <w:numFmt w:val="bullet"/>
      <w:lvlText w:val=""/>
      <w:lvlJc w:val="left"/>
      <w:pPr>
        <w:tabs>
          <w:tab w:val="num" w:pos="2556"/>
        </w:tabs>
        <w:ind w:left="2556" w:hanging="284"/>
      </w:pPr>
      <w:rPr>
        <w:rFonts w:ascii="Wingdings 3" w:hAnsi="Wingdings 3" w:hint="default"/>
        <w:color w:val="44546A" w:themeColor="text2"/>
      </w:rPr>
    </w:lvl>
  </w:abstractNum>
  <w:abstractNum w:abstractNumId="33" w15:restartNumberingAfterBreak="0">
    <w:nsid w:val="3C8E4D4C"/>
    <w:multiLevelType w:val="multilevel"/>
    <w:tmpl w:val="35FA2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743EC5"/>
    <w:multiLevelType w:val="hybridMultilevel"/>
    <w:tmpl w:val="9AF42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062683"/>
    <w:multiLevelType w:val="hybridMultilevel"/>
    <w:tmpl w:val="F85EE67E"/>
    <w:lvl w:ilvl="0" w:tplc="5B08CD5A">
      <w:start w:val="1"/>
      <w:numFmt w:val="lowerLetter"/>
      <w:lvlText w:val="%1)"/>
      <w:lvlJc w:val="left"/>
      <w:pPr>
        <w:ind w:left="720" w:hanging="360"/>
      </w:pPr>
      <w:rPr>
        <w:rFonts w:ascii="Calibri" w:eastAsia="Calibri" w:hAnsi="Calibri" w:cs="Calibri"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15E6DA0"/>
    <w:multiLevelType w:val="multilevel"/>
    <w:tmpl w:val="C49C0E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2F5659E"/>
    <w:multiLevelType w:val="hybridMultilevel"/>
    <w:tmpl w:val="6602B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F70715"/>
    <w:multiLevelType w:val="multilevel"/>
    <w:tmpl w:val="929E2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3" w:hanging="360"/>
      </w:pPr>
      <w:rPr>
        <w:rFonts w:hint="default"/>
      </w:rPr>
    </w:lvl>
    <w:lvl w:ilvl="2">
      <w:start w:val="1"/>
      <w:numFmt w:val="bullet"/>
      <w:lvlText w:val=""/>
      <w:lvlJc w:val="left"/>
      <w:pPr>
        <w:tabs>
          <w:tab w:val="num" w:pos="1210"/>
        </w:tabs>
        <w:ind w:left="121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AE6906"/>
    <w:multiLevelType w:val="hybridMultilevel"/>
    <w:tmpl w:val="C6BCC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DF575D1"/>
    <w:multiLevelType w:val="hybridMultilevel"/>
    <w:tmpl w:val="553444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F2C7E9D"/>
    <w:multiLevelType w:val="hybridMultilevel"/>
    <w:tmpl w:val="48068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615F8E"/>
    <w:multiLevelType w:val="hybridMultilevel"/>
    <w:tmpl w:val="1FBCD28E"/>
    <w:lvl w:ilvl="0" w:tplc="4AFCFD22">
      <w:start w:val="1"/>
      <w:numFmt w:val="upperLetter"/>
      <w:pStyle w:val="SectionHeading"/>
      <w:lvlText w:val="Section %1:"/>
      <w:lvlJc w:val="left"/>
      <w:pPr>
        <w:ind w:left="720" w:hanging="360"/>
      </w:pPr>
      <w:rPr>
        <w:rFonts w:ascii="Foundry Sterling Bold" w:hAnsi="Foundry Sterling Bold" w:hint="default"/>
        <w:color w:val="FFFFFF" w:themeColor="background1"/>
        <w:sz w:val="7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BE256C"/>
    <w:multiLevelType w:val="hybridMultilevel"/>
    <w:tmpl w:val="D8B052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2E722B6"/>
    <w:multiLevelType w:val="hybridMultilevel"/>
    <w:tmpl w:val="C414C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3C57DF4"/>
    <w:multiLevelType w:val="hybridMultilevel"/>
    <w:tmpl w:val="9670CFE4"/>
    <w:lvl w:ilvl="0" w:tplc="916C514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50D1C21"/>
    <w:multiLevelType w:val="hybridMultilevel"/>
    <w:tmpl w:val="ACA0FE26"/>
    <w:lvl w:ilvl="0" w:tplc="0C090001">
      <w:start w:val="1"/>
      <w:numFmt w:val="bullet"/>
      <w:lvlText w:val=""/>
      <w:lvlJc w:val="left"/>
      <w:pPr>
        <w:ind w:left="720" w:hanging="360"/>
      </w:pPr>
      <w:rPr>
        <w:rFonts w:ascii="Symbol" w:hAnsi="Symbol" w:hint="default"/>
      </w:rPr>
    </w:lvl>
    <w:lvl w:ilvl="1" w:tplc="BBE23D4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8950439"/>
    <w:multiLevelType w:val="multilevel"/>
    <w:tmpl w:val="6914BC70"/>
    <w:lvl w:ilvl="0">
      <w:start w:val="11"/>
      <w:numFmt w:val="none"/>
      <w:lvlText w:val="12."/>
      <w:lvlJc w:val="left"/>
      <w:pPr>
        <w:ind w:left="765" w:hanging="405"/>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59F1454C"/>
    <w:multiLevelType w:val="hybridMultilevel"/>
    <w:tmpl w:val="83781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105EC8"/>
    <w:multiLevelType w:val="hybridMultilevel"/>
    <w:tmpl w:val="E6504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8A3527"/>
    <w:multiLevelType w:val="hybridMultilevel"/>
    <w:tmpl w:val="5C1E6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B534036"/>
    <w:multiLevelType w:val="multilevel"/>
    <w:tmpl w:val="36C4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2419DE"/>
    <w:multiLevelType w:val="hybridMultilevel"/>
    <w:tmpl w:val="F85EE67E"/>
    <w:lvl w:ilvl="0" w:tplc="5B08CD5A">
      <w:start w:val="1"/>
      <w:numFmt w:val="lowerLetter"/>
      <w:lvlText w:val="%1)"/>
      <w:lvlJc w:val="left"/>
      <w:pPr>
        <w:ind w:left="720" w:hanging="360"/>
      </w:pPr>
      <w:rPr>
        <w:rFonts w:ascii="Calibri" w:eastAsia="Calibri" w:hAnsi="Calibri" w:cs="Calibri"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4" w15:restartNumberingAfterBreak="0">
    <w:nsid w:val="61D57D3A"/>
    <w:multiLevelType w:val="multilevel"/>
    <w:tmpl w:val="65ACDF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color w:val="2E74B5" w:themeColor="accent1" w:themeShade="BF"/>
      </w:rPr>
    </w:lvl>
    <w:lvl w:ilvl="2">
      <w:start w:val="1"/>
      <w:numFmt w:val="decimal"/>
      <w:isLgl/>
      <w:lvlText w:val="%1.%2.%3."/>
      <w:lvlJc w:val="left"/>
      <w:pPr>
        <w:ind w:left="1080" w:hanging="720"/>
      </w:pPr>
      <w:rPr>
        <w:rFonts w:asciiTheme="majorHAnsi" w:eastAsiaTheme="majorEastAsia" w:hAnsiTheme="majorHAnsi" w:cstheme="majorBidi" w:hint="default"/>
        <w:color w:val="2E74B5" w:themeColor="accent1" w:themeShade="BF"/>
      </w:rPr>
    </w:lvl>
    <w:lvl w:ilvl="3">
      <w:start w:val="1"/>
      <w:numFmt w:val="decimal"/>
      <w:isLgl/>
      <w:lvlText w:val="%1.%2.%3.%4."/>
      <w:lvlJc w:val="left"/>
      <w:pPr>
        <w:ind w:left="1080" w:hanging="720"/>
      </w:pPr>
      <w:rPr>
        <w:rFonts w:asciiTheme="majorHAnsi" w:eastAsiaTheme="majorEastAsia" w:hAnsiTheme="majorHAnsi" w:cstheme="majorBidi" w:hint="default"/>
        <w:color w:val="2E74B5" w:themeColor="accent1" w:themeShade="BF"/>
      </w:rPr>
    </w:lvl>
    <w:lvl w:ilvl="4">
      <w:start w:val="1"/>
      <w:numFmt w:val="decimal"/>
      <w:isLgl/>
      <w:lvlText w:val="%1.%2.%3.%4.%5."/>
      <w:lvlJc w:val="left"/>
      <w:pPr>
        <w:ind w:left="1440" w:hanging="1080"/>
      </w:pPr>
      <w:rPr>
        <w:rFonts w:asciiTheme="majorHAnsi" w:eastAsiaTheme="majorEastAsia" w:hAnsiTheme="majorHAnsi" w:cstheme="majorBidi" w:hint="default"/>
        <w:color w:val="2E74B5" w:themeColor="accent1" w:themeShade="BF"/>
      </w:rPr>
    </w:lvl>
    <w:lvl w:ilvl="5">
      <w:start w:val="1"/>
      <w:numFmt w:val="decimal"/>
      <w:isLgl/>
      <w:lvlText w:val="%1.%2.%3.%4.%5.%6."/>
      <w:lvlJc w:val="left"/>
      <w:pPr>
        <w:ind w:left="1440" w:hanging="1080"/>
      </w:pPr>
      <w:rPr>
        <w:rFonts w:asciiTheme="majorHAnsi" w:eastAsiaTheme="majorEastAsia" w:hAnsiTheme="majorHAnsi" w:cstheme="majorBidi" w:hint="default"/>
        <w:color w:val="2E74B5" w:themeColor="accent1" w:themeShade="BF"/>
      </w:rPr>
    </w:lvl>
    <w:lvl w:ilvl="6">
      <w:start w:val="1"/>
      <w:numFmt w:val="decimal"/>
      <w:isLgl/>
      <w:lvlText w:val="%1.%2.%3.%4.%5.%6.%7."/>
      <w:lvlJc w:val="left"/>
      <w:pPr>
        <w:ind w:left="1800" w:hanging="1440"/>
      </w:pPr>
      <w:rPr>
        <w:rFonts w:asciiTheme="majorHAnsi" w:eastAsiaTheme="majorEastAsia" w:hAnsiTheme="majorHAnsi" w:cstheme="majorBidi" w:hint="default"/>
        <w:color w:val="2E74B5" w:themeColor="accent1" w:themeShade="BF"/>
      </w:rPr>
    </w:lvl>
    <w:lvl w:ilvl="7">
      <w:start w:val="1"/>
      <w:numFmt w:val="decimal"/>
      <w:isLgl/>
      <w:lvlText w:val="%1.%2.%3.%4.%5.%6.%7.%8."/>
      <w:lvlJc w:val="left"/>
      <w:pPr>
        <w:ind w:left="1800" w:hanging="1440"/>
      </w:pPr>
      <w:rPr>
        <w:rFonts w:asciiTheme="majorHAnsi" w:eastAsiaTheme="majorEastAsia" w:hAnsiTheme="majorHAnsi" w:cstheme="majorBidi" w:hint="default"/>
        <w:color w:val="2E74B5" w:themeColor="accent1" w:themeShade="BF"/>
      </w:rPr>
    </w:lvl>
    <w:lvl w:ilvl="8">
      <w:start w:val="1"/>
      <w:numFmt w:val="decimal"/>
      <w:isLgl/>
      <w:lvlText w:val="%1.%2.%3.%4.%5.%6.%7.%8.%9."/>
      <w:lvlJc w:val="left"/>
      <w:pPr>
        <w:ind w:left="2160" w:hanging="1800"/>
      </w:pPr>
      <w:rPr>
        <w:rFonts w:asciiTheme="majorHAnsi" w:eastAsiaTheme="majorEastAsia" w:hAnsiTheme="majorHAnsi" w:cstheme="majorBidi" w:hint="default"/>
        <w:color w:val="2E74B5" w:themeColor="accent1" w:themeShade="BF"/>
      </w:rPr>
    </w:lvl>
  </w:abstractNum>
  <w:abstractNum w:abstractNumId="55" w15:restartNumberingAfterBreak="0">
    <w:nsid w:val="62EE0A67"/>
    <w:multiLevelType w:val="hybridMultilevel"/>
    <w:tmpl w:val="92C64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50166E"/>
    <w:multiLevelType w:val="hybridMultilevel"/>
    <w:tmpl w:val="6DEC7D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685F467F"/>
    <w:multiLevelType w:val="hybridMultilevel"/>
    <w:tmpl w:val="7828F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A12731A"/>
    <w:multiLevelType w:val="hybridMultilevel"/>
    <w:tmpl w:val="EBA26C34"/>
    <w:lvl w:ilvl="0" w:tplc="F836D5B8">
      <w:start w:val="28"/>
      <w:numFmt w:val="bullet"/>
      <w:lvlText w:val="-"/>
      <w:lvlJc w:val="left"/>
      <w:pPr>
        <w:ind w:left="766" w:hanging="360"/>
      </w:pPr>
      <w:rPr>
        <w:rFonts w:ascii="Calibri" w:eastAsiaTheme="minorHAnsi" w:hAnsi="Calibri" w:cs="Calibri" w:hint="default"/>
        <w:color w:val="4D4D4D"/>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9" w15:restartNumberingAfterBreak="0">
    <w:nsid w:val="6A53429F"/>
    <w:multiLevelType w:val="hybridMultilevel"/>
    <w:tmpl w:val="23A25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AED57D7"/>
    <w:multiLevelType w:val="hybridMultilevel"/>
    <w:tmpl w:val="272AC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C3B55D6"/>
    <w:multiLevelType w:val="hybridMultilevel"/>
    <w:tmpl w:val="47304F88"/>
    <w:lvl w:ilvl="0" w:tplc="0C09000F">
      <w:start w:val="1"/>
      <w:numFmt w:val="decimal"/>
      <w:lvlText w:val="%1."/>
      <w:lvlJc w:val="left"/>
      <w:pPr>
        <w:ind w:left="720" w:hanging="360"/>
      </w:pPr>
      <w:rPr>
        <w:rFonts w:hint="default"/>
      </w:rPr>
    </w:lvl>
    <w:lvl w:ilvl="1" w:tplc="558C6F36">
      <w:numFmt w:val="bullet"/>
      <w:lvlText w:val="-"/>
      <w:lvlJc w:val="left"/>
      <w:pPr>
        <w:ind w:left="1440" w:hanging="360"/>
      </w:pPr>
      <w:rPr>
        <w:rFonts w:ascii="Calibri" w:eastAsia="Calibr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CE71A8A"/>
    <w:multiLevelType w:val="multilevel"/>
    <w:tmpl w:val="A0D0E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6460E5"/>
    <w:multiLevelType w:val="multilevel"/>
    <w:tmpl w:val="D02A599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Light" w:eastAsia="Calibri Light" w:hAnsi="Calibri Light" w:cs="Calibri Ligh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EFC1BE7"/>
    <w:multiLevelType w:val="hybridMultilevel"/>
    <w:tmpl w:val="275445BE"/>
    <w:lvl w:ilvl="0" w:tplc="CB286812">
      <w:start w:val="1"/>
      <w:numFmt w:val="decimal"/>
      <w:pStyle w:val="Footnotenumbered"/>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4D2B4F"/>
    <w:multiLevelType w:val="hybridMultilevel"/>
    <w:tmpl w:val="602AA36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6" w15:restartNumberingAfterBreak="0">
    <w:nsid w:val="701C31BC"/>
    <w:multiLevelType w:val="hybridMultilevel"/>
    <w:tmpl w:val="56C66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0FB2DC9"/>
    <w:multiLevelType w:val="hybridMultilevel"/>
    <w:tmpl w:val="1E68BB8C"/>
    <w:lvl w:ilvl="0" w:tplc="9A6461FE">
      <w:start w:val="1"/>
      <w:numFmt w:val="lowerLetter"/>
      <w:lvlText w:val="%1."/>
      <w:lvlJc w:val="left"/>
      <w:pPr>
        <w:ind w:left="720" w:hanging="360"/>
      </w:pPr>
      <w:rPr>
        <w:rFonts w:ascii="Calibri" w:eastAsia="Calibri" w:hAnsi="Calibri" w:cs="Times New Roman"/>
        <w:color w:val="4D4D4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1F3551D"/>
    <w:multiLevelType w:val="hybridMultilevel"/>
    <w:tmpl w:val="8BB2D1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70"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71" w15:restartNumberingAfterBreak="0">
    <w:nsid w:val="73EA32F8"/>
    <w:multiLevelType w:val="multilevel"/>
    <w:tmpl w:val="E06A0158"/>
    <w:lvl w:ilvl="0">
      <w:start w:val="12"/>
      <w:numFmt w:val="decimal"/>
      <w:lvlText w:val="%1."/>
      <w:lvlJc w:val="left"/>
      <w:pPr>
        <w:ind w:left="765" w:hanging="405"/>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8F117C6"/>
    <w:multiLevelType w:val="hybridMultilevel"/>
    <w:tmpl w:val="D212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92254FC"/>
    <w:multiLevelType w:val="multilevel"/>
    <w:tmpl w:val="EF762FE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B124525"/>
    <w:multiLevelType w:val="hybridMultilevel"/>
    <w:tmpl w:val="01FA10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C9237B6"/>
    <w:multiLevelType w:val="hybridMultilevel"/>
    <w:tmpl w:val="0DF4C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CB03CD6"/>
    <w:multiLevelType w:val="hybridMultilevel"/>
    <w:tmpl w:val="5F0E0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54"/>
  </w:num>
  <w:num w:numId="3">
    <w:abstractNumId w:val="49"/>
  </w:num>
  <w:num w:numId="4">
    <w:abstractNumId w:val="63"/>
  </w:num>
  <w:num w:numId="5">
    <w:abstractNumId w:val="77"/>
  </w:num>
  <w:num w:numId="6">
    <w:abstractNumId w:val="18"/>
  </w:num>
  <w:num w:numId="7">
    <w:abstractNumId w:val="30"/>
  </w:num>
  <w:num w:numId="8">
    <w:abstractNumId w:val="35"/>
  </w:num>
  <w:num w:numId="9">
    <w:abstractNumId w:val="9"/>
  </w:num>
  <w:num w:numId="10">
    <w:abstractNumId w:val="38"/>
  </w:num>
  <w:num w:numId="11">
    <w:abstractNumId w:val="52"/>
  </w:num>
  <w:num w:numId="12">
    <w:abstractNumId w:val="11"/>
  </w:num>
  <w:num w:numId="13">
    <w:abstractNumId w:val="50"/>
  </w:num>
  <w:num w:numId="14">
    <w:abstractNumId w:val="20"/>
  </w:num>
  <w:num w:numId="15">
    <w:abstractNumId w:val="60"/>
  </w:num>
  <w:num w:numId="16">
    <w:abstractNumId w:val="1"/>
  </w:num>
  <w:num w:numId="17">
    <w:abstractNumId w:val="57"/>
  </w:num>
  <w:num w:numId="18">
    <w:abstractNumId w:val="73"/>
  </w:num>
  <w:num w:numId="19">
    <w:abstractNumId w:val="48"/>
  </w:num>
  <w:num w:numId="20">
    <w:abstractNumId w:val="44"/>
  </w:num>
  <w:num w:numId="21">
    <w:abstractNumId w:val="19"/>
  </w:num>
  <w:num w:numId="22">
    <w:abstractNumId w:val="16"/>
  </w:num>
  <w:num w:numId="23">
    <w:abstractNumId w:val="59"/>
  </w:num>
  <w:num w:numId="24">
    <w:abstractNumId w:val="2"/>
  </w:num>
  <w:num w:numId="25">
    <w:abstractNumId w:val="46"/>
  </w:num>
  <w:num w:numId="26">
    <w:abstractNumId w:val="26"/>
  </w:num>
  <w:num w:numId="27">
    <w:abstractNumId w:val="0"/>
  </w:num>
  <w:num w:numId="28">
    <w:abstractNumId w:val="27"/>
  </w:num>
  <w:num w:numId="29">
    <w:abstractNumId w:val="51"/>
  </w:num>
  <w:num w:numId="30">
    <w:abstractNumId w:val="6"/>
  </w:num>
  <w:num w:numId="31">
    <w:abstractNumId w:val="10"/>
  </w:num>
  <w:num w:numId="32">
    <w:abstractNumId w:val="61"/>
  </w:num>
  <w:num w:numId="33">
    <w:abstractNumId w:val="2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6"/>
  </w:num>
  <w:num w:numId="47">
    <w:abstractNumId w:val="56"/>
  </w:num>
  <w:num w:numId="48">
    <w:abstractNumId w:val="41"/>
  </w:num>
  <w:num w:numId="49">
    <w:abstractNumId w:val="3"/>
  </w:num>
  <w:num w:numId="50">
    <w:abstractNumId w:val="40"/>
  </w:num>
  <w:num w:numId="51">
    <w:abstractNumId w:val="12"/>
  </w:num>
  <w:num w:numId="52">
    <w:abstractNumId w:val="71"/>
  </w:num>
  <w:num w:numId="53">
    <w:abstractNumId w:val="47"/>
  </w:num>
  <w:num w:numId="54">
    <w:abstractNumId w:val="15"/>
  </w:num>
  <w:num w:numId="55">
    <w:abstractNumId w:val="75"/>
  </w:num>
  <w:num w:numId="56">
    <w:abstractNumId w:val="43"/>
  </w:num>
  <w:num w:numId="57">
    <w:abstractNumId w:val="55"/>
  </w:num>
  <w:num w:numId="58">
    <w:abstractNumId w:val="25"/>
  </w:num>
  <w:num w:numId="59">
    <w:abstractNumId w:val="7"/>
  </w:num>
  <w:num w:numId="60">
    <w:abstractNumId w:val="37"/>
    <w:lvlOverride w:ilvl="0">
      <w:startOverride w:val="1"/>
    </w:lvlOverride>
    <w:lvlOverride w:ilvl="1"/>
    <w:lvlOverride w:ilvl="2"/>
    <w:lvlOverride w:ilvl="3"/>
    <w:lvlOverride w:ilvl="4"/>
    <w:lvlOverride w:ilvl="5"/>
    <w:lvlOverride w:ilvl="6"/>
    <w:lvlOverride w:ilvl="7"/>
    <w:lvlOverride w:ilvl="8"/>
  </w:num>
  <w:num w:numId="61">
    <w:abstractNumId w:val="65"/>
  </w:num>
  <w:num w:numId="62">
    <w:abstractNumId w:val="67"/>
  </w:num>
  <w:num w:numId="63">
    <w:abstractNumId w:val="58"/>
  </w:num>
  <w:num w:numId="64">
    <w:abstractNumId w:val="45"/>
  </w:num>
  <w:num w:numId="65">
    <w:abstractNumId w:val="29"/>
  </w:num>
  <w:num w:numId="66">
    <w:abstractNumId w:val="4"/>
  </w:num>
  <w:num w:numId="67">
    <w:abstractNumId w:val="70"/>
  </w:num>
  <w:num w:numId="68">
    <w:abstractNumId w:val="72"/>
  </w:num>
  <w:num w:numId="69">
    <w:abstractNumId w:val="13"/>
    <w:lvlOverride w:ilvl="0">
      <w:lvl w:ilvl="0">
        <w:start w:val="2"/>
        <w:numFmt w:val="decimal"/>
        <w:pStyle w:val="1NumberPointsStyle"/>
        <w:lvlText w:val="%1."/>
        <w:lvlJc w:val="left"/>
        <w:pPr>
          <w:ind w:left="369" w:hanging="369"/>
        </w:pPr>
        <w:rPr>
          <w:rFonts w:ascii="Times New Roman" w:hAnsi="Times New Roman" w:cs="Times New Roman" w:hint="default"/>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0">
    <w:abstractNumId w:val="69"/>
  </w:num>
  <w:num w:numId="71">
    <w:abstractNumId w:val="53"/>
  </w:num>
  <w:num w:numId="72">
    <w:abstractNumId w:val="28"/>
  </w:num>
  <w:num w:numId="73">
    <w:abstractNumId w:val="39"/>
  </w:num>
  <w:num w:numId="74">
    <w:abstractNumId w:val="14"/>
  </w:num>
  <w:num w:numId="75">
    <w:abstractNumId w:val="42"/>
  </w:num>
  <w:num w:numId="76">
    <w:abstractNumId w:val="32"/>
    <w:lvlOverride w:ilvl="0">
      <w:lvl w:ilvl="0" w:tplc="1F7C308E">
        <w:start w:val="1"/>
        <w:numFmt w:val="bullet"/>
        <w:lvlText w:val=""/>
        <w:lvlJc w:val="left"/>
        <w:pPr>
          <w:tabs>
            <w:tab w:val="num" w:pos="568"/>
          </w:tabs>
          <w:ind w:left="568" w:hanging="284"/>
        </w:pPr>
        <w:rPr>
          <w:rFonts w:ascii="Wingdings 3" w:hAnsi="Wingdings 3" w:hint="default"/>
          <w:b w:val="0"/>
          <w:i w:val="0"/>
          <w:color w:val="E7E6E6" w:themeColor="background2"/>
        </w:rPr>
      </w:lvl>
    </w:lvlOverride>
    <w:lvlOverride w:ilvl="1">
      <w:lvl w:ilvl="1" w:tplc="0AA6CFA4">
        <w:start w:val="1"/>
        <w:numFmt w:val="bullet"/>
        <w:lvlText w:val="•"/>
        <w:lvlJc w:val="left"/>
        <w:pPr>
          <w:tabs>
            <w:tab w:val="num" w:pos="9841"/>
          </w:tabs>
          <w:ind w:left="9841" w:hanging="284"/>
        </w:pPr>
        <w:rPr>
          <w:rFonts w:asciiTheme="minorHAnsi" w:hAnsiTheme="minorHAnsi" w:hint="default"/>
          <w:b/>
          <w:color w:val="E7E6E6" w:themeColor="background2"/>
        </w:rPr>
      </w:lvl>
    </w:lvlOverride>
    <w:lvlOverride w:ilvl="2">
      <w:lvl w:ilvl="2" w:tplc="758ABE24">
        <w:start w:val="1"/>
        <w:numFmt w:val="bullet"/>
        <w:lvlText w:val=""/>
        <w:lvlJc w:val="left"/>
        <w:pPr>
          <w:tabs>
            <w:tab w:val="num" w:pos="10125"/>
          </w:tabs>
          <w:ind w:left="10125" w:hanging="284"/>
        </w:pPr>
        <w:rPr>
          <w:rFonts w:ascii="Wingdings 2" w:hAnsi="Wingdings 2" w:hint="default"/>
          <w:color w:val="E7E6E6" w:themeColor="background2"/>
          <w:position w:val="-3"/>
        </w:rPr>
      </w:lvl>
    </w:lvlOverride>
  </w:num>
  <w:num w:numId="77">
    <w:abstractNumId w:val="64"/>
  </w:num>
  <w:num w:numId="78">
    <w:abstractNumId w:val="8"/>
  </w:num>
  <w:num w:numId="79">
    <w:abstractNumId w:val="74"/>
  </w:num>
  <w:num w:numId="80">
    <w:abstractNumId w:val="22"/>
  </w:num>
  <w:num w:numId="81">
    <w:abstractNumId w:val="21"/>
  </w:num>
  <w:num w:numId="82">
    <w:abstractNumId w:val="32"/>
  </w:num>
  <w:num w:numId="83">
    <w:abstractNumId w:val="31"/>
  </w:num>
  <w:num w:numId="84">
    <w:abstractNumId w:val="23"/>
  </w:num>
  <w:num w:numId="85">
    <w:abstractNumId w:val="62"/>
  </w:num>
  <w:num w:numId="86">
    <w:abstractNumId w:val="33"/>
  </w:num>
  <w:num w:numId="87">
    <w:abstractNumId w:val="76"/>
  </w:num>
  <w:num w:numId="88">
    <w:abstractNumId w:val="68"/>
  </w:num>
  <w:num w:numId="89">
    <w:abstractNumId w:val="6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9B"/>
    <w:rsid w:val="00000F96"/>
    <w:rsid w:val="00002159"/>
    <w:rsid w:val="00003C50"/>
    <w:rsid w:val="00004528"/>
    <w:rsid w:val="00004548"/>
    <w:rsid w:val="00006515"/>
    <w:rsid w:val="00007509"/>
    <w:rsid w:val="0001012A"/>
    <w:rsid w:val="00010569"/>
    <w:rsid w:val="0001073D"/>
    <w:rsid w:val="00012633"/>
    <w:rsid w:val="00012794"/>
    <w:rsid w:val="00012EC6"/>
    <w:rsid w:val="00015E51"/>
    <w:rsid w:val="00022134"/>
    <w:rsid w:val="00022963"/>
    <w:rsid w:val="000238B9"/>
    <w:rsid w:val="00026D5D"/>
    <w:rsid w:val="0002745A"/>
    <w:rsid w:val="00030D57"/>
    <w:rsid w:val="00034445"/>
    <w:rsid w:val="00034948"/>
    <w:rsid w:val="00036D64"/>
    <w:rsid w:val="00036D75"/>
    <w:rsid w:val="00037156"/>
    <w:rsid w:val="0003775E"/>
    <w:rsid w:val="00037E4D"/>
    <w:rsid w:val="00042265"/>
    <w:rsid w:val="00042B9E"/>
    <w:rsid w:val="00042BE5"/>
    <w:rsid w:val="000431D2"/>
    <w:rsid w:val="000434E9"/>
    <w:rsid w:val="00045BC4"/>
    <w:rsid w:val="00046033"/>
    <w:rsid w:val="000460D2"/>
    <w:rsid w:val="00047360"/>
    <w:rsid w:val="00050191"/>
    <w:rsid w:val="00050A95"/>
    <w:rsid w:val="00051FC6"/>
    <w:rsid w:val="0005303B"/>
    <w:rsid w:val="0005387C"/>
    <w:rsid w:val="00053A89"/>
    <w:rsid w:val="000542D5"/>
    <w:rsid w:val="00054A2E"/>
    <w:rsid w:val="00054EC8"/>
    <w:rsid w:val="00055828"/>
    <w:rsid w:val="00055885"/>
    <w:rsid w:val="000564E5"/>
    <w:rsid w:val="00057195"/>
    <w:rsid w:val="00060501"/>
    <w:rsid w:val="000610DD"/>
    <w:rsid w:val="0006609E"/>
    <w:rsid w:val="00066827"/>
    <w:rsid w:val="000672B0"/>
    <w:rsid w:val="000704F6"/>
    <w:rsid w:val="00072198"/>
    <w:rsid w:val="0007311F"/>
    <w:rsid w:val="00073830"/>
    <w:rsid w:val="00073832"/>
    <w:rsid w:val="00073A19"/>
    <w:rsid w:val="00074451"/>
    <w:rsid w:val="000744CE"/>
    <w:rsid w:val="00075730"/>
    <w:rsid w:val="00077823"/>
    <w:rsid w:val="00077B7A"/>
    <w:rsid w:val="00077DB4"/>
    <w:rsid w:val="00077EFE"/>
    <w:rsid w:val="000801AA"/>
    <w:rsid w:val="00082310"/>
    <w:rsid w:val="00083428"/>
    <w:rsid w:val="00083943"/>
    <w:rsid w:val="0008395A"/>
    <w:rsid w:val="00083AE5"/>
    <w:rsid w:val="000842EB"/>
    <w:rsid w:val="000842EC"/>
    <w:rsid w:val="000845ED"/>
    <w:rsid w:val="00084F3B"/>
    <w:rsid w:val="0008503C"/>
    <w:rsid w:val="000863C8"/>
    <w:rsid w:val="00086DDA"/>
    <w:rsid w:val="000879AB"/>
    <w:rsid w:val="00090B2F"/>
    <w:rsid w:val="00091656"/>
    <w:rsid w:val="00093505"/>
    <w:rsid w:val="00093E72"/>
    <w:rsid w:val="00094CD1"/>
    <w:rsid w:val="00096637"/>
    <w:rsid w:val="000A0347"/>
    <w:rsid w:val="000A053D"/>
    <w:rsid w:val="000A2CC1"/>
    <w:rsid w:val="000A35D4"/>
    <w:rsid w:val="000A751C"/>
    <w:rsid w:val="000A7F92"/>
    <w:rsid w:val="000B1A15"/>
    <w:rsid w:val="000B1F7F"/>
    <w:rsid w:val="000B2A8B"/>
    <w:rsid w:val="000B3EBD"/>
    <w:rsid w:val="000B4350"/>
    <w:rsid w:val="000B57FE"/>
    <w:rsid w:val="000B6A7B"/>
    <w:rsid w:val="000B747F"/>
    <w:rsid w:val="000B7933"/>
    <w:rsid w:val="000B7B60"/>
    <w:rsid w:val="000B7C3F"/>
    <w:rsid w:val="000C1BC2"/>
    <w:rsid w:val="000C1CB0"/>
    <w:rsid w:val="000C2155"/>
    <w:rsid w:val="000C4B00"/>
    <w:rsid w:val="000C5BDE"/>
    <w:rsid w:val="000C71D7"/>
    <w:rsid w:val="000C7B79"/>
    <w:rsid w:val="000D0EBB"/>
    <w:rsid w:val="000D187A"/>
    <w:rsid w:val="000D3701"/>
    <w:rsid w:val="000D3CA5"/>
    <w:rsid w:val="000D570A"/>
    <w:rsid w:val="000D5CC0"/>
    <w:rsid w:val="000D7E9C"/>
    <w:rsid w:val="000E060E"/>
    <w:rsid w:val="000E0C33"/>
    <w:rsid w:val="000E1E41"/>
    <w:rsid w:val="000E3256"/>
    <w:rsid w:val="000E336D"/>
    <w:rsid w:val="000E35B7"/>
    <w:rsid w:val="000E3C8B"/>
    <w:rsid w:val="000E41A2"/>
    <w:rsid w:val="000E4FE9"/>
    <w:rsid w:val="000E6A2C"/>
    <w:rsid w:val="000F1234"/>
    <w:rsid w:val="000F1DFA"/>
    <w:rsid w:val="000F206E"/>
    <w:rsid w:val="000F33E3"/>
    <w:rsid w:val="000F3BA8"/>
    <w:rsid w:val="000F3EF4"/>
    <w:rsid w:val="000F56E3"/>
    <w:rsid w:val="000F5D3F"/>
    <w:rsid w:val="000F6862"/>
    <w:rsid w:val="000F6998"/>
    <w:rsid w:val="000F73DF"/>
    <w:rsid w:val="000F7B5C"/>
    <w:rsid w:val="0010236E"/>
    <w:rsid w:val="001023CA"/>
    <w:rsid w:val="0010269B"/>
    <w:rsid w:val="00103B98"/>
    <w:rsid w:val="0010438A"/>
    <w:rsid w:val="001054C5"/>
    <w:rsid w:val="00105A1E"/>
    <w:rsid w:val="00106099"/>
    <w:rsid w:val="0010635F"/>
    <w:rsid w:val="001070B3"/>
    <w:rsid w:val="00107E6A"/>
    <w:rsid w:val="00110175"/>
    <w:rsid w:val="001107F2"/>
    <w:rsid w:val="00112301"/>
    <w:rsid w:val="001124CA"/>
    <w:rsid w:val="00112A60"/>
    <w:rsid w:val="00115868"/>
    <w:rsid w:val="00115ADF"/>
    <w:rsid w:val="00116F50"/>
    <w:rsid w:val="00117B3E"/>
    <w:rsid w:val="00122146"/>
    <w:rsid w:val="00122282"/>
    <w:rsid w:val="00123455"/>
    <w:rsid w:val="00125206"/>
    <w:rsid w:val="00125819"/>
    <w:rsid w:val="0012670C"/>
    <w:rsid w:val="00130F29"/>
    <w:rsid w:val="0013121E"/>
    <w:rsid w:val="0013161A"/>
    <w:rsid w:val="00132D0B"/>
    <w:rsid w:val="0013324D"/>
    <w:rsid w:val="00133972"/>
    <w:rsid w:val="00134C72"/>
    <w:rsid w:val="00136246"/>
    <w:rsid w:val="0013787B"/>
    <w:rsid w:val="001402D0"/>
    <w:rsid w:val="0014063A"/>
    <w:rsid w:val="0014187A"/>
    <w:rsid w:val="00141D26"/>
    <w:rsid w:val="001444CE"/>
    <w:rsid w:val="00144E75"/>
    <w:rsid w:val="001455D1"/>
    <w:rsid w:val="00146267"/>
    <w:rsid w:val="00147D83"/>
    <w:rsid w:val="001500EA"/>
    <w:rsid w:val="001507D7"/>
    <w:rsid w:val="001527F2"/>
    <w:rsid w:val="001528DD"/>
    <w:rsid w:val="00152BC4"/>
    <w:rsid w:val="001532CF"/>
    <w:rsid w:val="00153B13"/>
    <w:rsid w:val="00153FF0"/>
    <w:rsid w:val="00154078"/>
    <w:rsid w:val="001543D3"/>
    <w:rsid w:val="0015620A"/>
    <w:rsid w:val="00156B34"/>
    <w:rsid w:val="00156B85"/>
    <w:rsid w:val="00157190"/>
    <w:rsid w:val="00157E85"/>
    <w:rsid w:val="0016027E"/>
    <w:rsid w:val="0016113F"/>
    <w:rsid w:val="001613BB"/>
    <w:rsid w:val="00161767"/>
    <w:rsid w:val="00161DB0"/>
    <w:rsid w:val="00163125"/>
    <w:rsid w:val="00163354"/>
    <w:rsid w:val="001636D8"/>
    <w:rsid w:val="001658B0"/>
    <w:rsid w:val="00167541"/>
    <w:rsid w:val="0016799A"/>
    <w:rsid w:val="001679E6"/>
    <w:rsid w:val="0017089D"/>
    <w:rsid w:val="00170A3C"/>
    <w:rsid w:val="00171413"/>
    <w:rsid w:val="00171C8A"/>
    <w:rsid w:val="0017252E"/>
    <w:rsid w:val="00172BCD"/>
    <w:rsid w:val="00172BDC"/>
    <w:rsid w:val="00175717"/>
    <w:rsid w:val="00176539"/>
    <w:rsid w:val="0018031E"/>
    <w:rsid w:val="001809A7"/>
    <w:rsid w:val="00180EB8"/>
    <w:rsid w:val="001818A3"/>
    <w:rsid w:val="00181D9C"/>
    <w:rsid w:val="001820B0"/>
    <w:rsid w:val="0018356C"/>
    <w:rsid w:val="00183C52"/>
    <w:rsid w:val="00184111"/>
    <w:rsid w:val="00184E9A"/>
    <w:rsid w:val="00184F9B"/>
    <w:rsid w:val="00187E04"/>
    <w:rsid w:val="00190721"/>
    <w:rsid w:val="0019136B"/>
    <w:rsid w:val="00191EDE"/>
    <w:rsid w:val="0019335F"/>
    <w:rsid w:val="00194A2B"/>
    <w:rsid w:val="00194B7A"/>
    <w:rsid w:val="0019608B"/>
    <w:rsid w:val="00197A20"/>
    <w:rsid w:val="001A02E9"/>
    <w:rsid w:val="001A460F"/>
    <w:rsid w:val="001A5090"/>
    <w:rsid w:val="001A5564"/>
    <w:rsid w:val="001A5D9F"/>
    <w:rsid w:val="001A7805"/>
    <w:rsid w:val="001A7FAC"/>
    <w:rsid w:val="001B09CB"/>
    <w:rsid w:val="001B0F1A"/>
    <w:rsid w:val="001B183D"/>
    <w:rsid w:val="001B1F00"/>
    <w:rsid w:val="001B3237"/>
    <w:rsid w:val="001B5B12"/>
    <w:rsid w:val="001B5EAD"/>
    <w:rsid w:val="001B782D"/>
    <w:rsid w:val="001C0877"/>
    <w:rsid w:val="001C0F5A"/>
    <w:rsid w:val="001C18D8"/>
    <w:rsid w:val="001C3586"/>
    <w:rsid w:val="001C3D03"/>
    <w:rsid w:val="001C5E2A"/>
    <w:rsid w:val="001C6F55"/>
    <w:rsid w:val="001D0762"/>
    <w:rsid w:val="001D07A7"/>
    <w:rsid w:val="001D0F0E"/>
    <w:rsid w:val="001D0F22"/>
    <w:rsid w:val="001D121E"/>
    <w:rsid w:val="001D17AB"/>
    <w:rsid w:val="001D1E26"/>
    <w:rsid w:val="001D2AC8"/>
    <w:rsid w:val="001D3EE7"/>
    <w:rsid w:val="001D4608"/>
    <w:rsid w:val="001D5B25"/>
    <w:rsid w:val="001D7767"/>
    <w:rsid w:val="001E2403"/>
    <w:rsid w:val="001E3C51"/>
    <w:rsid w:val="001E4AF4"/>
    <w:rsid w:val="001E5541"/>
    <w:rsid w:val="001E61B2"/>
    <w:rsid w:val="001E666C"/>
    <w:rsid w:val="001F0CD0"/>
    <w:rsid w:val="001F2BE7"/>
    <w:rsid w:val="001F3AEB"/>
    <w:rsid w:val="001F4349"/>
    <w:rsid w:val="001F4DF6"/>
    <w:rsid w:val="001F6217"/>
    <w:rsid w:val="001F6602"/>
    <w:rsid w:val="001F7466"/>
    <w:rsid w:val="001F7557"/>
    <w:rsid w:val="001F766D"/>
    <w:rsid w:val="00200060"/>
    <w:rsid w:val="00201B05"/>
    <w:rsid w:val="0020275D"/>
    <w:rsid w:val="00203D2C"/>
    <w:rsid w:val="002051A8"/>
    <w:rsid w:val="0020721F"/>
    <w:rsid w:val="002079C4"/>
    <w:rsid w:val="00207C71"/>
    <w:rsid w:val="00210D3A"/>
    <w:rsid w:val="00210EE5"/>
    <w:rsid w:val="0021135D"/>
    <w:rsid w:val="002129AC"/>
    <w:rsid w:val="002154B4"/>
    <w:rsid w:val="00215A86"/>
    <w:rsid w:val="00216051"/>
    <w:rsid w:val="00216C6C"/>
    <w:rsid w:val="002174AD"/>
    <w:rsid w:val="00217EE5"/>
    <w:rsid w:val="0022032D"/>
    <w:rsid w:val="00220765"/>
    <w:rsid w:val="00220FD3"/>
    <w:rsid w:val="00221577"/>
    <w:rsid w:val="00222677"/>
    <w:rsid w:val="00222E56"/>
    <w:rsid w:val="0022385F"/>
    <w:rsid w:val="0022398E"/>
    <w:rsid w:val="0022429C"/>
    <w:rsid w:val="0022538D"/>
    <w:rsid w:val="00225F6F"/>
    <w:rsid w:val="00226DBF"/>
    <w:rsid w:val="002302C2"/>
    <w:rsid w:val="0023124A"/>
    <w:rsid w:val="00231919"/>
    <w:rsid w:val="00232FFE"/>
    <w:rsid w:val="0023460A"/>
    <w:rsid w:val="0023548A"/>
    <w:rsid w:val="0023595B"/>
    <w:rsid w:val="0023702F"/>
    <w:rsid w:val="00240EDE"/>
    <w:rsid w:val="00241147"/>
    <w:rsid w:val="00242EC8"/>
    <w:rsid w:val="00243AAE"/>
    <w:rsid w:val="00243CF6"/>
    <w:rsid w:val="00244A2B"/>
    <w:rsid w:val="0024689D"/>
    <w:rsid w:val="002473D9"/>
    <w:rsid w:val="0025101C"/>
    <w:rsid w:val="0025169C"/>
    <w:rsid w:val="002526E6"/>
    <w:rsid w:val="00254970"/>
    <w:rsid w:val="00254A26"/>
    <w:rsid w:val="0025500C"/>
    <w:rsid w:val="00255345"/>
    <w:rsid w:val="00257025"/>
    <w:rsid w:val="002574FD"/>
    <w:rsid w:val="0025761D"/>
    <w:rsid w:val="00257D67"/>
    <w:rsid w:val="00257F4D"/>
    <w:rsid w:val="0026007F"/>
    <w:rsid w:val="00260B42"/>
    <w:rsid w:val="00260BB5"/>
    <w:rsid w:val="00260D3C"/>
    <w:rsid w:val="00261F92"/>
    <w:rsid w:val="00263867"/>
    <w:rsid w:val="0026425C"/>
    <w:rsid w:val="00264CBF"/>
    <w:rsid w:val="0026592B"/>
    <w:rsid w:val="00267A3A"/>
    <w:rsid w:val="00267F96"/>
    <w:rsid w:val="002711A3"/>
    <w:rsid w:val="00271634"/>
    <w:rsid w:val="00271CA8"/>
    <w:rsid w:val="00273396"/>
    <w:rsid w:val="00275BF7"/>
    <w:rsid w:val="002760A3"/>
    <w:rsid w:val="002762FD"/>
    <w:rsid w:val="002768A7"/>
    <w:rsid w:val="00277162"/>
    <w:rsid w:val="00280D8F"/>
    <w:rsid w:val="00281303"/>
    <w:rsid w:val="00281CA6"/>
    <w:rsid w:val="0028370B"/>
    <w:rsid w:val="0028372C"/>
    <w:rsid w:val="00283A92"/>
    <w:rsid w:val="00283D3B"/>
    <w:rsid w:val="00286333"/>
    <w:rsid w:val="00286E51"/>
    <w:rsid w:val="00286FE9"/>
    <w:rsid w:val="0029332D"/>
    <w:rsid w:val="00294596"/>
    <w:rsid w:val="002947EB"/>
    <w:rsid w:val="00294921"/>
    <w:rsid w:val="00294D67"/>
    <w:rsid w:val="0029510A"/>
    <w:rsid w:val="00295E61"/>
    <w:rsid w:val="00296372"/>
    <w:rsid w:val="002966FC"/>
    <w:rsid w:val="00296EF6"/>
    <w:rsid w:val="002A10CA"/>
    <w:rsid w:val="002A1219"/>
    <w:rsid w:val="002A1726"/>
    <w:rsid w:val="002A367B"/>
    <w:rsid w:val="002A37AF"/>
    <w:rsid w:val="002A589F"/>
    <w:rsid w:val="002A5908"/>
    <w:rsid w:val="002A5FFC"/>
    <w:rsid w:val="002A69B4"/>
    <w:rsid w:val="002B06F0"/>
    <w:rsid w:val="002B07A4"/>
    <w:rsid w:val="002B07B0"/>
    <w:rsid w:val="002B1021"/>
    <w:rsid w:val="002B291F"/>
    <w:rsid w:val="002B320E"/>
    <w:rsid w:val="002B3D83"/>
    <w:rsid w:val="002B4F7E"/>
    <w:rsid w:val="002B56F2"/>
    <w:rsid w:val="002B57F0"/>
    <w:rsid w:val="002B58F8"/>
    <w:rsid w:val="002B66D6"/>
    <w:rsid w:val="002B7C08"/>
    <w:rsid w:val="002C010B"/>
    <w:rsid w:val="002C083C"/>
    <w:rsid w:val="002C10B7"/>
    <w:rsid w:val="002C2AC3"/>
    <w:rsid w:val="002C2E0D"/>
    <w:rsid w:val="002C2E2C"/>
    <w:rsid w:val="002C3B63"/>
    <w:rsid w:val="002C4829"/>
    <w:rsid w:val="002C6AD8"/>
    <w:rsid w:val="002C731E"/>
    <w:rsid w:val="002C76A4"/>
    <w:rsid w:val="002C774E"/>
    <w:rsid w:val="002D0033"/>
    <w:rsid w:val="002D120A"/>
    <w:rsid w:val="002D13BE"/>
    <w:rsid w:val="002D1742"/>
    <w:rsid w:val="002D387C"/>
    <w:rsid w:val="002D49C8"/>
    <w:rsid w:val="002D4B35"/>
    <w:rsid w:val="002D4D35"/>
    <w:rsid w:val="002D5CFF"/>
    <w:rsid w:val="002D73D1"/>
    <w:rsid w:val="002E0E93"/>
    <w:rsid w:val="002E137C"/>
    <w:rsid w:val="002E4D36"/>
    <w:rsid w:val="002E51EE"/>
    <w:rsid w:val="002E68D3"/>
    <w:rsid w:val="002E6BA8"/>
    <w:rsid w:val="002E6BAC"/>
    <w:rsid w:val="002E6C8D"/>
    <w:rsid w:val="002E7F68"/>
    <w:rsid w:val="002F0EA0"/>
    <w:rsid w:val="002F1001"/>
    <w:rsid w:val="002F3934"/>
    <w:rsid w:val="002F3A87"/>
    <w:rsid w:val="002F4AF2"/>
    <w:rsid w:val="002F6357"/>
    <w:rsid w:val="002F6B35"/>
    <w:rsid w:val="00301495"/>
    <w:rsid w:val="00301D47"/>
    <w:rsid w:val="00301DBA"/>
    <w:rsid w:val="0030287D"/>
    <w:rsid w:val="00303E63"/>
    <w:rsid w:val="00305CAA"/>
    <w:rsid w:val="0030765B"/>
    <w:rsid w:val="00307FEA"/>
    <w:rsid w:val="003102BE"/>
    <w:rsid w:val="0031331F"/>
    <w:rsid w:val="00314C9D"/>
    <w:rsid w:val="00314EAC"/>
    <w:rsid w:val="00316999"/>
    <w:rsid w:val="00316F92"/>
    <w:rsid w:val="00317622"/>
    <w:rsid w:val="0032061D"/>
    <w:rsid w:val="00320A2C"/>
    <w:rsid w:val="00321897"/>
    <w:rsid w:val="00322698"/>
    <w:rsid w:val="00323372"/>
    <w:rsid w:val="0032485F"/>
    <w:rsid w:val="00324EBF"/>
    <w:rsid w:val="0032531C"/>
    <w:rsid w:val="00325B12"/>
    <w:rsid w:val="00325DE5"/>
    <w:rsid w:val="00327983"/>
    <w:rsid w:val="00330183"/>
    <w:rsid w:val="00330393"/>
    <w:rsid w:val="0033055F"/>
    <w:rsid w:val="00331401"/>
    <w:rsid w:val="0033388A"/>
    <w:rsid w:val="00334633"/>
    <w:rsid w:val="00335436"/>
    <w:rsid w:val="00335F5D"/>
    <w:rsid w:val="00337E05"/>
    <w:rsid w:val="003412CB"/>
    <w:rsid w:val="003447B4"/>
    <w:rsid w:val="003459AA"/>
    <w:rsid w:val="00346925"/>
    <w:rsid w:val="00350499"/>
    <w:rsid w:val="00352868"/>
    <w:rsid w:val="00355663"/>
    <w:rsid w:val="00355F7D"/>
    <w:rsid w:val="00356CB0"/>
    <w:rsid w:val="00356FB2"/>
    <w:rsid w:val="00357344"/>
    <w:rsid w:val="003576DC"/>
    <w:rsid w:val="00357853"/>
    <w:rsid w:val="00361DBF"/>
    <w:rsid w:val="003624F7"/>
    <w:rsid w:val="0036336F"/>
    <w:rsid w:val="0036344A"/>
    <w:rsid w:val="00364252"/>
    <w:rsid w:val="0036494A"/>
    <w:rsid w:val="00366C7F"/>
    <w:rsid w:val="0036773B"/>
    <w:rsid w:val="003705E0"/>
    <w:rsid w:val="003713E0"/>
    <w:rsid w:val="00375869"/>
    <w:rsid w:val="00376220"/>
    <w:rsid w:val="0037655D"/>
    <w:rsid w:val="003767C5"/>
    <w:rsid w:val="0037682A"/>
    <w:rsid w:val="00376932"/>
    <w:rsid w:val="00377523"/>
    <w:rsid w:val="00377611"/>
    <w:rsid w:val="00380AD9"/>
    <w:rsid w:val="00380E89"/>
    <w:rsid w:val="00382734"/>
    <w:rsid w:val="00384E88"/>
    <w:rsid w:val="00385ADF"/>
    <w:rsid w:val="00385D7D"/>
    <w:rsid w:val="00385E48"/>
    <w:rsid w:val="003924DD"/>
    <w:rsid w:val="00395206"/>
    <w:rsid w:val="00396236"/>
    <w:rsid w:val="00396DF9"/>
    <w:rsid w:val="003A0599"/>
    <w:rsid w:val="003A09DD"/>
    <w:rsid w:val="003A0B2D"/>
    <w:rsid w:val="003A1179"/>
    <w:rsid w:val="003A3C40"/>
    <w:rsid w:val="003A6009"/>
    <w:rsid w:val="003A6061"/>
    <w:rsid w:val="003A65D1"/>
    <w:rsid w:val="003B262B"/>
    <w:rsid w:val="003B26D1"/>
    <w:rsid w:val="003B2B41"/>
    <w:rsid w:val="003B3B53"/>
    <w:rsid w:val="003B41C0"/>
    <w:rsid w:val="003B5209"/>
    <w:rsid w:val="003B5BCB"/>
    <w:rsid w:val="003B60CD"/>
    <w:rsid w:val="003B62C0"/>
    <w:rsid w:val="003B6C4E"/>
    <w:rsid w:val="003B789A"/>
    <w:rsid w:val="003C0FC9"/>
    <w:rsid w:val="003C1629"/>
    <w:rsid w:val="003C2082"/>
    <w:rsid w:val="003C492F"/>
    <w:rsid w:val="003C5639"/>
    <w:rsid w:val="003C6A4A"/>
    <w:rsid w:val="003C6DC4"/>
    <w:rsid w:val="003C791E"/>
    <w:rsid w:val="003D0610"/>
    <w:rsid w:val="003D0AB8"/>
    <w:rsid w:val="003D0C2F"/>
    <w:rsid w:val="003D0C74"/>
    <w:rsid w:val="003D175A"/>
    <w:rsid w:val="003D2150"/>
    <w:rsid w:val="003D250C"/>
    <w:rsid w:val="003D2E59"/>
    <w:rsid w:val="003D3066"/>
    <w:rsid w:val="003D3AAC"/>
    <w:rsid w:val="003D5811"/>
    <w:rsid w:val="003D78B6"/>
    <w:rsid w:val="003D7CB2"/>
    <w:rsid w:val="003E14B3"/>
    <w:rsid w:val="003E295A"/>
    <w:rsid w:val="003E2AC4"/>
    <w:rsid w:val="003E568F"/>
    <w:rsid w:val="003E59CD"/>
    <w:rsid w:val="003E5A65"/>
    <w:rsid w:val="003E5D7E"/>
    <w:rsid w:val="003E6ED5"/>
    <w:rsid w:val="003E7EF1"/>
    <w:rsid w:val="003E7FE8"/>
    <w:rsid w:val="003F0776"/>
    <w:rsid w:val="003F0E2C"/>
    <w:rsid w:val="003F224D"/>
    <w:rsid w:val="003F264A"/>
    <w:rsid w:val="003F368A"/>
    <w:rsid w:val="003F49C9"/>
    <w:rsid w:val="003F4C15"/>
    <w:rsid w:val="003F60C1"/>
    <w:rsid w:val="00400031"/>
    <w:rsid w:val="0040155B"/>
    <w:rsid w:val="00402BF4"/>
    <w:rsid w:val="00402F06"/>
    <w:rsid w:val="004036E8"/>
    <w:rsid w:val="0040393C"/>
    <w:rsid w:val="0040465E"/>
    <w:rsid w:val="00405CA1"/>
    <w:rsid w:val="004063B5"/>
    <w:rsid w:val="00407C92"/>
    <w:rsid w:val="00410E7B"/>
    <w:rsid w:val="00411856"/>
    <w:rsid w:val="00412E40"/>
    <w:rsid w:val="00413535"/>
    <w:rsid w:val="00413900"/>
    <w:rsid w:val="0041484E"/>
    <w:rsid w:val="00415D8D"/>
    <w:rsid w:val="00416848"/>
    <w:rsid w:val="004169F9"/>
    <w:rsid w:val="00416E48"/>
    <w:rsid w:val="00421793"/>
    <w:rsid w:val="00421A6D"/>
    <w:rsid w:val="00423B9F"/>
    <w:rsid w:val="0042435C"/>
    <w:rsid w:val="0042558C"/>
    <w:rsid w:val="00426BF4"/>
    <w:rsid w:val="00426D72"/>
    <w:rsid w:val="004270B9"/>
    <w:rsid w:val="00430347"/>
    <w:rsid w:val="00430AAF"/>
    <w:rsid w:val="00430DA3"/>
    <w:rsid w:val="004319C3"/>
    <w:rsid w:val="0043263F"/>
    <w:rsid w:val="004353B9"/>
    <w:rsid w:val="00435621"/>
    <w:rsid w:val="00436B51"/>
    <w:rsid w:val="00436CCE"/>
    <w:rsid w:val="00436E3B"/>
    <w:rsid w:val="00437220"/>
    <w:rsid w:val="004374BD"/>
    <w:rsid w:val="004377E0"/>
    <w:rsid w:val="004400AF"/>
    <w:rsid w:val="004404A7"/>
    <w:rsid w:val="00441804"/>
    <w:rsid w:val="004441C2"/>
    <w:rsid w:val="00444B9E"/>
    <w:rsid w:val="00444C0D"/>
    <w:rsid w:val="00445FD8"/>
    <w:rsid w:val="00447284"/>
    <w:rsid w:val="00447887"/>
    <w:rsid w:val="00447B85"/>
    <w:rsid w:val="00447C9C"/>
    <w:rsid w:val="00447F55"/>
    <w:rsid w:val="0045293D"/>
    <w:rsid w:val="00452B0C"/>
    <w:rsid w:val="00453110"/>
    <w:rsid w:val="004536EA"/>
    <w:rsid w:val="00454E0C"/>
    <w:rsid w:val="004564DD"/>
    <w:rsid w:val="004565DD"/>
    <w:rsid w:val="00461A61"/>
    <w:rsid w:val="00463355"/>
    <w:rsid w:val="00463C74"/>
    <w:rsid w:val="004649C7"/>
    <w:rsid w:val="004650CE"/>
    <w:rsid w:val="004678BB"/>
    <w:rsid w:val="00467DAE"/>
    <w:rsid w:val="004711AB"/>
    <w:rsid w:val="00471682"/>
    <w:rsid w:val="0047191C"/>
    <w:rsid w:val="00472836"/>
    <w:rsid w:val="00472E5A"/>
    <w:rsid w:val="00473C69"/>
    <w:rsid w:val="00473CD8"/>
    <w:rsid w:val="00474A31"/>
    <w:rsid w:val="00474DDE"/>
    <w:rsid w:val="00475BDB"/>
    <w:rsid w:val="00477265"/>
    <w:rsid w:val="00477CCC"/>
    <w:rsid w:val="0048306F"/>
    <w:rsid w:val="00487603"/>
    <w:rsid w:val="0049153D"/>
    <w:rsid w:val="00492C20"/>
    <w:rsid w:val="004947E0"/>
    <w:rsid w:val="004956FE"/>
    <w:rsid w:val="00496341"/>
    <w:rsid w:val="00497BD7"/>
    <w:rsid w:val="004A06AA"/>
    <w:rsid w:val="004A08B6"/>
    <w:rsid w:val="004A0F8E"/>
    <w:rsid w:val="004A158D"/>
    <w:rsid w:val="004A159E"/>
    <w:rsid w:val="004A1687"/>
    <w:rsid w:val="004A186E"/>
    <w:rsid w:val="004A19D0"/>
    <w:rsid w:val="004A1BAE"/>
    <w:rsid w:val="004A2054"/>
    <w:rsid w:val="004A24C2"/>
    <w:rsid w:val="004A38F7"/>
    <w:rsid w:val="004A448F"/>
    <w:rsid w:val="004A4A91"/>
    <w:rsid w:val="004A4AB6"/>
    <w:rsid w:val="004A6FA8"/>
    <w:rsid w:val="004A73D6"/>
    <w:rsid w:val="004A7CDE"/>
    <w:rsid w:val="004A7DEE"/>
    <w:rsid w:val="004B0160"/>
    <w:rsid w:val="004B04BA"/>
    <w:rsid w:val="004B2945"/>
    <w:rsid w:val="004B2AB7"/>
    <w:rsid w:val="004B2D21"/>
    <w:rsid w:val="004B309A"/>
    <w:rsid w:val="004B323E"/>
    <w:rsid w:val="004B3F87"/>
    <w:rsid w:val="004B402E"/>
    <w:rsid w:val="004B54AC"/>
    <w:rsid w:val="004B70ED"/>
    <w:rsid w:val="004C07BC"/>
    <w:rsid w:val="004C0E72"/>
    <w:rsid w:val="004C127E"/>
    <w:rsid w:val="004C1BFB"/>
    <w:rsid w:val="004C2059"/>
    <w:rsid w:val="004C3555"/>
    <w:rsid w:val="004C521B"/>
    <w:rsid w:val="004C52A4"/>
    <w:rsid w:val="004C56E3"/>
    <w:rsid w:val="004C6A73"/>
    <w:rsid w:val="004C7766"/>
    <w:rsid w:val="004C7C49"/>
    <w:rsid w:val="004D0457"/>
    <w:rsid w:val="004D048C"/>
    <w:rsid w:val="004D0539"/>
    <w:rsid w:val="004D1EF7"/>
    <w:rsid w:val="004D3591"/>
    <w:rsid w:val="004D5404"/>
    <w:rsid w:val="004D59AE"/>
    <w:rsid w:val="004D64F1"/>
    <w:rsid w:val="004D6EA8"/>
    <w:rsid w:val="004D6F30"/>
    <w:rsid w:val="004E0880"/>
    <w:rsid w:val="004E1416"/>
    <w:rsid w:val="004E1CC9"/>
    <w:rsid w:val="004E1E78"/>
    <w:rsid w:val="004E289B"/>
    <w:rsid w:val="004E3382"/>
    <w:rsid w:val="004E4176"/>
    <w:rsid w:val="004E6572"/>
    <w:rsid w:val="004E690F"/>
    <w:rsid w:val="004E7891"/>
    <w:rsid w:val="004E7A70"/>
    <w:rsid w:val="004F2767"/>
    <w:rsid w:val="004F2C23"/>
    <w:rsid w:val="004F5C0E"/>
    <w:rsid w:val="004F5D6F"/>
    <w:rsid w:val="004F6762"/>
    <w:rsid w:val="004F705D"/>
    <w:rsid w:val="004F7B2B"/>
    <w:rsid w:val="004F7E9C"/>
    <w:rsid w:val="0050128A"/>
    <w:rsid w:val="00501ED1"/>
    <w:rsid w:val="00502BDB"/>
    <w:rsid w:val="00503443"/>
    <w:rsid w:val="005059B2"/>
    <w:rsid w:val="00506196"/>
    <w:rsid w:val="005071ED"/>
    <w:rsid w:val="00510886"/>
    <w:rsid w:val="0051121F"/>
    <w:rsid w:val="00511946"/>
    <w:rsid w:val="00512D77"/>
    <w:rsid w:val="005141DC"/>
    <w:rsid w:val="005167B6"/>
    <w:rsid w:val="00517ED7"/>
    <w:rsid w:val="00520EB0"/>
    <w:rsid w:val="00521230"/>
    <w:rsid w:val="00521411"/>
    <w:rsid w:val="00525BE7"/>
    <w:rsid w:val="00525C7A"/>
    <w:rsid w:val="00533AC2"/>
    <w:rsid w:val="005340F4"/>
    <w:rsid w:val="005367E9"/>
    <w:rsid w:val="00541993"/>
    <w:rsid w:val="00542218"/>
    <w:rsid w:val="00542E12"/>
    <w:rsid w:val="005462B2"/>
    <w:rsid w:val="00550802"/>
    <w:rsid w:val="0055217D"/>
    <w:rsid w:val="00553206"/>
    <w:rsid w:val="005538D4"/>
    <w:rsid w:val="00554395"/>
    <w:rsid w:val="005546D7"/>
    <w:rsid w:val="00555157"/>
    <w:rsid w:val="0055550B"/>
    <w:rsid w:val="00557874"/>
    <w:rsid w:val="0056004B"/>
    <w:rsid w:val="00560DFC"/>
    <w:rsid w:val="005614A0"/>
    <w:rsid w:val="00561695"/>
    <w:rsid w:val="00562F71"/>
    <w:rsid w:val="00563E39"/>
    <w:rsid w:val="005658FA"/>
    <w:rsid w:val="00566B6B"/>
    <w:rsid w:val="00567EC1"/>
    <w:rsid w:val="0057028F"/>
    <w:rsid w:val="00570858"/>
    <w:rsid w:val="00570EEF"/>
    <w:rsid w:val="0057130B"/>
    <w:rsid w:val="005730F9"/>
    <w:rsid w:val="00573CFB"/>
    <w:rsid w:val="00575B17"/>
    <w:rsid w:val="005766FE"/>
    <w:rsid w:val="0057770F"/>
    <w:rsid w:val="00577A93"/>
    <w:rsid w:val="00577D1B"/>
    <w:rsid w:val="00577E81"/>
    <w:rsid w:val="005815B0"/>
    <w:rsid w:val="0058181E"/>
    <w:rsid w:val="005819F9"/>
    <w:rsid w:val="00581C0B"/>
    <w:rsid w:val="00581DD6"/>
    <w:rsid w:val="00583086"/>
    <w:rsid w:val="00584E78"/>
    <w:rsid w:val="005851FE"/>
    <w:rsid w:val="00585794"/>
    <w:rsid w:val="00585B92"/>
    <w:rsid w:val="00586896"/>
    <w:rsid w:val="00590790"/>
    <w:rsid w:val="005910AE"/>
    <w:rsid w:val="00591421"/>
    <w:rsid w:val="005914FD"/>
    <w:rsid w:val="00591BBB"/>
    <w:rsid w:val="00591E31"/>
    <w:rsid w:val="0059279A"/>
    <w:rsid w:val="00593763"/>
    <w:rsid w:val="0059671C"/>
    <w:rsid w:val="00596B5E"/>
    <w:rsid w:val="005A03E3"/>
    <w:rsid w:val="005A109A"/>
    <w:rsid w:val="005A1756"/>
    <w:rsid w:val="005A34CA"/>
    <w:rsid w:val="005A3D1F"/>
    <w:rsid w:val="005A4333"/>
    <w:rsid w:val="005A547A"/>
    <w:rsid w:val="005A6EA6"/>
    <w:rsid w:val="005A76B5"/>
    <w:rsid w:val="005B0260"/>
    <w:rsid w:val="005B0314"/>
    <w:rsid w:val="005B20A5"/>
    <w:rsid w:val="005B2E78"/>
    <w:rsid w:val="005B304E"/>
    <w:rsid w:val="005B313F"/>
    <w:rsid w:val="005B344C"/>
    <w:rsid w:val="005B37A1"/>
    <w:rsid w:val="005B38B2"/>
    <w:rsid w:val="005B558D"/>
    <w:rsid w:val="005B55CB"/>
    <w:rsid w:val="005B7858"/>
    <w:rsid w:val="005B7A6B"/>
    <w:rsid w:val="005B7DF4"/>
    <w:rsid w:val="005C0E3F"/>
    <w:rsid w:val="005C0F6F"/>
    <w:rsid w:val="005C1F38"/>
    <w:rsid w:val="005C2784"/>
    <w:rsid w:val="005C302F"/>
    <w:rsid w:val="005C34D8"/>
    <w:rsid w:val="005C3D2C"/>
    <w:rsid w:val="005C4ABF"/>
    <w:rsid w:val="005C511C"/>
    <w:rsid w:val="005C5AF0"/>
    <w:rsid w:val="005C65DE"/>
    <w:rsid w:val="005C76D3"/>
    <w:rsid w:val="005D00BD"/>
    <w:rsid w:val="005D0D14"/>
    <w:rsid w:val="005D171C"/>
    <w:rsid w:val="005D4343"/>
    <w:rsid w:val="005D44F7"/>
    <w:rsid w:val="005D5B64"/>
    <w:rsid w:val="005D63C3"/>
    <w:rsid w:val="005D7B15"/>
    <w:rsid w:val="005D7CF1"/>
    <w:rsid w:val="005E018D"/>
    <w:rsid w:val="005E03B3"/>
    <w:rsid w:val="005E09E5"/>
    <w:rsid w:val="005E0E92"/>
    <w:rsid w:val="005E188C"/>
    <w:rsid w:val="005E3287"/>
    <w:rsid w:val="005E367E"/>
    <w:rsid w:val="005E4987"/>
    <w:rsid w:val="005E6C92"/>
    <w:rsid w:val="005E70EA"/>
    <w:rsid w:val="005F13E2"/>
    <w:rsid w:val="005F1996"/>
    <w:rsid w:val="005F1ECE"/>
    <w:rsid w:val="005F2A1F"/>
    <w:rsid w:val="005F2F31"/>
    <w:rsid w:val="005F3EEE"/>
    <w:rsid w:val="005F4525"/>
    <w:rsid w:val="005F51B9"/>
    <w:rsid w:val="005F5377"/>
    <w:rsid w:val="005F5BE0"/>
    <w:rsid w:val="005F5FFE"/>
    <w:rsid w:val="005F6259"/>
    <w:rsid w:val="005F731C"/>
    <w:rsid w:val="005F782E"/>
    <w:rsid w:val="005F7868"/>
    <w:rsid w:val="005F789A"/>
    <w:rsid w:val="005F7A85"/>
    <w:rsid w:val="0060017F"/>
    <w:rsid w:val="00601755"/>
    <w:rsid w:val="00602491"/>
    <w:rsid w:val="0060294F"/>
    <w:rsid w:val="00602962"/>
    <w:rsid w:val="006037BE"/>
    <w:rsid w:val="00603FD2"/>
    <w:rsid w:val="0060598F"/>
    <w:rsid w:val="00605D96"/>
    <w:rsid w:val="00606153"/>
    <w:rsid w:val="006064C3"/>
    <w:rsid w:val="00607E6E"/>
    <w:rsid w:val="00610322"/>
    <w:rsid w:val="00610EE4"/>
    <w:rsid w:val="00611C79"/>
    <w:rsid w:val="00613282"/>
    <w:rsid w:val="00614FA0"/>
    <w:rsid w:val="00615689"/>
    <w:rsid w:val="00617C9B"/>
    <w:rsid w:val="006204A3"/>
    <w:rsid w:val="00621080"/>
    <w:rsid w:val="00621434"/>
    <w:rsid w:val="00622153"/>
    <w:rsid w:val="006232CF"/>
    <w:rsid w:val="006243CD"/>
    <w:rsid w:val="006250CF"/>
    <w:rsid w:val="00626FE0"/>
    <w:rsid w:val="00630AC5"/>
    <w:rsid w:val="00631466"/>
    <w:rsid w:val="00631BBE"/>
    <w:rsid w:val="00631BC4"/>
    <w:rsid w:val="006328F2"/>
    <w:rsid w:val="0063366E"/>
    <w:rsid w:val="00633B92"/>
    <w:rsid w:val="00633D69"/>
    <w:rsid w:val="006354AD"/>
    <w:rsid w:val="00636A4D"/>
    <w:rsid w:val="0063727B"/>
    <w:rsid w:val="0064343F"/>
    <w:rsid w:val="006435C6"/>
    <w:rsid w:val="00644DF5"/>
    <w:rsid w:val="00645724"/>
    <w:rsid w:val="006466E4"/>
    <w:rsid w:val="00646A92"/>
    <w:rsid w:val="00652A8B"/>
    <w:rsid w:val="00653AEA"/>
    <w:rsid w:val="00653F98"/>
    <w:rsid w:val="00654AA9"/>
    <w:rsid w:val="00655ED8"/>
    <w:rsid w:val="006560FB"/>
    <w:rsid w:val="00656766"/>
    <w:rsid w:val="0066007B"/>
    <w:rsid w:val="0066127F"/>
    <w:rsid w:val="00661601"/>
    <w:rsid w:val="00661EB1"/>
    <w:rsid w:val="00662C41"/>
    <w:rsid w:val="0066365C"/>
    <w:rsid w:val="0066395E"/>
    <w:rsid w:val="0066462A"/>
    <w:rsid w:val="006655CC"/>
    <w:rsid w:val="0066572A"/>
    <w:rsid w:val="006666A5"/>
    <w:rsid w:val="00666F74"/>
    <w:rsid w:val="00667A9D"/>
    <w:rsid w:val="0067011D"/>
    <w:rsid w:val="00670967"/>
    <w:rsid w:val="00670D93"/>
    <w:rsid w:val="006718D8"/>
    <w:rsid w:val="00671C56"/>
    <w:rsid w:val="00671D94"/>
    <w:rsid w:val="006734CF"/>
    <w:rsid w:val="006742D2"/>
    <w:rsid w:val="00677424"/>
    <w:rsid w:val="00680833"/>
    <w:rsid w:val="00681BC3"/>
    <w:rsid w:val="006866F5"/>
    <w:rsid w:val="0069042E"/>
    <w:rsid w:val="006908E2"/>
    <w:rsid w:val="00690CD5"/>
    <w:rsid w:val="006931D4"/>
    <w:rsid w:val="00695C4D"/>
    <w:rsid w:val="006960F1"/>
    <w:rsid w:val="00696399"/>
    <w:rsid w:val="00696FEA"/>
    <w:rsid w:val="00697156"/>
    <w:rsid w:val="006A1C25"/>
    <w:rsid w:val="006A354E"/>
    <w:rsid w:val="006A59A0"/>
    <w:rsid w:val="006A61D0"/>
    <w:rsid w:val="006A65AC"/>
    <w:rsid w:val="006A6B75"/>
    <w:rsid w:val="006A712F"/>
    <w:rsid w:val="006A716D"/>
    <w:rsid w:val="006B0001"/>
    <w:rsid w:val="006B0CD1"/>
    <w:rsid w:val="006B21E0"/>
    <w:rsid w:val="006B2368"/>
    <w:rsid w:val="006B4E71"/>
    <w:rsid w:val="006B6B97"/>
    <w:rsid w:val="006B6C46"/>
    <w:rsid w:val="006B6C58"/>
    <w:rsid w:val="006C2B3F"/>
    <w:rsid w:val="006C51C4"/>
    <w:rsid w:val="006C5ED8"/>
    <w:rsid w:val="006C611D"/>
    <w:rsid w:val="006C69CF"/>
    <w:rsid w:val="006C786A"/>
    <w:rsid w:val="006D1D5C"/>
    <w:rsid w:val="006D2CD9"/>
    <w:rsid w:val="006D2E52"/>
    <w:rsid w:val="006D3179"/>
    <w:rsid w:val="006D5626"/>
    <w:rsid w:val="006D6157"/>
    <w:rsid w:val="006D66D9"/>
    <w:rsid w:val="006D6B8B"/>
    <w:rsid w:val="006E0513"/>
    <w:rsid w:val="006E114D"/>
    <w:rsid w:val="006E215B"/>
    <w:rsid w:val="006E2E85"/>
    <w:rsid w:val="006E4E19"/>
    <w:rsid w:val="006E5106"/>
    <w:rsid w:val="006E512A"/>
    <w:rsid w:val="006E6C01"/>
    <w:rsid w:val="006E6D0C"/>
    <w:rsid w:val="006E70B7"/>
    <w:rsid w:val="006F02BE"/>
    <w:rsid w:val="006F0455"/>
    <w:rsid w:val="006F0907"/>
    <w:rsid w:val="006F11E4"/>
    <w:rsid w:val="006F2A62"/>
    <w:rsid w:val="006F2F5E"/>
    <w:rsid w:val="006F3BAA"/>
    <w:rsid w:val="006F48F5"/>
    <w:rsid w:val="006F60EA"/>
    <w:rsid w:val="006F7D9A"/>
    <w:rsid w:val="006F7FF4"/>
    <w:rsid w:val="00701F56"/>
    <w:rsid w:val="007024C6"/>
    <w:rsid w:val="00702A7F"/>
    <w:rsid w:val="00703336"/>
    <w:rsid w:val="00704194"/>
    <w:rsid w:val="0070478E"/>
    <w:rsid w:val="00705D45"/>
    <w:rsid w:val="007070DF"/>
    <w:rsid w:val="007072D5"/>
    <w:rsid w:val="00707A0A"/>
    <w:rsid w:val="0071132A"/>
    <w:rsid w:val="0071149A"/>
    <w:rsid w:val="007134B6"/>
    <w:rsid w:val="00713C8B"/>
    <w:rsid w:val="007145DF"/>
    <w:rsid w:val="00714FE0"/>
    <w:rsid w:val="00715143"/>
    <w:rsid w:val="007162B3"/>
    <w:rsid w:val="00716770"/>
    <w:rsid w:val="00717338"/>
    <w:rsid w:val="00717E88"/>
    <w:rsid w:val="00717FFB"/>
    <w:rsid w:val="0072017A"/>
    <w:rsid w:val="00720C74"/>
    <w:rsid w:val="00720CAE"/>
    <w:rsid w:val="007216F6"/>
    <w:rsid w:val="00721B43"/>
    <w:rsid w:val="00721B6B"/>
    <w:rsid w:val="00722514"/>
    <w:rsid w:val="00722917"/>
    <w:rsid w:val="00723282"/>
    <w:rsid w:val="007234BE"/>
    <w:rsid w:val="00723CFE"/>
    <w:rsid w:val="00725B30"/>
    <w:rsid w:val="00727171"/>
    <w:rsid w:val="00727EEE"/>
    <w:rsid w:val="00731C8B"/>
    <w:rsid w:val="00732AAF"/>
    <w:rsid w:val="00733507"/>
    <w:rsid w:val="007336BD"/>
    <w:rsid w:val="00733CEA"/>
    <w:rsid w:val="00734A52"/>
    <w:rsid w:val="00735189"/>
    <w:rsid w:val="00737204"/>
    <w:rsid w:val="00737E33"/>
    <w:rsid w:val="00741FA5"/>
    <w:rsid w:val="007432E1"/>
    <w:rsid w:val="0074668C"/>
    <w:rsid w:val="00746789"/>
    <w:rsid w:val="007468DB"/>
    <w:rsid w:val="00751CE8"/>
    <w:rsid w:val="007527DB"/>
    <w:rsid w:val="00753A4D"/>
    <w:rsid w:val="00754393"/>
    <w:rsid w:val="00755328"/>
    <w:rsid w:val="0075593B"/>
    <w:rsid w:val="00755B61"/>
    <w:rsid w:val="007603D8"/>
    <w:rsid w:val="0076091F"/>
    <w:rsid w:val="00761610"/>
    <w:rsid w:val="00761885"/>
    <w:rsid w:val="00762AFE"/>
    <w:rsid w:val="0076313C"/>
    <w:rsid w:val="00763257"/>
    <w:rsid w:val="0076464B"/>
    <w:rsid w:val="0076598B"/>
    <w:rsid w:val="00766330"/>
    <w:rsid w:val="00766E00"/>
    <w:rsid w:val="00767089"/>
    <w:rsid w:val="0077034E"/>
    <w:rsid w:val="00774D68"/>
    <w:rsid w:val="00774F0C"/>
    <w:rsid w:val="007762F8"/>
    <w:rsid w:val="00777646"/>
    <w:rsid w:val="007806DE"/>
    <w:rsid w:val="00780B22"/>
    <w:rsid w:val="00781B53"/>
    <w:rsid w:val="00782A1B"/>
    <w:rsid w:val="00782F6A"/>
    <w:rsid w:val="00784A87"/>
    <w:rsid w:val="00785BF9"/>
    <w:rsid w:val="00786971"/>
    <w:rsid w:val="007871AE"/>
    <w:rsid w:val="0079034D"/>
    <w:rsid w:val="007903D7"/>
    <w:rsid w:val="0079082C"/>
    <w:rsid w:val="00791626"/>
    <w:rsid w:val="00792375"/>
    <w:rsid w:val="00793698"/>
    <w:rsid w:val="00795747"/>
    <w:rsid w:val="007A1E5D"/>
    <w:rsid w:val="007A1E70"/>
    <w:rsid w:val="007A220E"/>
    <w:rsid w:val="007A3A1E"/>
    <w:rsid w:val="007A5E07"/>
    <w:rsid w:val="007A6218"/>
    <w:rsid w:val="007B05C1"/>
    <w:rsid w:val="007B08B9"/>
    <w:rsid w:val="007B150F"/>
    <w:rsid w:val="007B2BA7"/>
    <w:rsid w:val="007B2D4B"/>
    <w:rsid w:val="007B463E"/>
    <w:rsid w:val="007B47A4"/>
    <w:rsid w:val="007B5EBD"/>
    <w:rsid w:val="007B7BFC"/>
    <w:rsid w:val="007C09A1"/>
    <w:rsid w:val="007C0E4D"/>
    <w:rsid w:val="007C10C9"/>
    <w:rsid w:val="007C1818"/>
    <w:rsid w:val="007C1DC9"/>
    <w:rsid w:val="007C2C16"/>
    <w:rsid w:val="007C4814"/>
    <w:rsid w:val="007C4B30"/>
    <w:rsid w:val="007C6A04"/>
    <w:rsid w:val="007C7C7D"/>
    <w:rsid w:val="007D09AC"/>
    <w:rsid w:val="007D102A"/>
    <w:rsid w:val="007D2046"/>
    <w:rsid w:val="007D29C4"/>
    <w:rsid w:val="007D2B19"/>
    <w:rsid w:val="007D3455"/>
    <w:rsid w:val="007D3901"/>
    <w:rsid w:val="007D7164"/>
    <w:rsid w:val="007E085D"/>
    <w:rsid w:val="007E0D67"/>
    <w:rsid w:val="007E1B52"/>
    <w:rsid w:val="007E3D1E"/>
    <w:rsid w:val="007E5B5D"/>
    <w:rsid w:val="007E68CC"/>
    <w:rsid w:val="007E6A08"/>
    <w:rsid w:val="007E6A09"/>
    <w:rsid w:val="007E744B"/>
    <w:rsid w:val="007E7B48"/>
    <w:rsid w:val="007F0C8D"/>
    <w:rsid w:val="007F1C7D"/>
    <w:rsid w:val="007F28AC"/>
    <w:rsid w:val="007F2F93"/>
    <w:rsid w:val="007F5D25"/>
    <w:rsid w:val="007F5D77"/>
    <w:rsid w:val="007F71F4"/>
    <w:rsid w:val="008009B9"/>
    <w:rsid w:val="008012CD"/>
    <w:rsid w:val="00801619"/>
    <w:rsid w:val="00801AB0"/>
    <w:rsid w:val="00801B03"/>
    <w:rsid w:val="00801CB6"/>
    <w:rsid w:val="00801D50"/>
    <w:rsid w:val="008020A3"/>
    <w:rsid w:val="008029AE"/>
    <w:rsid w:val="00802CF1"/>
    <w:rsid w:val="00802FAD"/>
    <w:rsid w:val="00803D63"/>
    <w:rsid w:val="00803DBD"/>
    <w:rsid w:val="00810876"/>
    <w:rsid w:val="00811CD6"/>
    <w:rsid w:val="00812136"/>
    <w:rsid w:val="0081307B"/>
    <w:rsid w:val="00815741"/>
    <w:rsid w:val="008206EE"/>
    <w:rsid w:val="008230D2"/>
    <w:rsid w:val="00823584"/>
    <w:rsid w:val="00823C42"/>
    <w:rsid w:val="0082438E"/>
    <w:rsid w:val="008257EB"/>
    <w:rsid w:val="00826682"/>
    <w:rsid w:val="00827850"/>
    <w:rsid w:val="008316A9"/>
    <w:rsid w:val="00831D63"/>
    <w:rsid w:val="00832170"/>
    <w:rsid w:val="0083334E"/>
    <w:rsid w:val="00833F69"/>
    <w:rsid w:val="00835145"/>
    <w:rsid w:val="00836424"/>
    <w:rsid w:val="008364F5"/>
    <w:rsid w:val="008377EC"/>
    <w:rsid w:val="0084004B"/>
    <w:rsid w:val="008406B7"/>
    <w:rsid w:val="008413BC"/>
    <w:rsid w:val="0084158B"/>
    <w:rsid w:val="00841AED"/>
    <w:rsid w:val="00842877"/>
    <w:rsid w:val="00842CB6"/>
    <w:rsid w:val="00846169"/>
    <w:rsid w:val="00846788"/>
    <w:rsid w:val="0084680C"/>
    <w:rsid w:val="0084711E"/>
    <w:rsid w:val="008505DD"/>
    <w:rsid w:val="00851E10"/>
    <w:rsid w:val="008525A0"/>
    <w:rsid w:val="00853453"/>
    <w:rsid w:val="008539B3"/>
    <w:rsid w:val="00853FC8"/>
    <w:rsid w:val="00854261"/>
    <w:rsid w:val="008547A1"/>
    <w:rsid w:val="00854B74"/>
    <w:rsid w:val="00854C02"/>
    <w:rsid w:val="008556BE"/>
    <w:rsid w:val="008556F5"/>
    <w:rsid w:val="00855E9C"/>
    <w:rsid w:val="00861002"/>
    <w:rsid w:val="008638CA"/>
    <w:rsid w:val="00863A2B"/>
    <w:rsid w:val="00863CCA"/>
    <w:rsid w:val="008645F5"/>
    <w:rsid w:val="00865646"/>
    <w:rsid w:val="00865BF4"/>
    <w:rsid w:val="008679A1"/>
    <w:rsid w:val="00867BEB"/>
    <w:rsid w:val="008706FC"/>
    <w:rsid w:val="00870BF9"/>
    <w:rsid w:val="00871728"/>
    <w:rsid w:val="00871F0A"/>
    <w:rsid w:val="00872B4A"/>
    <w:rsid w:val="00872C8E"/>
    <w:rsid w:val="00873974"/>
    <w:rsid w:val="00873A33"/>
    <w:rsid w:val="00874233"/>
    <w:rsid w:val="008755C1"/>
    <w:rsid w:val="00880D05"/>
    <w:rsid w:val="00880F46"/>
    <w:rsid w:val="00882743"/>
    <w:rsid w:val="008828D8"/>
    <w:rsid w:val="00883623"/>
    <w:rsid w:val="00885038"/>
    <w:rsid w:val="008860CA"/>
    <w:rsid w:val="00886ACE"/>
    <w:rsid w:val="0089156D"/>
    <w:rsid w:val="00891CB9"/>
    <w:rsid w:val="0089473A"/>
    <w:rsid w:val="00895009"/>
    <w:rsid w:val="00896068"/>
    <w:rsid w:val="0089667D"/>
    <w:rsid w:val="00896A32"/>
    <w:rsid w:val="00897326"/>
    <w:rsid w:val="008A1173"/>
    <w:rsid w:val="008A3110"/>
    <w:rsid w:val="008A5C5B"/>
    <w:rsid w:val="008A6CB0"/>
    <w:rsid w:val="008A6E1A"/>
    <w:rsid w:val="008A6E1C"/>
    <w:rsid w:val="008A7039"/>
    <w:rsid w:val="008A73EB"/>
    <w:rsid w:val="008A7495"/>
    <w:rsid w:val="008B0CB0"/>
    <w:rsid w:val="008B11AB"/>
    <w:rsid w:val="008B2B73"/>
    <w:rsid w:val="008B312A"/>
    <w:rsid w:val="008B3435"/>
    <w:rsid w:val="008B3EB5"/>
    <w:rsid w:val="008B4948"/>
    <w:rsid w:val="008B4AD2"/>
    <w:rsid w:val="008B5395"/>
    <w:rsid w:val="008B62AB"/>
    <w:rsid w:val="008B6CB8"/>
    <w:rsid w:val="008B72B3"/>
    <w:rsid w:val="008C0FAA"/>
    <w:rsid w:val="008C1F46"/>
    <w:rsid w:val="008C21DA"/>
    <w:rsid w:val="008C220B"/>
    <w:rsid w:val="008C32C4"/>
    <w:rsid w:val="008C3C6D"/>
    <w:rsid w:val="008C448D"/>
    <w:rsid w:val="008C62FF"/>
    <w:rsid w:val="008C776D"/>
    <w:rsid w:val="008D00E7"/>
    <w:rsid w:val="008D136B"/>
    <w:rsid w:val="008D1D72"/>
    <w:rsid w:val="008D30EE"/>
    <w:rsid w:val="008D3656"/>
    <w:rsid w:val="008D3C39"/>
    <w:rsid w:val="008D4AB8"/>
    <w:rsid w:val="008D4CDA"/>
    <w:rsid w:val="008D691E"/>
    <w:rsid w:val="008D76B5"/>
    <w:rsid w:val="008D7AA1"/>
    <w:rsid w:val="008E0393"/>
    <w:rsid w:val="008E073A"/>
    <w:rsid w:val="008E088C"/>
    <w:rsid w:val="008E1425"/>
    <w:rsid w:val="008E18A8"/>
    <w:rsid w:val="008E260D"/>
    <w:rsid w:val="008E2785"/>
    <w:rsid w:val="008E2D1B"/>
    <w:rsid w:val="008E3277"/>
    <w:rsid w:val="008E3E8F"/>
    <w:rsid w:val="008E4507"/>
    <w:rsid w:val="008E55F1"/>
    <w:rsid w:val="008E5A12"/>
    <w:rsid w:val="008E5FBA"/>
    <w:rsid w:val="008E6943"/>
    <w:rsid w:val="008E724E"/>
    <w:rsid w:val="008E7AD3"/>
    <w:rsid w:val="008F03E8"/>
    <w:rsid w:val="008F0550"/>
    <w:rsid w:val="008F1140"/>
    <w:rsid w:val="008F27B0"/>
    <w:rsid w:val="008F340C"/>
    <w:rsid w:val="008F3B48"/>
    <w:rsid w:val="008F3C48"/>
    <w:rsid w:val="008F4060"/>
    <w:rsid w:val="008F4279"/>
    <w:rsid w:val="008F4680"/>
    <w:rsid w:val="008F6F0E"/>
    <w:rsid w:val="008F7252"/>
    <w:rsid w:val="008F778D"/>
    <w:rsid w:val="008F7893"/>
    <w:rsid w:val="008F7D2B"/>
    <w:rsid w:val="0090039E"/>
    <w:rsid w:val="0090082F"/>
    <w:rsid w:val="00900F9F"/>
    <w:rsid w:val="0090149B"/>
    <w:rsid w:val="00901663"/>
    <w:rsid w:val="00901864"/>
    <w:rsid w:val="00901BC1"/>
    <w:rsid w:val="00902619"/>
    <w:rsid w:val="0090330F"/>
    <w:rsid w:val="009041AF"/>
    <w:rsid w:val="00904AC1"/>
    <w:rsid w:val="00905590"/>
    <w:rsid w:val="009056FA"/>
    <w:rsid w:val="00905B7F"/>
    <w:rsid w:val="0090694C"/>
    <w:rsid w:val="00907A87"/>
    <w:rsid w:val="00910874"/>
    <w:rsid w:val="009114D7"/>
    <w:rsid w:val="00912034"/>
    <w:rsid w:val="00913877"/>
    <w:rsid w:val="009145B6"/>
    <w:rsid w:val="00915EBD"/>
    <w:rsid w:val="00916125"/>
    <w:rsid w:val="00916F3A"/>
    <w:rsid w:val="00917846"/>
    <w:rsid w:val="00917B0A"/>
    <w:rsid w:val="00920E23"/>
    <w:rsid w:val="009234AA"/>
    <w:rsid w:val="0092384E"/>
    <w:rsid w:val="00924E25"/>
    <w:rsid w:val="009300FA"/>
    <w:rsid w:val="00930A95"/>
    <w:rsid w:val="00930B00"/>
    <w:rsid w:val="009316C1"/>
    <w:rsid w:val="00932493"/>
    <w:rsid w:val="00932781"/>
    <w:rsid w:val="00933808"/>
    <w:rsid w:val="009342A1"/>
    <w:rsid w:val="00935785"/>
    <w:rsid w:val="00936F52"/>
    <w:rsid w:val="009374A4"/>
    <w:rsid w:val="00937C84"/>
    <w:rsid w:val="0094038A"/>
    <w:rsid w:val="00941965"/>
    <w:rsid w:val="00942507"/>
    <w:rsid w:val="00942842"/>
    <w:rsid w:val="00942867"/>
    <w:rsid w:val="00943294"/>
    <w:rsid w:val="00943478"/>
    <w:rsid w:val="009435E9"/>
    <w:rsid w:val="00943C9C"/>
    <w:rsid w:val="00944E64"/>
    <w:rsid w:val="00945073"/>
    <w:rsid w:val="00945DFE"/>
    <w:rsid w:val="0094661D"/>
    <w:rsid w:val="00947621"/>
    <w:rsid w:val="009521B6"/>
    <w:rsid w:val="009526A9"/>
    <w:rsid w:val="0095314C"/>
    <w:rsid w:val="00955B73"/>
    <w:rsid w:val="00955C80"/>
    <w:rsid w:val="00955E91"/>
    <w:rsid w:val="0095659E"/>
    <w:rsid w:val="00956777"/>
    <w:rsid w:val="00956B89"/>
    <w:rsid w:val="009572A7"/>
    <w:rsid w:val="00957926"/>
    <w:rsid w:val="0096130A"/>
    <w:rsid w:val="00961C1B"/>
    <w:rsid w:val="00963AF9"/>
    <w:rsid w:val="00964968"/>
    <w:rsid w:val="009655B0"/>
    <w:rsid w:val="00966658"/>
    <w:rsid w:val="00966BE2"/>
    <w:rsid w:val="00967622"/>
    <w:rsid w:val="00970C33"/>
    <w:rsid w:val="009716BB"/>
    <w:rsid w:val="00972B05"/>
    <w:rsid w:val="00972C0D"/>
    <w:rsid w:val="00975F1E"/>
    <w:rsid w:val="009762A7"/>
    <w:rsid w:val="00976335"/>
    <w:rsid w:val="00976B28"/>
    <w:rsid w:val="0097739A"/>
    <w:rsid w:val="00977D10"/>
    <w:rsid w:val="0098100F"/>
    <w:rsid w:val="0098156F"/>
    <w:rsid w:val="00986A89"/>
    <w:rsid w:val="00990827"/>
    <w:rsid w:val="00990A86"/>
    <w:rsid w:val="009910FD"/>
    <w:rsid w:val="00994AF8"/>
    <w:rsid w:val="00995E7C"/>
    <w:rsid w:val="00996282"/>
    <w:rsid w:val="009971F9"/>
    <w:rsid w:val="00997905"/>
    <w:rsid w:val="009A0091"/>
    <w:rsid w:val="009A1672"/>
    <w:rsid w:val="009A1B57"/>
    <w:rsid w:val="009A1B7B"/>
    <w:rsid w:val="009A331D"/>
    <w:rsid w:val="009A51B1"/>
    <w:rsid w:val="009A5898"/>
    <w:rsid w:val="009A5ADB"/>
    <w:rsid w:val="009A5F98"/>
    <w:rsid w:val="009A7BE4"/>
    <w:rsid w:val="009B0125"/>
    <w:rsid w:val="009B091B"/>
    <w:rsid w:val="009B18DE"/>
    <w:rsid w:val="009B2759"/>
    <w:rsid w:val="009B277C"/>
    <w:rsid w:val="009B326E"/>
    <w:rsid w:val="009B3C7E"/>
    <w:rsid w:val="009B43EF"/>
    <w:rsid w:val="009B4F00"/>
    <w:rsid w:val="009B546E"/>
    <w:rsid w:val="009B598C"/>
    <w:rsid w:val="009B738A"/>
    <w:rsid w:val="009B7723"/>
    <w:rsid w:val="009C04DF"/>
    <w:rsid w:val="009C25FC"/>
    <w:rsid w:val="009C4703"/>
    <w:rsid w:val="009C48A8"/>
    <w:rsid w:val="009C4D63"/>
    <w:rsid w:val="009C60FA"/>
    <w:rsid w:val="009D14B0"/>
    <w:rsid w:val="009D160F"/>
    <w:rsid w:val="009D18CC"/>
    <w:rsid w:val="009D1A1C"/>
    <w:rsid w:val="009D20F5"/>
    <w:rsid w:val="009D472F"/>
    <w:rsid w:val="009D59AC"/>
    <w:rsid w:val="009D6416"/>
    <w:rsid w:val="009D6612"/>
    <w:rsid w:val="009D6AA4"/>
    <w:rsid w:val="009D7BB7"/>
    <w:rsid w:val="009E00A4"/>
    <w:rsid w:val="009E2D91"/>
    <w:rsid w:val="009E2E5C"/>
    <w:rsid w:val="009E326A"/>
    <w:rsid w:val="009E38BA"/>
    <w:rsid w:val="009E436D"/>
    <w:rsid w:val="009E5B6E"/>
    <w:rsid w:val="009E6ADD"/>
    <w:rsid w:val="009E6B4C"/>
    <w:rsid w:val="009E712E"/>
    <w:rsid w:val="009F0270"/>
    <w:rsid w:val="009F3014"/>
    <w:rsid w:val="009F3453"/>
    <w:rsid w:val="009F3FC8"/>
    <w:rsid w:val="009F4EC5"/>
    <w:rsid w:val="009F5677"/>
    <w:rsid w:val="009F5EE5"/>
    <w:rsid w:val="009F7410"/>
    <w:rsid w:val="00A00385"/>
    <w:rsid w:val="00A033EE"/>
    <w:rsid w:val="00A03677"/>
    <w:rsid w:val="00A04996"/>
    <w:rsid w:val="00A04AA8"/>
    <w:rsid w:val="00A053FC"/>
    <w:rsid w:val="00A06FCA"/>
    <w:rsid w:val="00A106B0"/>
    <w:rsid w:val="00A11174"/>
    <w:rsid w:val="00A116C8"/>
    <w:rsid w:val="00A118C5"/>
    <w:rsid w:val="00A11E3A"/>
    <w:rsid w:val="00A12807"/>
    <w:rsid w:val="00A12A6C"/>
    <w:rsid w:val="00A13C8F"/>
    <w:rsid w:val="00A149BF"/>
    <w:rsid w:val="00A1549D"/>
    <w:rsid w:val="00A156AF"/>
    <w:rsid w:val="00A17073"/>
    <w:rsid w:val="00A171B4"/>
    <w:rsid w:val="00A177A1"/>
    <w:rsid w:val="00A17B7E"/>
    <w:rsid w:val="00A17CBF"/>
    <w:rsid w:val="00A21F77"/>
    <w:rsid w:val="00A2223F"/>
    <w:rsid w:val="00A228D6"/>
    <w:rsid w:val="00A2510D"/>
    <w:rsid w:val="00A25FF9"/>
    <w:rsid w:val="00A26192"/>
    <w:rsid w:val="00A261CD"/>
    <w:rsid w:val="00A26CEC"/>
    <w:rsid w:val="00A30127"/>
    <w:rsid w:val="00A306ED"/>
    <w:rsid w:val="00A30CE0"/>
    <w:rsid w:val="00A30ED4"/>
    <w:rsid w:val="00A314A0"/>
    <w:rsid w:val="00A34585"/>
    <w:rsid w:val="00A346AE"/>
    <w:rsid w:val="00A34C3E"/>
    <w:rsid w:val="00A408AE"/>
    <w:rsid w:val="00A42570"/>
    <w:rsid w:val="00A42FA4"/>
    <w:rsid w:val="00A43F2B"/>
    <w:rsid w:val="00A444C8"/>
    <w:rsid w:val="00A46905"/>
    <w:rsid w:val="00A4702F"/>
    <w:rsid w:val="00A4704F"/>
    <w:rsid w:val="00A4712D"/>
    <w:rsid w:val="00A4754B"/>
    <w:rsid w:val="00A47A0E"/>
    <w:rsid w:val="00A50278"/>
    <w:rsid w:val="00A50527"/>
    <w:rsid w:val="00A5070F"/>
    <w:rsid w:val="00A51A38"/>
    <w:rsid w:val="00A56007"/>
    <w:rsid w:val="00A571E4"/>
    <w:rsid w:val="00A575B0"/>
    <w:rsid w:val="00A61BCE"/>
    <w:rsid w:val="00A620FE"/>
    <w:rsid w:val="00A62356"/>
    <w:rsid w:val="00A64020"/>
    <w:rsid w:val="00A64A35"/>
    <w:rsid w:val="00A66122"/>
    <w:rsid w:val="00A6738E"/>
    <w:rsid w:val="00A6780D"/>
    <w:rsid w:val="00A70F1C"/>
    <w:rsid w:val="00A70FC3"/>
    <w:rsid w:val="00A71273"/>
    <w:rsid w:val="00A714C2"/>
    <w:rsid w:val="00A71CFB"/>
    <w:rsid w:val="00A73B9A"/>
    <w:rsid w:val="00A75EC3"/>
    <w:rsid w:val="00A80DE7"/>
    <w:rsid w:val="00A82EAF"/>
    <w:rsid w:val="00A83E38"/>
    <w:rsid w:val="00A86F49"/>
    <w:rsid w:val="00A92BBF"/>
    <w:rsid w:val="00A92DAB"/>
    <w:rsid w:val="00A94238"/>
    <w:rsid w:val="00A951A7"/>
    <w:rsid w:val="00A9563A"/>
    <w:rsid w:val="00A96D42"/>
    <w:rsid w:val="00A96E4E"/>
    <w:rsid w:val="00A96FA4"/>
    <w:rsid w:val="00AA0C05"/>
    <w:rsid w:val="00AA1A8E"/>
    <w:rsid w:val="00AA25C8"/>
    <w:rsid w:val="00AA3A59"/>
    <w:rsid w:val="00AA516A"/>
    <w:rsid w:val="00AA6CEC"/>
    <w:rsid w:val="00AA7D2A"/>
    <w:rsid w:val="00AB0C53"/>
    <w:rsid w:val="00AB2BEB"/>
    <w:rsid w:val="00AB2F39"/>
    <w:rsid w:val="00AB34E8"/>
    <w:rsid w:val="00AB428F"/>
    <w:rsid w:val="00AB48C5"/>
    <w:rsid w:val="00AB4E09"/>
    <w:rsid w:val="00AB7C77"/>
    <w:rsid w:val="00AC054E"/>
    <w:rsid w:val="00AC0C36"/>
    <w:rsid w:val="00AC141C"/>
    <w:rsid w:val="00AC15F0"/>
    <w:rsid w:val="00AC2694"/>
    <w:rsid w:val="00AC27DC"/>
    <w:rsid w:val="00AC28B5"/>
    <w:rsid w:val="00AC28F7"/>
    <w:rsid w:val="00AC5564"/>
    <w:rsid w:val="00AC571A"/>
    <w:rsid w:val="00AC7B05"/>
    <w:rsid w:val="00AD33F9"/>
    <w:rsid w:val="00AD4D56"/>
    <w:rsid w:val="00AD6BFD"/>
    <w:rsid w:val="00AD6CDE"/>
    <w:rsid w:val="00AE035A"/>
    <w:rsid w:val="00AE0F64"/>
    <w:rsid w:val="00AE27AA"/>
    <w:rsid w:val="00AE29D0"/>
    <w:rsid w:val="00AE65EB"/>
    <w:rsid w:val="00AE67FD"/>
    <w:rsid w:val="00AE6E34"/>
    <w:rsid w:val="00AE7397"/>
    <w:rsid w:val="00AF1061"/>
    <w:rsid w:val="00AF1D09"/>
    <w:rsid w:val="00AF2963"/>
    <w:rsid w:val="00AF3D86"/>
    <w:rsid w:val="00AF437A"/>
    <w:rsid w:val="00AF55C4"/>
    <w:rsid w:val="00AF5CF8"/>
    <w:rsid w:val="00AF7247"/>
    <w:rsid w:val="00B002E0"/>
    <w:rsid w:val="00B00442"/>
    <w:rsid w:val="00B00E86"/>
    <w:rsid w:val="00B01332"/>
    <w:rsid w:val="00B0197A"/>
    <w:rsid w:val="00B01A9F"/>
    <w:rsid w:val="00B01E14"/>
    <w:rsid w:val="00B02630"/>
    <w:rsid w:val="00B04543"/>
    <w:rsid w:val="00B04679"/>
    <w:rsid w:val="00B04DB7"/>
    <w:rsid w:val="00B0543D"/>
    <w:rsid w:val="00B073A5"/>
    <w:rsid w:val="00B07780"/>
    <w:rsid w:val="00B0780D"/>
    <w:rsid w:val="00B10563"/>
    <w:rsid w:val="00B10B15"/>
    <w:rsid w:val="00B1369A"/>
    <w:rsid w:val="00B13713"/>
    <w:rsid w:val="00B13995"/>
    <w:rsid w:val="00B13E01"/>
    <w:rsid w:val="00B15170"/>
    <w:rsid w:val="00B15DD2"/>
    <w:rsid w:val="00B16E61"/>
    <w:rsid w:val="00B206D4"/>
    <w:rsid w:val="00B20D89"/>
    <w:rsid w:val="00B218BA"/>
    <w:rsid w:val="00B227EA"/>
    <w:rsid w:val="00B236A2"/>
    <w:rsid w:val="00B240FD"/>
    <w:rsid w:val="00B24A60"/>
    <w:rsid w:val="00B24CBD"/>
    <w:rsid w:val="00B24D7B"/>
    <w:rsid w:val="00B26455"/>
    <w:rsid w:val="00B26823"/>
    <w:rsid w:val="00B26CCF"/>
    <w:rsid w:val="00B26EDB"/>
    <w:rsid w:val="00B279E7"/>
    <w:rsid w:val="00B27BF2"/>
    <w:rsid w:val="00B314BD"/>
    <w:rsid w:val="00B31DC5"/>
    <w:rsid w:val="00B31E92"/>
    <w:rsid w:val="00B3219D"/>
    <w:rsid w:val="00B32E27"/>
    <w:rsid w:val="00B337FF"/>
    <w:rsid w:val="00B35050"/>
    <w:rsid w:val="00B360C9"/>
    <w:rsid w:val="00B36CEE"/>
    <w:rsid w:val="00B36DA7"/>
    <w:rsid w:val="00B37A25"/>
    <w:rsid w:val="00B416F7"/>
    <w:rsid w:val="00B41D1A"/>
    <w:rsid w:val="00B41DC9"/>
    <w:rsid w:val="00B41ED6"/>
    <w:rsid w:val="00B42617"/>
    <w:rsid w:val="00B43D71"/>
    <w:rsid w:val="00B43F0E"/>
    <w:rsid w:val="00B44C75"/>
    <w:rsid w:val="00B459A7"/>
    <w:rsid w:val="00B468BA"/>
    <w:rsid w:val="00B47592"/>
    <w:rsid w:val="00B4759F"/>
    <w:rsid w:val="00B47D88"/>
    <w:rsid w:val="00B47E8E"/>
    <w:rsid w:val="00B518F9"/>
    <w:rsid w:val="00B51DD6"/>
    <w:rsid w:val="00B53C57"/>
    <w:rsid w:val="00B54100"/>
    <w:rsid w:val="00B565F3"/>
    <w:rsid w:val="00B57294"/>
    <w:rsid w:val="00B61E0B"/>
    <w:rsid w:val="00B623BE"/>
    <w:rsid w:val="00B62951"/>
    <w:rsid w:val="00B62A33"/>
    <w:rsid w:val="00B65E42"/>
    <w:rsid w:val="00B66F50"/>
    <w:rsid w:val="00B67C28"/>
    <w:rsid w:val="00B70B8F"/>
    <w:rsid w:val="00B715FA"/>
    <w:rsid w:val="00B721CA"/>
    <w:rsid w:val="00B72656"/>
    <w:rsid w:val="00B72E3E"/>
    <w:rsid w:val="00B74CBF"/>
    <w:rsid w:val="00B75276"/>
    <w:rsid w:val="00B76016"/>
    <w:rsid w:val="00B76D66"/>
    <w:rsid w:val="00B800EB"/>
    <w:rsid w:val="00B807FE"/>
    <w:rsid w:val="00B80E63"/>
    <w:rsid w:val="00B812CF"/>
    <w:rsid w:val="00B81AFC"/>
    <w:rsid w:val="00B82571"/>
    <w:rsid w:val="00B82B12"/>
    <w:rsid w:val="00B82D69"/>
    <w:rsid w:val="00B83663"/>
    <w:rsid w:val="00B83F78"/>
    <w:rsid w:val="00B85182"/>
    <w:rsid w:val="00B85D06"/>
    <w:rsid w:val="00B85E85"/>
    <w:rsid w:val="00B861C8"/>
    <w:rsid w:val="00B868EE"/>
    <w:rsid w:val="00B90543"/>
    <w:rsid w:val="00B92A85"/>
    <w:rsid w:val="00B92E8E"/>
    <w:rsid w:val="00B93D5D"/>
    <w:rsid w:val="00B94629"/>
    <w:rsid w:val="00B94BB9"/>
    <w:rsid w:val="00B95642"/>
    <w:rsid w:val="00B956D2"/>
    <w:rsid w:val="00B9674C"/>
    <w:rsid w:val="00B97E6B"/>
    <w:rsid w:val="00BA03A6"/>
    <w:rsid w:val="00BA0758"/>
    <w:rsid w:val="00BA187C"/>
    <w:rsid w:val="00BA2F4D"/>
    <w:rsid w:val="00BA44F9"/>
    <w:rsid w:val="00BA4517"/>
    <w:rsid w:val="00BA4B99"/>
    <w:rsid w:val="00BA50ED"/>
    <w:rsid w:val="00BA65B5"/>
    <w:rsid w:val="00BA73A2"/>
    <w:rsid w:val="00BA7A22"/>
    <w:rsid w:val="00BB0A96"/>
    <w:rsid w:val="00BB0C12"/>
    <w:rsid w:val="00BB3919"/>
    <w:rsid w:val="00BB3A76"/>
    <w:rsid w:val="00BB3B56"/>
    <w:rsid w:val="00BB6115"/>
    <w:rsid w:val="00BB6332"/>
    <w:rsid w:val="00BB6BAB"/>
    <w:rsid w:val="00BB6C5D"/>
    <w:rsid w:val="00BC054C"/>
    <w:rsid w:val="00BC0BDF"/>
    <w:rsid w:val="00BC1836"/>
    <w:rsid w:val="00BC18FE"/>
    <w:rsid w:val="00BC1C67"/>
    <w:rsid w:val="00BC2B01"/>
    <w:rsid w:val="00BC2D3B"/>
    <w:rsid w:val="00BC337F"/>
    <w:rsid w:val="00BC3C87"/>
    <w:rsid w:val="00BC4554"/>
    <w:rsid w:val="00BC47B4"/>
    <w:rsid w:val="00BC50C5"/>
    <w:rsid w:val="00BC51ED"/>
    <w:rsid w:val="00BC751D"/>
    <w:rsid w:val="00BC7C09"/>
    <w:rsid w:val="00BD0D22"/>
    <w:rsid w:val="00BD3748"/>
    <w:rsid w:val="00BD3C78"/>
    <w:rsid w:val="00BD5281"/>
    <w:rsid w:val="00BD659B"/>
    <w:rsid w:val="00BD685E"/>
    <w:rsid w:val="00BD6CEB"/>
    <w:rsid w:val="00BE07CC"/>
    <w:rsid w:val="00BE106E"/>
    <w:rsid w:val="00BE27A7"/>
    <w:rsid w:val="00BE3AEC"/>
    <w:rsid w:val="00BE424A"/>
    <w:rsid w:val="00BF1758"/>
    <w:rsid w:val="00BF36C4"/>
    <w:rsid w:val="00BF407E"/>
    <w:rsid w:val="00BF512C"/>
    <w:rsid w:val="00BF5729"/>
    <w:rsid w:val="00BF68C3"/>
    <w:rsid w:val="00BF74CA"/>
    <w:rsid w:val="00C012A6"/>
    <w:rsid w:val="00C01393"/>
    <w:rsid w:val="00C018A0"/>
    <w:rsid w:val="00C03612"/>
    <w:rsid w:val="00C03D8E"/>
    <w:rsid w:val="00C04AC6"/>
    <w:rsid w:val="00C04AFC"/>
    <w:rsid w:val="00C04E44"/>
    <w:rsid w:val="00C04ED1"/>
    <w:rsid w:val="00C050D8"/>
    <w:rsid w:val="00C05D7E"/>
    <w:rsid w:val="00C0787C"/>
    <w:rsid w:val="00C078A6"/>
    <w:rsid w:val="00C10E06"/>
    <w:rsid w:val="00C1238D"/>
    <w:rsid w:val="00C1368B"/>
    <w:rsid w:val="00C149DF"/>
    <w:rsid w:val="00C14C5A"/>
    <w:rsid w:val="00C154A3"/>
    <w:rsid w:val="00C15586"/>
    <w:rsid w:val="00C155B9"/>
    <w:rsid w:val="00C177A5"/>
    <w:rsid w:val="00C2115D"/>
    <w:rsid w:val="00C25181"/>
    <w:rsid w:val="00C306A5"/>
    <w:rsid w:val="00C30944"/>
    <w:rsid w:val="00C319C2"/>
    <w:rsid w:val="00C31D65"/>
    <w:rsid w:val="00C32744"/>
    <w:rsid w:val="00C33433"/>
    <w:rsid w:val="00C34A90"/>
    <w:rsid w:val="00C35640"/>
    <w:rsid w:val="00C35B92"/>
    <w:rsid w:val="00C35C70"/>
    <w:rsid w:val="00C35E97"/>
    <w:rsid w:val="00C367C7"/>
    <w:rsid w:val="00C40838"/>
    <w:rsid w:val="00C433CD"/>
    <w:rsid w:val="00C4341E"/>
    <w:rsid w:val="00C436CD"/>
    <w:rsid w:val="00C4428E"/>
    <w:rsid w:val="00C458F7"/>
    <w:rsid w:val="00C46509"/>
    <w:rsid w:val="00C4680C"/>
    <w:rsid w:val="00C50559"/>
    <w:rsid w:val="00C50D0C"/>
    <w:rsid w:val="00C51CB9"/>
    <w:rsid w:val="00C5229A"/>
    <w:rsid w:val="00C52622"/>
    <w:rsid w:val="00C52887"/>
    <w:rsid w:val="00C561BB"/>
    <w:rsid w:val="00C56531"/>
    <w:rsid w:val="00C56587"/>
    <w:rsid w:val="00C60997"/>
    <w:rsid w:val="00C6109C"/>
    <w:rsid w:val="00C641D6"/>
    <w:rsid w:val="00C64F2A"/>
    <w:rsid w:val="00C65F93"/>
    <w:rsid w:val="00C66293"/>
    <w:rsid w:val="00C66736"/>
    <w:rsid w:val="00C66907"/>
    <w:rsid w:val="00C70A38"/>
    <w:rsid w:val="00C71366"/>
    <w:rsid w:val="00C71F42"/>
    <w:rsid w:val="00C729F6"/>
    <w:rsid w:val="00C748C4"/>
    <w:rsid w:val="00C74B1F"/>
    <w:rsid w:val="00C751F9"/>
    <w:rsid w:val="00C754B0"/>
    <w:rsid w:val="00C756C4"/>
    <w:rsid w:val="00C76D03"/>
    <w:rsid w:val="00C81297"/>
    <w:rsid w:val="00C81607"/>
    <w:rsid w:val="00C82C23"/>
    <w:rsid w:val="00C848D7"/>
    <w:rsid w:val="00C855FB"/>
    <w:rsid w:val="00C8652C"/>
    <w:rsid w:val="00C876A8"/>
    <w:rsid w:val="00C877A3"/>
    <w:rsid w:val="00C9098B"/>
    <w:rsid w:val="00C9163A"/>
    <w:rsid w:val="00C91838"/>
    <w:rsid w:val="00C923F8"/>
    <w:rsid w:val="00C95FFF"/>
    <w:rsid w:val="00C96B3C"/>
    <w:rsid w:val="00C97A3F"/>
    <w:rsid w:val="00CA0C24"/>
    <w:rsid w:val="00CA14E0"/>
    <w:rsid w:val="00CA1853"/>
    <w:rsid w:val="00CA19BF"/>
    <w:rsid w:val="00CA2ABE"/>
    <w:rsid w:val="00CA2ED0"/>
    <w:rsid w:val="00CA51F5"/>
    <w:rsid w:val="00CA6CDB"/>
    <w:rsid w:val="00CA6D71"/>
    <w:rsid w:val="00CA7B46"/>
    <w:rsid w:val="00CB004E"/>
    <w:rsid w:val="00CB0C69"/>
    <w:rsid w:val="00CB1DAC"/>
    <w:rsid w:val="00CB3144"/>
    <w:rsid w:val="00CB36FE"/>
    <w:rsid w:val="00CB3A97"/>
    <w:rsid w:val="00CB3DC4"/>
    <w:rsid w:val="00CB3F60"/>
    <w:rsid w:val="00CB4BB6"/>
    <w:rsid w:val="00CB4E13"/>
    <w:rsid w:val="00CB54CE"/>
    <w:rsid w:val="00CB60C5"/>
    <w:rsid w:val="00CB7CD1"/>
    <w:rsid w:val="00CB7ED9"/>
    <w:rsid w:val="00CC17B6"/>
    <w:rsid w:val="00CC216D"/>
    <w:rsid w:val="00CC36D6"/>
    <w:rsid w:val="00CC37B2"/>
    <w:rsid w:val="00CC4316"/>
    <w:rsid w:val="00CC4D58"/>
    <w:rsid w:val="00CC6FE9"/>
    <w:rsid w:val="00CC7AB4"/>
    <w:rsid w:val="00CD0CC6"/>
    <w:rsid w:val="00CD0D37"/>
    <w:rsid w:val="00CD0D38"/>
    <w:rsid w:val="00CD187B"/>
    <w:rsid w:val="00CD24EA"/>
    <w:rsid w:val="00CD3A4D"/>
    <w:rsid w:val="00CD4270"/>
    <w:rsid w:val="00CD4ED0"/>
    <w:rsid w:val="00CD5160"/>
    <w:rsid w:val="00CD56F0"/>
    <w:rsid w:val="00CD6871"/>
    <w:rsid w:val="00CD71F6"/>
    <w:rsid w:val="00CD76E0"/>
    <w:rsid w:val="00CD7770"/>
    <w:rsid w:val="00CE15AD"/>
    <w:rsid w:val="00CE15B3"/>
    <w:rsid w:val="00CE17B0"/>
    <w:rsid w:val="00CE1E73"/>
    <w:rsid w:val="00CE2316"/>
    <w:rsid w:val="00CE2ED3"/>
    <w:rsid w:val="00CE3741"/>
    <w:rsid w:val="00CE3C0A"/>
    <w:rsid w:val="00CE3D39"/>
    <w:rsid w:val="00CE5668"/>
    <w:rsid w:val="00CE61D9"/>
    <w:rsid w:val="00CE7701"/>
    <w:rsid w:val="00CE7A8F"/>
    <w:rsid w:val="00CF24C0"/>
    <w:rsid w:val="00CF42CC"/>
    <w:rsid w:val="00CF5067"/>
    <w:rsid w:val="00CF6708"/>
    <w:rsid w:val="00CF7DFE"/>
    <w:rsid w:val="00D00429"/>
    <w:rsid w:val="00D01B28"/>
    <w:rsid w:val="00D02027"/>
    <w:rsid w:val="00D02175"/>
    <w:rsid w:val="00D049F6"/>
    <w:rsid w:val="00D05F0C"/>
    <w:rsid w:val="00D065BF"/>
    <w:rsid w:val="00D06B3E"/>
    <w:rsid w:val="00D073EC"/>
    <w:rsid w:val="00D10338"/>
    <w:rsid w:val="00D112D4"/>
    <w:rsid w:val="00D1171C"/>
    <w:rsid w:val="00D11C3D"/>
    <w:rsid w:val="00D11DB0"/>
    <w:rsid w:val="00D135E4"/>
    <w:rsid w:val="00D1424A"/>
    <w:rsid w:val="00D1425F"/>
    <w:rsid w:val="00D159DF"/>
    <w:rsid w:val="00D16D23"/>
    <w:rsid w:val="00D2152F"/>
    <w:rsid w:val="00D231D5"/>
    <w:rsid w:val="00D23425"/>
    <w:rsid w:val="00D24614"/>
    <w:rsid w:val="00D24AD0"/>
    <w:rsid w:val="00D24D8F"/>
    <w:rsid w:val="00D25A67"/>
    <w:rsid w:val="00D26E54"/>
    <w:rsid w:val="00D27C69"/>
    <w:rsid w:val="00D30546"/>
    <w:rsid w:val="00D30E3C"/>
    <w:rsid w:val="00D3211B"/>
    <w:rsid w:val="00D32FA9"/>
    <w:rsid w:val="00D342C3"/>
    <w:rsid w:val="00D34A1F"/>
    <w:rsid w:val="00D36526"/>
    <w:rsid w:val="00D40A6A"/>
    <w:rsid w:val="00D40B96"/>
    <w:rsid w:val="00D4129D"/>
    <w:rsid w:val="00D4218B"/>
    <w:rsid w:val="00D423D2"/>
    <w:rsid w:val="00D42AEB"/>
    <w:rsid w:val="00D43EA2"/>
    <w:rsid w:val="00D453E9"/>
    <w:rsid w:val="00D472A7"/>
    <w:rsid w:val="00D473FA"/>
    <w:rsid w:val="00D5009B"/>
    <w:rsid w:val="00D5016C"/>
    <w:rsid w:val="00D50ADF"/>
    <w:rsid w:val="00D525C4"/>
    <w:rsid w:val="00D52F50"/>
    <w:rsid w:val="00D52FF7"/>
    <w:rsid w:val="00D53257"/>
    <w:rsid w:val="00D57C99"/>
    <w:rsid w:val="00D60851"/>
    <w:rsid w:val="00D60BCF"/>
    <w:rsid w:val="00D61A4E"/>
    <w:rsid w:val="00D62762"/>
    <w:rsid w:val="00D7024D"/>
    <w:rsid w:val="00D7098A"/>
    <w:rsid w:val="00D7124A"/>
    <w:rsid w:val="00D73607"/>
    <w:rsid w:val="00D739A6"/>
    <w:rsid w:val="00D73C18"/>
    <w:rsid w:val="00D768A7"/>
    <w:rsid w:val="00D808DA"/>
    <w:rsid w:val="00D80FC2"/>
    <w:rsid w:val="00D80FE5"/>
    <w:rsid w:val="00D8390E"/>
    <w:rsid w:val="00D841C7"/>
    <w:rsid w:val="00D8492F"/>
    <w:rsid w:val="00D84E2A"/>
    <w:rsid w:val="00D854F4"/>
    <w:rsid w:val="00D859D8"/>
    <w:rsid w:val="00D86E41"/>
    <w:rsid w:val="00D876A7"/>
    <w:rsid w:val="00D90250"/>
    <w:rsid w:val="00D906E1"/>
    <w:rsid w:val="00D9229E"/>
    <w:rsid w:val="00D93719"/>
    <w:rsid w:val="00D950C2"/>
    <w:rsid w:val="00D95948"/>
    <w:rsid w:val="00D9610E"/>
    <w:rsid w:val="00D96BFB"/>
    <w:rsid w:val="00D975F6"/>
    <w:rsid w:val="00D97638"/>
    <w:rsid w:val="00D97A63"/>
    <w:rsid w:val="00D97CD5"/>
    <w:rsid w:val="00DA07DF"/>
    <w:rsid w:val="00DA08CD"/>
    <w:rsid w:val="00DA2E7F"/>
    <w:rsid w:val="00DA37F3"/>
    <w:rsid w:val="00DA3D9E"/>
    <w:rsid w:val="00DA3F20"/>
    <w:rsid w:val="00DA50FE"/>
    <w:rsid w:val="00DA58F7"/>
    <w:rsid w:val="00DA5959"/>
    <w:rsid w:val="00DA5DCC"/>
    <w:rsid w:val="00DA601F"/>
    <w:rsid w:val="00DA63B8"/>
    <w:rsid w:val="00DA6886"/>
    <w:rsid w:val="00DA77ED"/>
    <w:rsid w:val="00DA7B51"/>
    <w:rsid w:val="00DA7DEA"/>
    <w:rsid w:val="00DB0855"/>
    <w:rsid w:val="00DB1BEC"/>
    <w:rsid w:val="00DB3A1D"/>
    <w:rsid w:val="00DB3C52"/>
    <w:rsid w:val="00DB4A17"/>
    <w:rsid w:val="00DB4C6C"/>
    <w:rsid w:val="00DB5C4C"/>
    <w:rsid w:val="00DB7589"/>
    <w:rsid w:val="00DC0814"/>
    <w:rsid w:val="00DC1020"/>
    <w:rsid w:val="00DC2B8C"/>
    <w:rsid w:val="00DC4BD6"/>
    <w:rsid w:val="00DC4FCE"/>
    <w:rsid w:val="00DC779C"/>
    <w:rsid w:val="00DD0088"/>
    <w:rsid w:val="00DD03B7"/>
    <w:rsid w:val="00DD0758"/>
    <w:rsid w:val="00DD22EF"/>
    <w:rsid w:val="00DD3D14"/>
    <w:rsid w:val="00DD6578"/>
    <w:rsid w:val="00DD6810"/>
    <w:rsid w:val="00DD6F94"/>
    <w:rsid w:val="00DE2049"/>
    <w:rsid w:val="00DE2A14"/>
    <w:rsid w:val="00DE2AF3"/>
    <w:rsid w:val="00DE2B67"/>
    <w:rsid w:val="00DE6FD9"/>
    <w:rsid w:val="00DE73FE"/>
    <w:rsid w:val="00DE7745"/>
    <w:rsid w:val="00DF27BC"/>
    <w:rsid w:val="00DF39AF"/>
    <w:rsid w:val="00DF57AF"/>
    <w:rsid w:val="00DF622B"/>
    <w:rsid w:val="00DF74E6"/>
    <w:rsid w:val="00DF7FFD"/>
    <w:rsid w:val="00E0061F"/>
    <w:rsid w:val="00E0171F"/>
    <w:rsid w:val="00E025BF"/>
    <w:rsid w:val="00E027B6"/>
    <w:rsid w:val="00E03323"/>
    <w:rsid w:val="00E03766"/>
    <w:rsid w:val="00E03CC4"/>
    <w:rsid w:val="00E03D20"/>
    <w:rsid w:val="00E048E7"/>
    <w:rsid w:val="00E04A8F"/>
    <w:rsid w:val="00E05190"/>
    <w:rsid w:val="00E05469"/>
    <w:rsid w:val="00E0562A"/>
    <w:rsid w:val="00E06701"/>
    <w:rsid w:val="00E07346"/>
    <w:rsid w:val="00E0767D"/>
    <w:rsid w:val="00E10068"/>
    <w:rsid w:val="00E106E8"/>
    <w:rsid w:val="00E11876"/>
    <w:rsid w:val="00E1192B"/>
    <w:rsid w:val="00E13EA2"/>
    <w:rsid w:val="00E14155"/>
    <w:rsid w:val="00E14682"/>
    <w:rsid w:val="00E1541A"/>
    <w:rsid w:val="00E169D6"/>
    <w:rsid w:val="00E16E8F"/>
    <w:rsid w:val="00E17FC0"/>
    <w:rsid w:val="00E20112"/>
    <w:rsid w:val="00E20818"/>
    <w:rsid w:val="00E209A1"/>
    <w:rsid w:val="00E21290"/>
    <w:rsid w:val="00E2181D"/>
    <w:rsid w:val="00E21A02"/>
    <w:rsid w:val="00E2450E"/>
    <w:rsid w:val="00E24E1F"/>
    <w:rsid w:val="00E25503"/>
    <w:rsid w:val="00E25B3B"/>
    <w:rsid w:val="00E26360"/>
    <w:rsid w:val="00E27402"/>
    <w:rsid w:val="00E30CFB"/>
    <w:rsid w:val="00E31CFA"/>
    <w:rsid w:val="00E331AD"/>
    <w:rsid w:val="00E3457F"/>
    <w:rsid w:val="00E358F0"/>
    <w:rsid w:val="00E36959"/>
    <w:rsid w:val="00E3780F"/>
    <w:rsid w:val="00E37B46"/>
    <w:rsid w:val="00E402A7"/>
    <w:rsid w:val="00E404F3"/>
    <w:rsid w:val="00E40C15"/>
    <w:rsid w:val="00E41309"/>
    <w:rsid w:val="00E41AF5"/>
    <w:rsid w:val="00E43D42"/>
    <w:rsid w:val="00E46F13"/>
    <w:rsid w:val="00E47021"/>
    <w:rsid w:val="00E475F8"/>
    <w:rsid w:val="00E47707"/>
    <w:rsid w:val="00E47FD1"/>
    <w:rsid w:val="00E502F3"/>
    <w:rsid w:val="00E5075A"/>
    <w:rsid w:val="00E5246D"/>
    <w:rsid w:val="00E52C83"/>
    <w:rsid w:val="00E542A3"/>
    <w:rsid w:val="00E55A1A"/>
    <w:rsid w:val="00E55D31"/>
    <w:rsid w:val="00E565CA"/>
    <w:rsid w:val="00E56E68"/>
    <w:rsid w:val="00E56FFC"/>
    <w:rsid w:val="00E602DF"/>
    <w:rsid w:val="00E60D28"/>
    <w:rsid w:val="00E6124C"/>
    <w:rsid w:val="00E61E93"/>
    <w:rsid w:val="00E623D4"/>
    <w:rsid w:val="00E62583"/>
    <w:rsid w:val="00E62FF7"/>
    <w:rsid w:val="00E63344"/>
    <w:rsid w:val="00E64EB4"/>
    <w:rsid w:val="00E65428"/>
    <w:rsid w:val="00E66B82"/>
    <w:rsid w:val="00E670BC"/>
    <w:rsid w:val="00E67815"/>
    <w:rsid w:val="00E70369"/>
    <w:rsid w:val="00E727C5"/>
    <w:rsid w:val="00E72CA7"/>
    <w:rsid w:val="00E73A68"/>
    <w:rsid w:val="00E73CF4"/>
    <w:rsid w:val="00E74DA3"/>
    <w:rsid w:val="00E75629"/>
    <w:rsid w:val="00E75E5F"/>
    <w:rsid w:val="00E775AF"/>
    <w:rsid w:val="00E77CB8"/>
    <w:rsid w:val="00E81427"/>
    <w:rsid w:val="00E81C3F"/>
    <w:rsid w:val="00E84BBF"/>
    <w:rsid w:val="00E864EB"/>
    <w:rsid w:val="00E866EB"/>
    <w:rsid w:val="00E86A81"/>
    <w:rsid w:val="00E871B3"/>
    <w:rsid w:val="00E87936"/>
    <w:rsid w:val="00E87E40"/>
    <w:rsid w:val="00E90CD5"/>
    <w:rsid w:val="00E92104"/>
    <w:rsid w:val="00E93B7E"/>
    <w:rsid w:val="00E93E9C"/>
    <w:rsid w:val="00E95863"/>
    <w:rsid w:val="00E959BC"/>
    <w:rsid w:val="00E9620B"/>
    <w:rsid w:val="00E962EF"/>
    <w:rsid w:val="00EA00D2"/>
    <w:rsid w:val="00EA044A"/>
    <w:rsid w:val="00EA0FD6"/>
    <w:rsid w:val="00EA4603"/>
    <w:rsid w:val="00EA460E"/>
    <w:rsid w:val="00EA5619"/>
    <w:rsid w:val="00EA5B18"/>
    <w:rsid w:val="00EA6275"/>
    <w:rsid w:val="00EA68D8"/>
    <w:rsid w:val="00EB0A7D"/>
    <w:rsid w:val="00EB33A1"/>
    <w:rsid w:val="00EB33B2"/>
    <w:rsid w:val="00EB3B08"/>
    <w:rsid w:val="00EB4B9C"/>
    <w:rsid w:val="00EB5DB4"/>
    <w:rsid w:val="00EC1FAC"/>
    <w:rsid w:val="00EC28BD"/>
    <w:rsid w:val="00EC3D76"/>
    <w:rsid w:val="00EC4464"/>
    <w:rsid w:val="00EC5B5A"/>
    <w:rsid w:val="00EC5CF7"/>
    <w:rsid w:val="00EC6D11"/>
    <w:rsid w:val="00EC7143"/>
    <w:rsid w:val="00ED2C4A"/>
    <w:rsid w:val="00ED373F"/>
    <w:rsid w:val="00ED3E45"/>
    <w:rsid w:val="00ED4628"/>
    <w:rsid w:val="00ED4CA8"/>
    <w:rsid w:val="00ED4E15"/>
    <w:rsid w:val="00ED5219"/>
    <w:rsid w:val="00ED57FD"/>
    <w:rsid w:val="00ED62E5"/>
    <w:rsid w:val="00ED6512"/>
    <w:rsid w:val="00ED65D8"/>
    <w:rsid w:val="00ED6718"/>
    <w:rsid w:val="00ED7555"/>
    <w:rsid w:val="00EE0636"/>
    <w:rsid w:val="00EE1270"/>
    <w:rsid w:val="00EE1425"/>
    <w:rsid w:val="00EE1817"/>
    <w:rsid w:val="00EE1AE4"/>
    <w:rsid w:val="00EE2136"/>
    <w:rsid w:val="00EE31D9"/>
    <w:rsid w:val="00EE34CD"/>
    <w:rsid w:val="00EE38EB"/>
    <w:rsid w:val="00EE44F1"/>
    <w:rsid w:val="00EE4F3E"/>
    <w:rsid w:val="00EE5301"/>
    <w:rsid w:val="00EE54A8"/>
    <w:rsid w:val="00EE6312"/>
    <w:rsid w:val="00EE6771"/>
    <w:rsid w:val="00EE7F45"/>
    <w:rsid w:val="00EF1D66"/>
    <w:rsid w:val="00EF2A8A"/>
    <w:rsid w:val="00EF2F30"/>
    <w:rsid w:val="00EF3DC9"/>
    <w:rsid w:val="00EF46C5"/>
    <w:rsid w:val="00EF4B31"/>
    <w:rsid w:val="00EF5FCA"/>
    <w:rsid w:val="00EF649D"/>
    <w:rsid w:val="00EF65A7"/>
    <w:rsid w:val="00EF7543"/>
    <w:rsid w:val="00EF77C4"/>
    <w:rsid w:val="00F0014F"/>
    <w:rsid w:val="00F0048A"/>
    <w:rsid w:val="00F0062B"/>
    <w:rsid w:val="00F01871"/>
    <w:rsid w:val="00F019E1"/>
    <w:rsid w:val="00F0290B"/>
    <w:rsid w:val="00F041D7"/>
    <w:rsid w:val="00F06AFC"/>
    <w:rsid w:val="00F0724B"/>
    <w:rsid w:val="00F07F8F"/>
    <w:rsid w:val="00F1120D"/>
    <w:rsid w:val="00F128AE"/>
    <w:rsid w:val="00F12B26"/>
    <w:rsid w:val="00F1335A"/>
    <w:rsid w:val="00F13417"/>
    <w:rsid w:val="00F1482F"/>
    <w:rsid w:val="00F16C8E"/>
    <w:rsid w:val="00F20C92"/>
    <w:rsid w:val="00F21D86"/>
    <w:rsid w:val="00F21E4F"/>
    <w:rsid w:val="00F220BC"/>
    <w:rsid w:val="00F22150"/>
    <w:rsid w:val="00F24094"/>
    <w:rsid w:val="00F242BB"/>
    <w:rsid w:val="00F25C5F"/>
    <w:rsid w:val="00F25CE2"/>
    <w:rsid w:val="00F26292"/>
    <w:rsid w:val="00F279F1"/>
    <w:rsid w:val="00F31B8B"/>
    <w:rsid w:val="00F3275E"/>
    <w:rsid w:val="00F32F13"/>
    <w:rsid w:val="00F33365"/>
    <w:rsid w:val="00F33E55"/>
    <w:rsid w:val="00F34969"/>
    <w:rsid w:val="00F34BA8"/>
    <w:rsid w:val="00F34D2C"/>
    <w:rsid w:val="00F34F83"/>
    <w:rsid w:val="00F352E1"/>
    <w:rsid w:val="00F3634A"/>
    <w:rsid w:val="00F36A7E"/>
    <w:rsid w:val="00F37CD8"/>
    <w:rsid w:val="00F37E2A"/>
    <w:rsid w:val="00F401C8"/>
    <w:rsid w:val="00F40A4D"/>
    <w:rsid w:val="00F4206B"/>
    <w:rsid w:val="00F43850"/>
    <w:rsid w:val="00F43E06"/>
    <w:rsid w:val="00F44418"/>
    <w:rsid w:val="00F44901"/>
    <w:rsid w:val="00F456FC"/>
    <w:rsid w:val="00F47089"/>
    <w:rsid w:val="00F507B9"/>
    <w:rsid w:val="00F509D6"/>
    <w:rsid w:val="00F50B88"/>
    <w:rsid w:val="00F50D59"/>
    <w:rsid w:val="00F51317"/>
    <w:rsid w:val="00F517C2"/>
    <w:rsid w:val="00F523C6"/>
    <w:rsid w:val="00F52A99"/>
    <w:rsid w:val="00F530DD"/>
    <w:rsid w:val="00F53C91"/>
    <w:rsid w:val="00F541F5"/>
    <w:rsid w:val="00F54A73"/>
    <w:rsid w:val="00F55C1F"/>
    <w:rsid w:val="00F5677C"/>
    <w:rsid w:val="00F56BF6"/>
    <w:rsid w:val="00F57177"/>
    <w:rsid w:val="00F57E22"/>
    <w:rsid w:val="00F6037A"/>
    <w:rsid w:val="00F6159E"/>
    <w:rsid w:val="00F61894"/>
    <w:rsid w:val="00F61F62"/>
    <w:rsid w:val="00F6270C"/>
    <w:rsid w:val="00F65EFD"/>
    <w:rsid w:val="00F66450"/>
    <w:rsid w:val="00F669C9"/>
    <w:rsid w:val="00F700A4"/>
    <w:rsid w:val="00F70159"/>
    <w:rsid w:val="00F71D42"/>
    <w:rsid w:val="00F73212"/>
    <w:rsid w:val="00F737FE"/>
    <w:rsid w:val="00F73983"/>
    <w:rsid w:val="00F73F71"/>
    <w:rsid w:val="00F768D4"/>
    <w:rsid w:val="00F76D74"/>
    <w:rsid w:val="00F7720E"/>
    <w:rsid w:val="00F77FDE"/>
    <w:rsid w:val="00F804AA"/>
    <w:rsid w:val="00F81DC6"/>
    <w:rsid w:val="00F839AC"/>
    <w:rsid w:val="00F84474"/>
    <w:rsid w:val="00F84C32"/>
    <w:rsid w:val="00F86E1A"/>
    <w:rsid w:val="00F905AA"/>
    <w:rsid w:val="00F90C7F"/>
    <w:rsid w:val="00F90CBE"/>
    <w:rsid w:val="00F91721"/>
    <w:rsid w:val="00F91822"/>
    <w:rsid w:val="00F91F52"/>
    <w:rsid w:val="00F922F6"/>
    <w:rsid w:val="00F92A07"/>
    <w:rsid w:val="00F93E3C"/>
    <w:rsid w:val="00F9440F"/>
    <w:rsid w:val="00F95202"/>
    <w:rsid w:val="00F972E4"/>
    <w:rsid w:val="00FA19B5"/>
    <w:rsid w:val="00FA21C6"/>
    <w:rsid w:val="00FA2928"/>
    <w:rsid w:val="00FA3813"/>
    <w:rsid w:val="00FA506D"/>
    <w:rsid w:val="00FA5DD3"/>
    <w:rsid w:val="00FA7296"/>
    <w:rsid w:val="00FB159B"/>
    <w:rsid w:val="00FB1859"/>
    <w:rsid w:val="00FB3BDC"/>
    <w:rsid w:val="00FB4144"/>
    <w:rsid w:val="00FB6845"/>
    <w:rsid w:val="00FB6A01"/>
    <w:rsid w:val="00FB6AE7"/>
    <w:rsid w:val="00FC04BA"/>
    <w:rsid w:val="00FC066D"/>
    <w:rsid w:val="00FC1B0F"/>
    <w:rsid w:val="00FC21EA"/>
    <w:rsid w:val="00FC2983"/>
    <w:rsid w:val="00FD17C6"/>
    <w:rsid w:val="00FD20BC"/>
    <w:rsid w:val="00FD2C00"/>
    <w:rsid w:val="00FD30FB"/>
    <w:rsid w:val="00FD371E"/>
    <w:rsid w:val="00FD424C"/>
    <w:rsid w:val="00FD4C32"/>
    <w:rsid w:val="00FD4C47"/>
    <w:rsid w:val="00FD70C0"/>
    <w:rsid w:val="00FD7AEE"/>
    <w:rsid w:val="00FD7EEA"/>
    <w:rsid w:val="00FE2353"/>
    <w:rsid w:val="00FE29B2"/>
    <w:rsid w:val="00FE314B"/>
    <w:rsid w:val="00FE40CF"/>
    <w:rsid w:val="00FE4DF8"/>
    <w:rsid w:val="00FE4F45"/>
    <w:rsid w:val="00FE5575"/>
    <w:rsid w:val="00FE5AC3"/>
    <w:rsid w:val="00FE5CF6"/>
    <w:rsid w:val="00FE7BB9"/>
    <w:rsid w:val="00FF0ABD"/>
    <w:rsid w:val="00FF17A1"/>
    <w:rsid w:val="00FF1F09"/>
    <w:rsid w:val="00FF21B5"/>
    <w:rsid w:val="00FF3424"/>
    <w:rsid w:val="00FF4157"/>
    <w:rsid w:val="00FF47D8"/>
    <w:rsid w:val="00FF4E19"/>
    <w:rsid w:val="00FF6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E3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iPriority="18"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9B"/>
  </w:style>
  <w:style w:type="paragraph" w:styleId="Heading1">
    <w:name w:val="heading 1"/>
    <w:basedOn w:val="Normal"/>
    <w:next w:val="Normal"/>
    <w:link w:val="Heading1Char"/>
    <w:uiPriority w:val="1"/>
    <w:qFormat/>
    <w:rsid w:val="00617C9B"/>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1"/>
    <w:unhideWhenUsed/>
    <w:qFormat/>
    <w:rsid w:val="00617C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617C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617C9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036D7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17C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617C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617C9B"/>
    <w:rPr>
      <w:rFonts w:asciiTheme="majorHAnsi" w:eastAsiaTheme="majorEastAsia" w:hAnsiTheme="majorHAnsi" w:cstheme="majorBidi"/>
      <w:i/>
      <w:iCs/>
      <w:color w:val="2E74B5" w:themeColor="accent1" w:themeShade="BF"/>
    </w:rPr>
  </w:style>
  <w:style w:type="paragraph" w:styleId="ListParagraph">
    <w:name w:val="List Paragraph"/>
    <w:aliases w:val="Bullet Point,Bullet point,Bullet points,Bulleted Para,CV text,Content descriptions,Dot pt,F5 List Paragraph,L,List Paragraph1,List Paragraph11,List Paragraph111,Main,Medium Grid 1 - Accent 21,NFP GP Bulleted List,Numbered Paragraph,Table"/>
    <w:basedOn w:val="Normal"/>
    <w:link w:val="ListParagraphChar"/>
    <w:uiPriority w:val="34"/>
    <w:qFormat/>
    <w:rsid w:val="00617C9B"/>
    <w:pPr>
      <w:ind w:left="720"/>
      <w:contextualSpacing/>
    </w:pPr>
  </w:style>
  <w:style w:type="character" w:customStyle="1" w:styleId="ListParagraphChar">
    <w:name w:val="List Paragraph Char"/>
    <w:aliases w:val="Bullet Point Char,Bullet point Char,Bullet points Char,Bulleted Para Char,CV text Char,Content descriptions Char,Dot pt Char,F5 List Paragraph Char,L Char,List Paragraph1 Char,List Paragraph11 Char,List Paragraph111 Char,Main Char"/>
    <w:basedOn w:val="DefaultParagraphFont"/>
    <w:link w:val="ListParagraph"/>
    <w:uiPriority w:val="34"/>
    <w:qFormat/>
    <w:locked/>
    <w:rsid w:val="00617C9B"/>
  </w:style>
  <w:style w:type="table" w:styleId="TableGrid">
    <w:name w:val="Table Grid"/>
    <w:basedOn w:val="TableNormal"/>
    <w:uiPriority w:val="59"/>
    <w:rsid w:val="00617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17C9B"/>
    <w:pPr>
      <w:spacing w:after="0" w:line="240" w:lineRule="auto"/>
    </w:pPr>
    <w:rPr>
      <w:sz w:val="20"/>
      <w:szCs w:val="20"/>
    </w:rPr>
  </w:style>
  <w:style w:type="character" w:customStyle="1" w:styleId="FootnoteTextChar">
    <w:name w:val="Footnote Text Char"/>
    <w:basedOn w:val="DefaultParagraphFont"/>
    <w:link w:val="FootnoteText"/>
    <w:uiPriority w:val="14"/>
    <w:rsid w:val="00617C9B"/>
    <w:rPr>
      <w:sz w:val="20"/>
      <w:szCs w:val="20"/>
    </w:rPr>
  </w:style>
  <w:style w:type="character" w:styleId="FootnoteReference">
    <w:name w:val="footnote reference"/>
    <w:aliases w:val="fr"/>
    <w:basedOn w:val="DefaultParagraphFont"/>
    <w:uiPriority w:val="14"/>
    <w:unhideWhenUsed/>
    <w:rsid w:val="00617C9B"/>
    <w:rPr>
      <w:vertAlign w:val="superscript"/>
    </w:rPr>
  </w:style>
  <w:style w:type="paragraph" w:customStyle="1" w:styleId="Default">
    <w:name w:val="Default"/>
    <w:rsid w:val="00617C9B"/>
    <w:pPr>
      <w:autoSpaceDE w:val="0"/>
      <w:autoSpaceDN w:val="0"/>
      <w:adjustRightInd w:val="0"/>
      <w:spacing w:after="0" w:line="240" w:lineRule="auto"/>
    </w:pPr>
    <w:rPr>
      <w:rFonts w:ascii="Segoe UI Light" w:hAnsi="Segoe UI Light" w:cs="Segoe UI Light"/>
      <w:color w:val="000000"/>
      <w:sz w:val="24"/>
      <w:szCs w:val="24"/>
    </w:rPr>
  </w:style>
  <w:style w:type="paragraph" w:customStyle="1" w:styleId="TableText">
    <w:name w:val="TableText"/>
    <w:basedOn w:val="Normal"/>
    <w:qFormat/>
    <w:rsid w:val="00617C9B"/>
    <w:pPr>
      <w:spacing w:before="120" w:after="120" w:line="240" w:lineRule="auto"/>
    </w:pPr>
    <w:rPr>
      <w:rFonts w:ascii="Century Gothic" w:eastAsiaTheme="majorEastAsia" w:hAnsi="Century Gothic" w:cs="Arial"/>
      <w:bCs/>
      <w:sz w:val="20"/>
      <w:szCs w:val="20"/>
    </w:rPr>
  </w:style>
  <w:style w:type="character" w:styleId="CommentReference">
    <w:name w:val="annotation reference"/>
    <w:basedOn w:val="DefaultParagraphFont"/>
    <w:uiPriority w:val="99"/>
    <w:semiHidden/>
    <w:unhideWhenUsed/>
    <w:rsid w:val="00617C9B"/>
    <w:rPr>
      <w:sz w:val="16"/>
      <w:szCs w:val="16"/>
    </w:rPr>
  </w:style>
  <w:style w:type="paragraph" w:styleId="CommentText">
    <w:name w:val="annotation text"/>
    <w:basedOn w:val="Normal"/>
    <w:link w:val="CommentTextChar"/>
    <w:uiPriority w:val="99"/>
    <w:unhideWhenUsed/>
    <w:rsid w:val="00617C9B"/>
    <w:pPr>
      <w:spacing w:line="240" w:lineRule="auto"/>
    </w:pPr>
    <w:rPr>
      <w:sz w:val="20"/>
      <w:szCs w:val="20"/>
    </w:rPr>
  </w:style>
  <w:style w:type="character" w:customStyle="1" w:styleId="CommentTextChar">
    <w:name w:val="Comment Text Char"/>
    <w:basedOn w:val="DefaultParagraphFont"/>
    <w:link w:val="CommentText"/>
    <w:uiPriority w:val="99"/>
    <w:rsid w:val="00617C9B"/>
    <w:rPr>
      <w:sz w:val="20"/>
      <w:szCs w:val="20"/>
    </w:rPr>
  </w:style>
  <w:style w:type="character" w:styleId="Hyperlink">
    <w:name w:val="Hyperlink"/>
    <w:basedOn w:val="DefaultParagraphFont"/>
    <w:uiPriority w:val="99"/>
    <w:unhideWhenUsed/>
    <w:rsid w:val="00617C9B"/>
    <w:rPr>
      <w:color w:val="0000FF"/>
      <w:u w:val="single"/>
    </w:rPr>
  </w:style>
  <w:style w:type="paragraph" w:styleId="BalloonText">
    <w:name w:val="Balloon Text"/>
    <w:basedOn w:val="Normal"/>
    <w:link w:val="BalloonTextChar"/>
    <w:uiPriority w:val="99"/>
    <w:semiHidden/>
    <w:unhideWhenUsed/>
    <w:rsid w:val="00617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C9B"/>
    <w:rPr>
      <w:rFonts w:ascii="Segoe UI" w:hAnsi="Segoe UI" w:cs="Segoe UI"/>
      <w:sz w:val="18"/>
      <w:szCs w:val="18"/>
    </w:rPr>
  </w:style>
  <w:style w:type="character" w:customStyle="1" w:styleId="Heading1Char">
    <w:name w:val="Heading 1 Char"/>
    <w:basedOn w:val="DefaultParagraphFont"/>
    <w:link w:val="Heading1"/>
    <w:uiPriority w:val="1"/>
    <w:rsid w:val="00617C9B"/>
    <w:rPr>
      <w:rFonts w:asciiTheme="majorHAnsi" w:eastAsiaTheme="majorEastAsia" w:hAnsiTheme="majorHAnsi" w:cstheme="majorBidi"/>
      <w:color w:val="2E74B5" w:themeColor="accent1" w:themeShade="BF"/>
      <w:sz w:val="32"/>
      <w:szCs w:val="32"/>
      <w:lang w:val="en-GB"/>
    </w:rPr>
  </w:style>
  <w:style w:type="paragraph" w:customStyle="1" w:styleId="paragraph">
    <w:name w:val="paragraph"/>
    <w:basedOn w:val="Normal"/>
    <w:rsid w:val="00617C9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617C9B"/>
    <w:pPr>
      <w:spacing w:after="0" w:line="260" w:lineRule="atLeast"/>
    </w:pPr>
    <w:rPr>
      <w:rFonts w:ascii="Times New Roman" w:hAnsi="Times New Roman"/>
      <w:szCs w:val="20"/>
    </w:rPr>
  </w:style>
  <w:style w:type="character" w:customStyle="1" w:styleId="BodyTextChar">
    <w:name w:val="Body Text Char"/>
    <w:basedOn w:val="DefaultParagraphFont"/>
    <w:link w:val="BodyText"/>
    <w:uiPriority w:val="1"/>
    <w:rsid w:val="00617C9B"/>
    <w:rPr>
      <w:rFonts w:ascii="Times New Roman" w:hAnsi="Times New Roman"/>
      <w:szCs w:val="20"/>
    </w:rPr>
  </w:style>
  <w:style w:type="paragraph" w:customStyle="1" w:styleId="BodyCopy">
    <w:name w:val="Body Copy"/>
    <w:link w:val="BodyCopyChar"/>
    <w:qFormat/>
    <w:rsid w:val="00617C9B"/>
    <w:pPr>
      <w:spacing w:before="120" w:after="120" w:line="240" w:lineRule="atLeast"/>
    </w:pPr>
    <w:rPr>
      <w:rFonts w:cs="Times New Roman"/>
      <w:color w:val="000000" w:themeColor="text1"/>
      <w:sz w:val="20"/>
      <w:szCs w:val="20"/>
    </w:rPr>
  </w:style>
  <w:style w:type="character" w:customStyle="1" w:styleId="BodyCopyChar">
    <w:name w:val="Body Copy Char"/>
    <w:basedOn w:val="DefaultParagraphFont"/>
    <w:link w:val="BodyCopy"/>
    <w:rsid w:val="00617C9B"/>
    <w:rPr>
      <w:rFonts w:cs="Times New Roman"/>
      <w:color w:val="000000" w:themeColor="text1"/>
      <w:sz w:val="20"/>
      <w:szCs w:val="20"/>
    </w:rPr>
  </w:style>
  <w:style w:type="paragraph" w:customStyle="1" w:styleId="Bullets1stindent">
    <w:name w:val="Bullets (1st indent)"/>
    <w:basedOn w:val="BodyCopy"/>
    <w:link w:val="Bullets1stindentChar"/>
    <w:autoRedefine/>
    <w:uiPriority w:val="2"/>
    <w:qFormat/>
    <w:rsid w:val="00B47D88"/>
    <w:pPr>
      <w:spacing w:before="60" w:after="60"/>
      <w:ind w:right="453"/>
      <w:textAlignment w:val="baseline"/>
    </w:pPr>
    <w:rPr>
      <w:rFonts w:cstheme="minorHAnsi"/>
      <w:b/>
      <w:sz w:val="22"/>
    </w:rPr>
  </w:style>
  <w:style w:type="paragraph" w:styleId="Title">
    <w:name w:val="Title"/>
    <w:basedOn w:val="Normal"/>
    <w:next w:val="Normal"/>
    <w:link w:val="TitleChar"/>
    <w:uiPriority w:val="19"/>
    <w:qFormat/>
    <w:rsid w:val="00F004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F0048A"/>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A12A6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7028F"/>
    <w:rPr>
      <w:b/>
      <w:bCs/>
    </w:rPr>
  </w:style>
  <w:style w:type="character" w:customStyle="1" w:styleId="CommentSubjectChar">
    <w:name w:val="Comment Subject Char"/>
    <w:basedOn w:val="CommentTextChar"/>
    <w:link w:val="CommentSubject"/>
    <w:uiPriority w:val="99"/>
    <w:semiHidden/>
    <w:rsid w:val="0057028F"/>
    <w:rPr>
      <w:b/>
      <w:bCs/>
      <w:sz w:val="20"/>
      <w:szCs w:val="20"/>
    </w:rPr>
  </w:style>
  <w:style w:type="paragraph" w:styleId="NoSpacing">
    <w:name w:val="No Spacing"/>
    <w:link w:val="NoSpacingChar"/>
    <w:uiPriority w:val="1"/>
    <w:qFormat/>
    <w:rsid w:val="004C52A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C52A4"/>
    <w:rPr>
      <w:rFonts w:eastAsiaTheme="minorEastAsia"/>
      <w:lang w:val="en-US"/>
    </w:rPr>
  </w:style>
  <w:style w:type="paragraph" w:styleId="NormalWeb">
    <w:name w:val="Normal (Web)"/>
    <w:basedOn w:val="Normal"/>
    <w:uiPriority w:val="99"/>
    <w:semiHidden/>
    <w:unhideWhenUsed/>
    <w:rsid w:val="004C0E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F6259"/>
    <w:rPr>
      <w:b/>
      <w:bCs/>
    </w:rPr>
  </w:style>
  <w:style w:type="paragraph" w:styleId="Header">
    <w:name w:val="header"/>
    <w:basedOn w:val="Normal"/>
    <w:link w:val="HeaderChar"/>
    <w:uiPriority w:val="9"/>
    <w:unhideWhenUsed/>
    <w:rsid w:val="00D42AEB"/>
    <w:pPr>
      <w:tabs>
        <w:tab w:val="center" w:pos="4513"/>
        <w:tab w:val="right" w:pos="9026"/>
      </w:tabs>
      <w:spacing w:after="0" w:line="240" w:lineRule="auto"/>
    </w:pPr>
  </w:style>
  <w:style w:type="character" w:customStyle="1" w:styleId="HeaderChar">
    <w:name w:val="Header Char"/>
    <w:basedOn w:val="DefaultParagraphFont"/>
    <w:link w:val="Header"/>
    <w:uiPriority w:val="9"/>
    <w:rsid w:val="00D42AEB"/>
  </w:style>
  <w:style w:type="paragraph" w:styleId="Footer">
    <w:name w:val="footer"/>
    <w:basedOn w:val="Normal"/>
    <w:link w:val="FooterChar"/>
    <w:uiPriority w:val="99"/>
    <w:unhideWhenUsed/>
    <w:rsid w:val="00D42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AEB"/>
  </w:style>
  <w:style w:type="character" w:styleId="Emphasis">
    <w:name w:val="Emphasis"/>
    <w:basedOn w:val="DefaultParagraphFont"/>
    <w:uiPriority w:val="20"/>
    <w:qFormat/>
    <w:rsid w:val="00FB6A01"/>
    <w:rPr>
      <w:i/>
      <w:iCs/>
    </w:rPr>
  </w:style>
  <w:style w:type="paragraph" w:styleId="EndnoteText">
    <w:name w:val="endnote text"/>
    <w:basedOn w:val="Normal"/>
    <w:link w:val="EndnoteTextChar"/>
    <w:uiPriority w:val="99"/>
    <w:semiHidden/>
    <w:unhideWhenUsed/>
    <w:rsid w:val="00D768A7"/>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14"/>
    <w:semiHidden/>
    <w:rsid w:val="00D768A7"/>
    <w:rPr>
      <w:rFonts w:ascii="Times New Roman" w:hAnsi="Times New Roman"/>
      <w:sz w:val="20"/>
      <w:szCs w:val="20"/>
    </w:rPr>
  </w:style>
  <w:style w:type="character" w:styleId="EndnoteReference">
    <w:name w:val="endnote reference"/>
    <w:basedOn w:val="DefaultParagraphFont"/>
    <w:uiPriority w:val="99"/>
    <w:semiHidden/>
    <w:unhideWhenUsed/>
    <w:rsid w:val="00D768A7"/>
    <w:rPr>
      <w:vertAlign w:val="superscript"/>
    </w:rPr>
  </w:style>
  <w:style w:type="character" w:customStyle="1" w:styleId="Heading5Char">
    <w:name w:val="Heading 5 Char"/>
    <w:basedOn w:val="DefaultParagraphFont"/>
    <w:link w:val="Heading5"/>
    <w:uiPriority w:val="1"/>
    <w:rsid w:val="00036D75"/>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4A4A91"/>
    <w:pPr>
      <w:outlineLvl w:val="9"/>
    </w:pPr>
    <w:rPr>
      <w:lang w:val="en-US"/>
    </w:rPr>
  </w:style>
  <w:style w:type="paragraph" w:styleId="TOC1">
    <w:name w:val="toc 1"/>
    <w:basedOn w:val="Normal"/>
    <w:next w:val="Normal"/>
    <w:autoRedefine/>
    <w:uiPriority w:val="39"/>
    <w:unhideWhenUsed/>
    <w:rsid w:val="004A4A91"/>
    <w:pPr>
      <w:spacing w:after="100"/>
    </w:pPr>
  </w:style>
  <w:style w:type="paragraph" w:styleId="TOC2">
    <w:name w:val="toc 2"/>
    <w:basedOn w:val="Normal"/>
    <w:next w:val="Normal"/>
    <w:autoRedefine/>
    <w:uiPriority w:val="39"/>
    <w:unhideWhenUsed/>
    <w:rsid w:val="004A4A91"/>
    <w:pPr>
      <w:spacing w:after="100"/>
      <w:ind w:left="220"/>
    </w:pPr>
  </w:style>
  <w:style w:type="paragraph" w:customStyle="1" w:styleId="ListBulletLevel1">
    <w:name w:val="List Bullet Level 1"/>
    <w:basedOn w:val="BodyText"/>
    <w:link w:val="ListBulletLevel1Char"/>
    <w:qFormat/>
    <w:rsid w:val="0006609E"/>
    <w:pPr>
      <w:numPr>
        <w:numId w:val="24"/>
      </w:numPr>
      <w:suppressAutoHyphens/>
      <w:spacing w:before="140" w:after="140" w:line="336" w:lineRule="auto"/>
    </w:pPr>
    <w:rPr>
      <w:rFonts w:ascii="Arial" w:eastAsia="Times New Roman" w:hAnsi="Arial" w:cs="Arial"/>
      <w:sz w:val="24"/>
      <w:szCs w:val="24"/>
      <w:lang w:eastAsia="en-AU"/>
    </w:rPr>
  </w:style>
  <w:style w:type="paragraph" w:customStyle="1" w:styleId="ListBulletLevel2">
    <w:name w:val="List Bullet Level 2"/>
    <w:basedOn w:val="ListBulletLevel1"/>
    <w:qFormat/>
    <w:rsid w:val="0006609E"/>
    <w:pPr>
      <w:numPr>
        <w:ilvl w:val="1"/>
      </w:numPr>
      <w:tabs>
        <w:tab w:val="clear" w:pos="1049"/>
        <w:tab w:val="left" w:pos="454"/>
      </w:tabs>
      <w:spacing w:before="0"/>
      <w:ind w:left="1440" w:hanging="360"/>
    </w:pPr>
  </w:style>
  <w:style w:type="character" w:customStyle="1" w:styleId="ListBulletLevel1Char">
    <w:name w:val="List Bullet Level 1 Char"/>
    <w:link w:val="ListBulletLevel1"/>
    <w:rsid w:val="0006609E"/>
    <w:rPr>
      <w:rFonts w:ascii="Arial" w:eastAsia="Times New Roman" w:hAnsi="Arial" w:cs="Arial"/>
      <w:sz w:val="24"/>
      <w:szCs w:val="24"/>
      <w:lang w:eastAsia="en-AU"/>
    </w:rPr>
  </w:style>
  <w:style w:type="table" w:styleId="GridTable4-Accent1">
    <w:name w:val="Grid Table 4 Accent 1"/>
    <w:basedOn w:val="TableNormal"/>
    <w:uiPriority w:val="49"/>
    <w:rsid w:val="001F74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3">
    <w:name w:val="Body Text 3"/>
    <w:basedOn w:val="Normal"/>
    <w:link w:val="BodyText3Char"/>
    <w:uiPriority w:val="99"/>
    <w:unhideWhenUsed/>
    <w:rsid w:val="00037156"/>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rsid w:val="00037156"/>
    <w:rPr>
      <w:rFonts w:ascii="Times New Roman" w:eastAsia="Times New Roman" w:hAnsi="Times New Roman" w:cs="Times New Roman"/>
      <w:sz w:val="16"/>
      <w:szCs w:val="16"/>
      <w:lang w:eastAsia="en-GB"/>
    </w:rPr>
  </w:style>
  <w:style w:type="table" w:customStyle="1" w:styleId="TableGrid5">
    <w:name w:val="Table Grid5"/>
    <w:basedOn w:val="TableNormal"/>
    <w:next w:val="TableGrid"/>
    <w:uiPriority w:val="39"/>
    <w:rsid w:val="007D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737E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
    <w:name w:val="Grid Table 3"/>
    <w:basedOn w:val="TableNormal"/>
    <w:uiPriority w:val="48"/>
    <w:rsid w:val="00737E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737E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737E3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5">
    <w:name w:val="List Table 3 Accent 5"/>
    <w:basedOn w:val="TableNormal"/>
    <w:uiPriority w:val="48"/>
    <w:rsid w:val="00A21F7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Accent6">
    <w:name w:val="List Table 4 Accent 6"/>
    <w:basedOn w:val="TableNormal"/>
    <w:uiPriority w:val="49"/>
    <w:rsid w:val="00A21F7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5">
    <w:name w:val="List Table 6 Colorful Accent 5"/>
    <w:basedOn w:val="TableNormal"/>
    <w:uiPriority w:val="51"/>
    <w:rsid w:val="00A21F7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19608B"/>
    <w:pPr>
      <w:spacing w:after="0" w:line="240" w:lineRule="auto"/>
    </w:pPr>
  </w:style>
  <w:style w:type="paragraph" w:styleId="Caption">
    <w:name w:val="caption"/>
    <w:basedOn w:val="Normal"/>
    <w:next w:val="Normal"/>
    <w:uiPriority w:val="35"/>
    <w:unhideWhenUsed/>
    <w:qFormat/>
    <w:rsid w:val="00F541F5"/>
    <w:pPr>
      <w:spacing w:after="200" w:line="240" w:lineRule="auto"/>
    </w:pPr>
    <w:rPr>
      <w:rFonts w:ascii="Arial" w:hAnsi="Arial"/>
      <w:b/>
      <w:iCs/>
      <w:color w:val="44546A" w:themeColor="text2"/>
      <w:sz w:val="24"/>
      <w:szCs w:val="18"/>
    </w:rPr>
  </w:style>
  <w:style w:type="character" w:customStyle="1" w:styleId="Bold">
    <w:name w:val="Bold"/>
    <w:uiPriority w:val="40"/>
    <w:qFormat/>
    <w:rsid w:val="00C33433"/>
    <w:rPr>
      <w:b/>
    </w:rPr>
  </w:style>
  <w:style w:type="table" w:styleId="GridTable7Colorful-Accent5">
    <w:name w:val="Grid Table 7 Colorful Accent 5"/>
    <w:basedOn w:val="TableNormal"/>
    <w:uiPriority w:val="52"/>
    <w:rsid w:val="00F16C8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6Colorful-Accent5">
    <w:name w:val="Grid Table 6 Colorful Accent 5"/>
    <w:basedOn w:val="TableNormal"/>
    <w:uiPriority w:val="51"/>
    <w:rsid w:val="00F16C8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F16C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570E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51">
    <w:name w:val="Grid Table 5 Dark - Accent 51"/>
    <w:basedOn w:val="TableNormal"/>
    <w:next w:val="GridTable5Dark-Accent5"/>
    <w:uiPriority w:val="50"/>
    <w:rsid w:val="00570E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EmphasisPanelHeading">
    <w:name w:val="Emphasis Panel Heading"/>
    <w:basedOn w:val="Normal"/>
    <w:uiPriority w:val="11"/>
    <w:qFormat/>
    <w:rsid w:val="00FD20BC"/>
    <w:pPr>
      <w:keepLines/>
      <w:pBdr>
        <w:top w:val="single" w:sz="4" w:space="8" w:color="E7E6E6" w:themeColor="background2"/>
        <w:left w:val="single" w:sz="4" w:space="8" w:color="E7E6E6" w:themeColor="background2"/>
        <w:bottom w:val="single" w:sz="4" w:space="8" w:color="E7E6E6" w:themeColor="background2"/>
        <w:right w:val="single" w:sz="4" w:space="8" w:color="E7E6E6" w:themeColor="background2"/>
      </w:pBdr>
      <w:shd w:val="clear" w:color="auto" w:fill="E7E6E6" w:themeFill="background2"/>
      <w:spacing w:before="60" w:after="60" w:line="240" w:lineRule="atLeast"/>
      <w:ind w:left="198" w:right="215"/>
    </w:pPr>
    <w:rPr>
      <w:rFonts w:asciiTheme="majorHAnsi" w:eastAsia="Times New Roman" w:hAnsiTheme="majorHAnsi" w:cs="Times New Roman"/>
      <w:b/>
      <w:color w:val="44546A" w:themeColor="text2"/>
      <w:sz w:val="24"/>
      <w:szCs w:val="24"/>
      <w:lang w:val="en-US"/>
    </w:rPr>
  </w:style>
  <w:style w:type="paragraph" w:customStyle="1" w:styleId="EmphasisPanelBullet">
    <w:name w:val="Emphasis Panel Bullet"/>
    <w:uiPriority w:val="11"/>
    <w:qFormat/>
    <w:rsid w:val="00FD20BC"/>
    <w:pPr>
      <w:keepLines/>
      <w:numPr>
        <w:numId w:val="67"/>
      </w:numPr>
      <w:pBdr>
        <w:top w:val="single" w:sz="4" w:space="8" w:color="E7E6E6" w:themeColor="background2"/>
        <w:left w:val="single" w:sz="4" w:space="8" w:color="E7E6E6" w:themeColor="background2"/>
        <w:bottom w:val="single" w:sz="4" w:space="8" w:color="E7E6E6" w:themeColor="background2"/>
        <w:right w:val="single" w:sz="4" w:space="8" w:color="E7E6E6" w:themeColor="background2"/>
      </w:pBdr>
      <w:shd w:val="clear" w:color="auto" w:fill="E7E6E6" w:themeFill="background2"/>
      <w:spacing w:before="120" w:after="120" w:line="264" w:lineRule="auto"/>
      <w:ind w:right="215"/>
    </w:pPr>
    <w:rPr>
      <w:rFonts w:eastAsia="Times New Roman" w:cstheme="minorHAnsi"/>
      <w:color w:val="262626" w:themeColor="text1" w:themeTint="D9"/>
      <w:sz w:val="20"/>
      <w:lang w:val="en-US"/>
    </w:rPr>
  </w:style>
  <w:style w:type="table" w:styleId="GridTable2-Accent3">
    <w:name w:val="Grid Table 2 Accent 3"/>
    <w:basedOn w:val="TableNormal"/>
    <w:uiPriority w:val="47"/>
    <w:rsid w:val="00FD20B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harsectno">
    <w:name w:val="charsectno"/>
    <w:basedOn w:val="DefaultParagraphFont"/>
    <w:rsid w:val="00FD20BC"/>
  </w:style>
  <w:style w:type="numbering" w:customStyle="1" w:styleId="KeyPoints">
    <w:name w:val="Key Points"/>
    <w:basedOn w:val="NoList"/>
    <w:uiPriority w:val="99"/>
    <w:rsid w:val="00FD20BC"/>
    <w:pPr>
      <w:numPr>
        <w:numId w:val="68"/>
      </w:numPr>
    </w:pPr>
  </w:style>
  <w:style w:type="paragraph" w:customStyle="1" w:styleId="1NumberPointsStyle">
    <w:name w:val="1. Number Points Style"/>
    <w:basedOn w:val="Normal"/>
    <w:link w:val="1NumberPointsStyleChar"/>
    <w:qFormat/>
    <w:rsid w:val="00FD20BC"/>
    <w:pPr>
      <w:numPr>
        <w:numId w:val="69"/>
      </w:numPr>
      <w:spacing w:after="200" w:line="240" w:lineRule="auto"/>
    </w:pPr>
    <w:rPr>
      <w:rFonts w:ascii="Times New Roman" w:eastAsia="Times New Roman" w:hAnsi="Times New Roman" w:cs="Times New Roman"/>
      <w:sz w:val="24"/>
      <w:szCs w:val="20"/>
      <w:lang w:eastAsia="en-AU"/>
    </w:rPr>
  </w:style>
  <w:style w:type="character" w:customStyle="1" w:styleId="1NumberPointsStyleChar">
    <w:name w:val="1. Number Points Style Char"/>
    <w:basedOn w:val="DefaultParagraphFont"/>
    <w:link w:val="1NumberPointsStyle"/>
    <w:rsid w:val="00FD20BC"/>
    <w:rPr>
      <w:rFonts w:ascii="Times New Roman" w:eastAsia="Times New Roman" w:hAnsi="Times New Roman" w:cs="Times New Roman"/>
      <w:sz w:val="24"/>
      <w:szCs w:val="20"/>
      <w:lang w:eastAsia="en-AU"/>
    </w:rPr>
  </w:style>
  <w:style w:type="paragraph" w:customStyle="1" w:styleId="acthead5">
    <w:name w:val="acthead5"/>
    <w:basedOn w:val="Normal"/>
    <w:rsid w:val="00FD20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FD20B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FD20B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0">
    <w:name w:val="TableGrid"/>
    <w:rsid w:val="00FD20BC"/>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NumberedListlvl1">
    <w:name w:val="Numbered List lvl1"/>
    <w:basedOn w:val="ListParagraph"/>
    <w:uiPriority w:val="9"/>
    <w:qFormat/>
    <w:rsid w:val="00FD20BC"/>
    <w:pPr>
      <w:numPr>
        <w:numId w:val="70"/>
      </w:numPr>
      <w:spacing w:after="0" w:line="260" w:lineRule="atLeast"/>
      <w:contextualSpacing w:val="0"/>
    </w:pPr>
    <w:rPr>
      <w:rFonts w:ascii="Times New Roman" w:hAnsi="Times New Roman"/>
      <w:szCs w:val="20"/>
    </w:rPr>
  </w:style>
  <w:style w:type="paragraph" w:customStyle="1" w:styleId="NumberedListlvl2">
    <w:name w:val="Numbered List lvl2"/>
    <w:basedOn w:val="NumberedListlvl1"/>
    <w:uiPriority w:val="9"/>
    <w:rsid w:val="00FD20BC"/>
    <w:pPr>
      <w:numPr>
        <w:ilvl w:val="1"/>
      </w:numPr>
    </w:pPr>
  </w:style>
  <w:style w:type="paragraph" w:customStyle="1" w:styleId="NumberedListlvl3">
    <w:name w:val="Numbered List lvl3"/>
    <w:basedOn w:val="NumberedListlvl1"/>
    <w:uiPriority w:val="9"/>
    <w:rsid w:val="00FD20BC"/>
    <w:pPr>
      <w:numPr>
        <w:ilvl w:val="2"/>
      </w:numPr>
    </w:pPr>
  </w:style>
  <w:style w:type="paragraph" w:styleId="TOC3">
    <w:name w:val="toc 3"/>
    <w:basedOn w:val="Normal"/>
    <w:next w:val="Normal"/>
    <w:autoRedefine/>
    <w:uiPriority w:val="39"/>
    <w:unhideWhenUsed/>
    <w:rsid w:val="00FD20BC"/>
    <w:pPr>
      <w:spacing w:after="100" w:line="260" w:lineRule="atLeast"/>
      <w:ind w:left="440"/>
    </w:pPr>
    <w:rPr>
      <w:rFonts w:ascii="Times New Roman" w:hAnsi="Times New Roman"/>
      <w:szCs w:val="20"/>
    </w:rPr>
  </w:style>
  <w:style w:type="table" w:customStyle="1" w:styleId="PMCDefaultTableStyle">
    <w:name w:val="PMC Default Table Style"/>
    <w:basedOn w:val="TableNormal"/>
    <w:uiPriority w:val="99"/>
    <w:rsid w:val="00FD20BC"/>
    <w:pPr>
      <w:spacing w:before="60" w:after="60" w:line="264" w:lineRule="auto"/>
    </w:pPr>
    <w:rPr>
      <w:color w:val="262626" w:themeColor="text1" w:themeTint="D9"/>
      <w:sz w:val="18"/>
      <w:szCs w:val="20"/>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FD20BC"/>
    <w:pPr>
      <w:numPr>
        <w:numId w:val="71"/>
      </w:numPr>
      <w:spacing w:before="40" w:after="40" w:line="240" w:lineRule="auto"/>
      <w:contextualSpacing w:val="0"/>
    </w:pPr>
    <w:rPr>
      <w:color w:val="262626" w:themeColor="text1" w:themeTint="D9"/>
      <w:sz w:val="18"/>
      <w:szCs w:val="20"/>
    </w:rPr>
  </w:style>
  <w:style w:type="paragraph" w:customStyle="1" w:styleId="TableBody">
    <w:name w:val="Table Body"/>
    <w:basedOn w:val="Normal"/>
    <w:uiPriority w:val="11"/>
    <w:qFormat/>
    <w:rsid w:val="00FD20BC"/>
    <w:pPr>
      <w:spacing w:before="40" w:after="40" w:line="264" w:lineRule="auto"/>
    </w:pPr>
    <w:rPr>
      <w:color w:val="262626" w:themeColor="text1" w:themeTint="D9"/>
      <w:sz w:val="18"/>
      <w:szCs w:val="20"/>
    </w:rPr>
  </w:style>
  <w:style w:type="paragraph" w:customStyle="1" w:styleId="ProtectiveMarking">
    <w:name w:val="Protective Marking"/>
    <w:basedOn w:val="Normal"/>
    <w:uiPriority w:val="13"/>
    <w:rsid w:val="00FD20BC"/>
    <w:pPr>
      <w:spacing w:after="0" w:line="240" w:lineRule="auto"/>
      <w:jc w:val="center"/>
    </w:pPr>
    <w:rPr>
      <w:rFonts w:asciiTheme="majorHAnsi" w:hAnsiTheme="majorHAnsi"/>
      <w:caps/>
      <w:noProof/>
      <w:color w:val="CD1719"/>
      <w:sz w:val="16"/>
      <w:szCs w:val="20"/>
    </w:rPr>
  </w:style>
  <w:style w:type="paragraph" w:customStyle="1" w:styleId="TableNumbering">
    <w:name w:val="Table Numbering"/>
    <w:uiPriority w:val="11"/>
    <w:qFormat/>
    <w:rsid w:val="00FD20BC"/>
    <w:pPr>
      <w:numPr>
        <w:numId w:val="72"/>
      </w:numPr>
      <w:spacing w:before="40" w:after="40" w:line="240" w:lineRule="auto"/>
    </w:pPr>
    <w:rPr>
      <w:color w:val="262626" w:themeColor="text1" w:themeTint="D9"/>
      <w:sz w:val="18"/>
      <w:szCs w:val="20"/>
    </w:rPr>
  </w:style>
  <w:style w:type="paragraph" w:styleId="Subtitle">
    <w:name w:val="Subtitle"/>
    <w:basedOn w:val="Normal"/>
    <w:next w:val="BodyText"/>
    <w:link w:val="SubtitleChar"/>
    <w:uiPriority w:val="20"/>
    <w:qFormat/>
    <w:rsid w:val="00FD20BC"/>
    <w:pPr>
      <w:numPr>
        <w:ilvl w:val="1"/>
      </w:numPr>
      <w:spacing w:before="120" w:after="360" w:line="264" w:lineRule="auto"/>
    </w:pPr>
    <w:rPr>
      <w:rFonts w:asciiTheme="majorHAnsi" w:eastAsiaTheme="minorEastAsia" w:hAnsiTheme="majorHAnsi"/>
      <w:color w:val="44546A" w:themeColor="text2"/>
      <w:spacing w:val="15"/>
      <w:sz w:val="28"/>
    </w:rPr>
  </w:style>
  <w:style w:type="character" w:customStyle="1" w:styleId="SubtitleChar">
    <w:name w:val="Subtitle Char"/>
    <w:basedOn w:val="DefaultParagraphFont"/>
    <w:link w:val="Subtitle"/>
    <w:uiPriority w:val="20"/>
    <w:rsid w:val="00FD20BC"/>
    <w:rPr>
      <w:rFonts w:asciiTheme="majorHAnsi" w:eastAsiaTheme="minorEastAsia" w:hAnsiTheme="majorHAnsi"/>
      <w:color w:val="44546A" w:themeColor="text2"/>
      <w:spacing w:val="15"/>
      <w:sz w:val="28"/>
    </w:rPr>
  </w:style>
  <w:style w:type="numbering" w:customStyle="1" w:styleId="NoList1">
    <w:name w:val="No List1"/>
    <w:next w:val="NoList"/>
    <w:uiPriority w:val="99"/>
    <w:semiHidden/>
    <w:unhideWhenUsed/>
    <w:rsid w:val="00FD20BC"/>
  </w:style>
  <w:style w:type="table" w:customStyle="1" w:styleId="TableGrid1">
    <w:name w:val="Table Grid1"/>
    <w:basedOn w:val="TableNormal"/>
    <w:next w:val="TableGrid"/>
    <w:uiPriority w:val="59"/>
    <w:rsid w:val="00FD20BC"/>
    <w:pPr>
      <w:spacing w:after="0" w:line="240" w:lineRule="auto"/>
    </w:pPr>
    <w:rPr>
      <w:rFonts w:ascii="Arial" w:hAnsi="Arial" w:cs="Times New Roman"/>
      <w:sz w:val="20"/>
      <w:szCs w:val="20"/>
    </w:rPr>
    <w:tblPr>
      <w:tblCellMar>
        <w:left w:w="0" w:type="dxa"/>
        <w:right w:w="0" w:type="dxa"/>
      </w:tblCellMar>
    </w:tblPr>
  </w:style>
  <w:style w:type="paragraph" w:customStyle="1" w:styleId="Caption1">
    <w:name w:val="Caption1"/>
    <w:next w:val="BodyCopy"/>
    <w:uiPriority w:val="9"/>
    <w:qFormat/>
    <w:rsid w:val="00FD20BC"/>
    <w:pPr>
      <w:keepNext/>
      <w:keepLines/>
      <w:spacing w:before="200" w:after="200" w:line="240" w:lineRule="atLeast"/>
    </w:pPr>
    <w:rPr>
      <w:rFonts w:cs="Times New Roman"/>
      <w:b/>
      <w:bCs/>
      <w:color w:val="000000"/>
      <w:spacing w:val="-6"/>
      <w:sz w:val="20"/>
      <w:szCs w:val="18"/>
    </w:rPr>
  </w:style>
  <w:style w:type="paragraph" w:customStyle="1" w:styleId="Date1">
    <w:name w:val="Date1"/>
    <w:next w:val="BodyCopy"/>
    <w:uiPriority w:val="18"/>
    <w:rsid w:val="00FD20BC"/>
    <w:pPr>
      <w:spacing w:before="120" w:after="170" w:line="460" w:lineRule="exact"/>
    </w:pPr>
    <w:rPr>
      <w:rFonts w:cs="Times New Roman"/>
      <w:b/>
      <w:color w:val="666666"/>
      <w:sz w:val="26"/>
      <w:szCs w:val="20"/>
    </w:rPr>
  </w:style>
  <w:style w:type="character" w:customStyle="1" w:styleId="DateChar">
    <w:name w:val="Date Char"/>
    <w:basedOn w:val="DefaultParagraphFont"/>
    <w:link w:val="Date"/>
    <w:uiPriority w:val="18"/>
    <w:semiHidden/>
    <w:rsid w:val="00FD20BC"/>
    <w:rPr>
      <w:rFonts w:ascii="Arial" w:hAnsi="Arial"/>
      <w:b/>
      <w:color w:val="666666"/>
      <w:sz w:val="26"/>
    </w:rPr>
  </w:style>
  <w:style w:type="character" w:customStyle="1" w:styleId="EndnoteReference1">
    <w:name w:val="Endnote Reference1"/>
    <w:basedOn w:val="DefaultParagraphFont"/>
    <w:uiPriority w:val="14"/>
    <w:semiHidden/>
    <w:rsid w:val="00FD20BC"/>
    <w:rPr>
      <w:color w:val="000000"/>
      <w:vertAlign w:val="superscript"/>
    </w:rPr>
  </w:style>
  <w:style w:type="paragraph" w:customStyle="1" w:styleId="EndnoteText1">
    <w:name w:val="Endnote Text1"/>
    <w:next w:val="EndnoteText"/>
    <w:uiPriority w:val="14"/>
    <w:semiHidden/>
    <w:rsid w:val="00FD20BC"/>
    <w:pPr>
      <w:spacing w:before="113" w:after="57" w:line="200" w:lineRule="atLeast"/>
    </w:pPr>
    <w:rPr>
      <w:rFonts w:ascii="Arial" w:hAnsi="Arial"/>
      <w:color w:val="000000"/>
      <w:sz w:val="16"/>
    </w:rPr>
  </w:style>
  <w:style w:type="paragraph" w:customStyle="1" w:styleId="FootnoteText1">
    <w:name w:val="Footnote Text1"/>
    <w:next w:val="FootnoteText"/>
    <w:uiPriority w:val="14"/>
    <w:semiHidden/>
    <w:rsid w:val="00FD20BC"/>
    <w:pPr>
      <w:tabs>
        <w:tab w:val="left" w:pos="170"/>
      </w:tabs>
      <w:spacing w:before="113" w:after="57" w:line="200" w:lineRule="atLeast"/>
    </w:pPr>
    <w:rPr>
      <w:rFonts w:ascii="Arial" w:hAnsi="Arial"/>
      <w:color w:val="000000"/>
      <w:sz w:val="16"/>
    </w:rPr>
  </w:style>
  <w:style w:type="character" w:customStyle="1" w:styleId="PageNumber1">
    <w:name w:val="Page Number1"/>
    <w:basedOn w:val="DefaultParagraphFont"/>
    <w:uiPriority w:val="9"/>
    <w:semiHidden/>
    <w:rsid w:val="00FD20BC"/>
    <w:rPr>
      <w:rFonts w:ascii="Arial" w:hAnsi="Arial"/>
      <w:b/>
      <w:color w:val="003661"/>
    </w:rPr>
  </w:style>
  <w:style w:type="paragraph" w:customStyle="1" w:styleId="TOC21">
    <w:name w:val="TOC 21"/>
    <w:next w:val="BodyCopy"/>
    <w:autoRedefine/>
    <w:uiPriority w:val="39"/>
    <w:semiHidden/>
    <w:rsid w:val="00FD20BC"/>
    <w:pPr>
      <w:spacing w:after="57" w:line="260" w:lineRule="exact"/>
      <w:ind w:left="227"/>
    </w:pPr>
    <w:rPr>
      <w:rFonts w:cs="Times New Roman"/>
      <w:color w:val="000000"/>
      <w:sz w:val="24"/>
      <w:szCs w:val="20"/>
    </w:rPr>
  </w:style>
  <w:style w:type="paragraph" w:customStyle="1" w:styleId="PullQuote">
    <w:name w:val="Pull Quote"/>
    <w:uiPriority w:val="9"/>
    <w:qFormat/>
    <w:rsid w:val="00FD20BC"/>
    <w:pPr>
      <w:spacing w:after="57" w:line="240" w:lineRule="exact"/>
    </w:pPr>
    <w:rPr>
      <w:rFonts w:cs="Times New Roman"/>
      <w:b/>
      <w:color w:val="000000"/>
      <w:sz w:val="20"/>
      <w:szCs w:val="20"/>
    </w:rPr>
  </w:style>
  <w:style w:type="paragraph" w:customStyle="1" w:styleId="PullQuoteCaption">
    <w:name w:val="Pull Quote Caption"/>
    <w:basedOn w:val="BodyCopy"/>
    <w:uiPriority w:val="9"/>
    <w:qFormat/>
    <w:rsid w:val="00FD20BC"/>
    <w:pPr>
      <w:spacing w:after="57"/>
    </w:pPr>
    <w:rPr>
      <w:rFonts w:eastAsia="Arial"/>
    </w:rPr>
  </w:style>
  <w:style w:type="paragraph" w:customStyle="1" w:styleId="TableBodyCopy">
    <w:name w:val="Table Body Copy"/>
    <w:uiPriority w:val="9"/>
    <w:qFormat/>
    <w:rsid w:val="00FD20BC"/>
    <w:pPr>
      <w:spacing w:before="57" w:after="0" w:line="240" w:lineRule="atLeast"/>
      <w:ind w:left="85" w:right="85"/>
    </w:pPr>
    <w:rPr>
      <w:rFonts w:cs="Times New Roman"/>
      <w:color w:val="000000"/>
      <w:sz w:val="20"/>
      <w:szCs w:val="20"/>
    </w:rPr>
  </w:style>
  <w:style w:type="paragraph" w:customStyle="1" w:styleId="FeatureCopy">
    <w:name w:val="Feature Copy"/>
    <w:uiPriority w:val="9"/>
    <w:qFormat/>
    <w:rsid w:val="00FD20BC"/>
    <w:pPr>
      <w:spacing w:after="85" w:line="290" w:lineRule="atLeast"/>
    </w:pPr>
    <w:rPr>
      <w:rFonts w:cs="Times New Roman"/>
      <w:color w:val="000000"/>
      <w:sz w:val="24"/>
      <w:szCs w:val="20"/>
    </w:rPr>
  </w:style>
  <w:style w:type="paragraph" w:customStyle="1" w:styleId="FeatureHeading">
    <w:name w:val="Feature Heading"/>
    <w:next w:val="FeatureCopy"/>
    <w:uiPriority w:val="9"/>
    <w:qFormat/>
    <w:rsid w:val="00FD20BC"/>
    <w:pPr>
      <w:keepNext/>
      <w:keepLines/>
      <w:spacing w:after="85" w:line="240" w:lineRule="atLeast"/>
    </w:pPr>
    <w:rPr>
      <w:rFonts w:ascii="Arial" w:hAnsi="Arial" w:cs="Times New Roman"/>
      <w:b/>
      <w:color w:val="000000"/>
      <w:sz w:val="20"/>
      <w:szCs w:val="20"/>
    </w:rPr>
  </w:style>
  <w:style w:type="paragraph" w:customStyle="1" w:styleId="SectionHeading">
    <w:name w:val="Section Heading"/>
    <w:uiPriority w:val="19"/>
    <w:semiHidden/>
    <w:rsid w:val="00FD20BC"/>
    <w:pPr>
      <w:numPr>
        <w:numId w:val="75"/>
      </w:numPr>
      <w:tabs>
        <w:tab w:val="left" w:pos="5670"/>
      </w:tabs>
      <w:spacing w:after="170" w:line="1100" w:lineRule="exact"/>
      <w:ind w:left="0" w:firstLine="0"/>
    </w:pPr>
    <w:rPr>
      <w:rFonts w:ascii="Arial" w:hAnsi="Arial" w:cs="Times New Roman"/>
      <w:color w:val="FFFFFF"/>
      <w:sz w:val="140"/>
      <w:szCs w:val="20"/>
    </w:rPr>
  </w:style>
  <w:style w:type="numbering" w:customStyle="1" w:styleId="Bullets">
    <w:name w:val="Bullets"/>
    <w:basedOn w:val="NoList"/>
    <w:uiPriority w:val="99"/>
    <w:rsid w:val="00FD20BC"/>
    <w:pPr>
      <w:numPr>
        <w:numId w:val="82"/>
      </w:numPr>
    </w:pPr>
  </w:style>
  <w:style w:type="paragraph" w:customStyle="1" w:styleId="Bullets2ndindent">
    <w:name w:val="Bullets (2nd indent)"/>
    <w:basedOn w:val="BodyCopy"/>
    <w:autoRedefine/>
    <w:uiPriority w:val="2"/>
    <w:qFormat/>
    <w:rsid w:val="00FD20BC"/>
    <w:pPr>
      <w:spacing w:before="60" w:after="60"/>
      <w:ind w:left="360" w:hanging="360"/>
    </w:pPr>
    <w:rPr>
      <w:rFonts w:eastAsia="Times New Roman"/>
      <w:b/>
    </w:rPr>
  </w:style>
  <w:style w:type="paragraph" w:customStyle="1" w:styleId="Bullets3rdindent">
    <w:name w:val="Bullets (3rd indent)"/>
    <w:basedOn w:val="BodyCopy"/>
    <w:autoRedefine/>
    <w:uiPriority w:val="2"/>
    <w:qFormat/>
    <w:rsid w:val="00FD20BC"/>
    <w:pPr>
      <w:spacing w:before="60" w:after="60"/>
    </w:pPr>
    <w:rPr>
      <w:rFonts w:eastAsia="Arial"/>
      <w:i/>
      <w:iCs/>
      <w:color w:val="808080"/>
      <w:szCs w:val="18"/>
    </w:rPr>
  </w:style>
  <w:style w:type="paragraph" w:customStyle="1" w:styleId="Bullets4thindent">
    <w:name w:val="Bullets (4th indent)"/>
    <w:basedOn w:val="BodyCopy"/>
    <w:uiPriority w:val="2"/>
    <w:qFormat/>
    <w:rsid w:val="00FD20BC"/>
    <w:pPr>
      <w:numPr>
        <w:ilvl w:val="3"/>
        <w:numId w:val="76"/>
      </w:numPr>
      <w:tabs>
        <w:tab w:val="clear" w:pos="1136"/>
      </w:tabs>
      <w:spacing w:before="60" w:after="60"/>
      <w:ind w:left="1135" w:hanging="360"/>
    </w:pPr>
    <w:rPr>
      <w:rFonts w:eastAsia="Arial"/>
    </w:rPr>
  </w:style>
  <w:style w:type="paragraph" w:customStyle="1" w:styleId="QuoteCopy">
    <w:name w:val="Quote Copy"/>
    <w:basedOn w:val="BodyCopy"/>
    <w:uiPriority w:val="9"/>
    <w:qFormat/>
    <w:rsid w:val="00FD20BC"/>
    <w:rPr>
      <w:rFonts w:eastAsia="Arial"/>
      <w:i/>
    </w:rPr>
  </w:style>
  <w:style w:type="table" w:customStyle="1" w:styleId="EOWA-WGEA">
    <w:name w:val="EOWA-WGEA"/>
    <w:basedOn w:val="TableNormal"/>
    <w:uiPriority w:val="99"/>
    <w:rsid w:val="00FD20BC"/>
    <w:pPr>
      <w:spacing w:after="0" w:line="240" w:lineRule="auto"/>
    </w:pPr>
    <w:rPr>
      <w:rFonts w:ascii="Courier" w:hAnsi="Courier" w:cs="Times New Roman"/>
      <w:sz w:val="20"/>
      <w:szCs w:val="20"/>
    </w:rPr>
    <w:tblPr>
      <w:tblBorders>
        <w:top w:val="single" w:sz="6" w:space="0" w:color="003661"/>
        <w:bottom w:val="single" w:sz="6" w:space="0" w:color="003661"/>
        <w:insideH w:val="single" w:sz="2" w:space="0" w:color="000000"/>
      </w:tblBorders>
      <w:tblCellMar>
        <w:left w:w="0" w:type="dxa"/>
        <w:right w:w="0" w:type="dxa"/>
      </w:tblCellMar>
    </w:tblPr>
    <w:tcPr>
      <w:vAlign w:val="center"/>
    </w:tcPr>
    <w:tblStylePr w:type="firstRow">
      <w:tblPr/>
      <w:trPr>
        <w:tblHeader/>
      </w:trPr>
      <w:tcPr>
        <w:tcBorders>
          <w:top w:val="single" w:sz="6" w:space="0" w:color="003661"/>
          <w:left w:val="nil"/>
          <w:bottom w:val="single" w:sz="6" w:space="0" w:color="003661"/>
          <w:right w:val="nil"/>
          <w:insideH w:val="nil"/>
          <w:insideV w:val="nil"/>
          <w:tl2br w:val="nil"/>
          <w:tr2bl w:val="nil"/>
        </w:tcBorders>
      </w:tcPr>
    </w:tblStylePr>
  </w:style>
  <w:style w:type="paragraph" w:customStyle="1" w:styleId="Footnote">
    <w:name w:val="Footnote"/>
    <w:basedOn w:val="FootnoteText"/>
    <w:link w:val="FootnoteChar"/>
    <w:uiPriority w:val="9"/>
    <w:qFormat/>
    <w:rsid w:val="00FD20BC"/>
    <w:pPr>
      <w:tabs>
        <w:tab w:val="left" w:pos="170"/>
      </w:tabs>
      <w:spacing w:before="113" w:after="57" w:line="200" w:lineRule="atLeast"/>
    </w:pPr>
    <w:rPr>
      <w:rFonts w:ascii="Arial" w:hAnsi="Arial" w:cs="Times New Roman"/>
      <w:color w:val="000000"/>
      <w:sz w:val="16"/>
    </w:rPr>
  </w:style>
  <w:style w:type="character" w:customStyle="1" w:styleId="FootnoteChar">
    <w:name w:val="Footnote Char"/>
    <w:basedOn w:val="FootnoteTextChar"/>
    <w:link w:val="Footnote"/>
    <w:uiPriority w:val="9"/>
    <w:rsid w:val="00FD20BC"/>
    <w:rPr>
      <w:rFonts w:ascii="Arial" w:hAnsi="Arial" w:cs="Times New Roman"/>
      <w:color w:val="000000"/>
      <w:sz w:val="16"/>
      <w:szCs w:val="20"/>
    </w:rPr>
  </w:style>
  <w:style w:type="character" w:styleId="PlaceholderText">
    <w:name w:val="Placeholder Text"/>
    <w:basedOn w:val="DefaultParagraphFont"/>
    <w:uiPriority w:val="99"/>
    <w:semiHidden/>
    <w:rsid w:val="00FD20BC"/>
    <w:rPr>
      <w:color w:val="808080"/>
    </w:rPr>
  </w:style>
  <w:style w:type="paragraph" w:customStyle="1" w:styleId="Footnotenumbered">
    <w:name w:val="Footnote (numbered)"/>
    <w:basedOn w:val="Footnote"/>
    <w:uiPriority w:val="9"/>
    <w:qFormat/>
    <w:rsid w:val="00FD20BC"/>
    <w:pPr>
      <w:numPr>
        <w:numId w:val="77"/>
      </w:numPr>
      <w:ind w:left="170" w:hanging="170"/>
    </w:pPr>
  </w:style>
  <w:style w:type="numbering" w:customStyle="1" w:styleId="Numberedlist">
    <w:name w:val="Numbered list"/>
    <w:basedOn w:val="NoList"/>
    <w:uiPriority w:val="99"/>
    <w:rsid w:val="00FD20BC"/>
    <w:pPr>
      <w:numPr>
        <w:numId w:val="78"/>
      </w:numPr>
    </w:pPr>
  </w:style>
  <w:style w:type="paragraph" w:customStyle="1" w:styleId="Numberedlist1stindent">
    <w:name w:val="Numbered list (1st indent)"/>
    <w:basedOn w:val="Bullets1stindent"/>
    <w:uiPriority w:val="3"/>
    <w:qFormat/>
    <w:rsid w:val="00FD20BC"/>
    <w:pPr>
      <w:numPr>
        <w:numId w:val="78"/>
      </w:numPr>
      <w:tabs>
        <w:tab w:val="clear" w:pos="397"/>
        <w:tab w:val="num" w:pos="567"/>
      </w:tabs>
      <w:ind w:left="720" w:right="0" w:hanging="360"/>
      <w:textAlignment w:val="auto"/>
    </w:pPr>
    <w:rPr>
      <w:rFonts w:ascii="Helvetica" w:eastAsia="Arial" w:hAnsi="Helvetica" w:cs="Helvetica"/>
      <w:sz w:val="20"/>
      <w:shd w:val="clear" w:color="auto" w:fill="FFFFFF"/>
      <w:lang w:eastAsia="en-GB"/>
    </w:rPr>
  </w:style>
  <w:style w:type="paragraph" w:customStyle="1" w:styleId="Numberedlist2ndindent">
    <w:name w:val="Numbered list (2nd indent)"/>
    <w:basedOn w:val="Bullets1stindent"/>
    <w:uiPriority w:val="3"/>
    <w:qFormat/>
    <w:rsid w:val="00FD20BC"/>
    <w:pPr>
      <w:numPr>
        <w:ilvl w:val="1"/>
        <w:numId w:val="78"/>
      </w:numPr>
      <w:tabs>
        <w:tab w:val="clear" w:pos="794"/>
      </w:tabs>
      <w:ind w:left="1440" w:right="0" w:hanging="360"/>
      <w:textAlignment w:val="auto"/>
    </w:pPr>
    <w:rPr>
      <w:rFonts w:ascii="Helvetica" w:eastAsia="Arial" w:hAnsi="Helvetica" w:cs="Helvetica"/>
      <w:sz w:val="20"/>
      <w:shd w:val="clear" w:color="auto" w:fill="FFFFFF"/>
      <w:lang w:eastAsia="en-GB"/>
    </w:rPr>
  </w:style>
  <w:style w:type="paragraph" w:customStyle="1" w:styleId="Numberedlist3rdindent">
    <w:name w:val="Numbered list (3rd indent)"/>
    <w:basedOn w:val="Bullets1stindent"/>
    <w:uiPriority w:val="3"/>
    <w:qFormat/>
    <w:rsid w:val="00FD20BC"/>
    <w:pPr>
      <w:numPr>
        <w:ilvl w:val="2"/>
        <w:numId w:val="78"/>
      </w:numPr>
      <w:tabs>
        <w:tab w:val="clear" w:pos="1191"/>
      </w:tabs>
      <w:ind w:left="2160" w:right="0" w:hanging="360"/>
      <w:textAlignment w:val="auto"/>
    </w:pPr>
    <w:rPr>
      <w:rFonts w:ascii="Helvetica" w:eastAsia="Arial" w:hAnsi="Helvetica" w:cs="Helvetica"/>
      <w:sz w:val="20"/>
      <w:shd w:val="clear" w:color="auto" w:fill="FFFFFF"/>
      <w:lang w:eastAsia="en-GB"/>
    </w:rPr>
  </w:style>
  <w:style w:type="paragraph" w:customStyle="1" w:styleId="TableHead">
    <w:name w:val="Table Head"/>
    <w:basedOn w:val="TableBodyCopy"/>
    <w:uiPriority w:val="9"/>
    <w:qFormat/>
    <w:rsid w:val="00FD20BC"/>
    <w:pPr>
      <w:keepNext/>
    </w:pPr>
    <w:rPr>
      <w:b/>
    </w:rPr>
  </w:style>
  <w:style w:type="paragraph" w:customStyle="1" w:styleId="BoxCopy">
    <w:name w:val="Box Copy"/>
    <w:basedOn w:val="Normal"/>
    <w:uiPriority w:val="14"/>
    <w:qFormat/>
    <w:rsid w:val="00FD20BC"/>
    <w:pPr>
      <w:spacing w:before="120" w:after="120" w:line="240" w:lineRule="atLeast"/>
    </w:pPr>
    <w:rPr>
      <w:rFonts w:cs="Times New Roman"/>
      <w:color w:val="000000"/>
      <w:sz w:val="20"/>
      <w:szCs w:val="20"/>
    </w:rPr>
  </w:style>
  <w:style w:type="paragraph" w:customStyle="1" w:styleId="BoxHeading">
    <w:name w:val="Box Heading"/>
    <w:basedOn w:val="BoxCopy"/>
    <w:next w:val="BoxCopy"/>
    <w:uiPriority w:val="14"/>
    <w:qFormat/>
    <w:rsid w:val="00FD20BC"/>
    <w:pPr>
      <w:spacing w:line="260" w:lineRule="atLeast"/>
    </w:pPr>
    <w:rPr>
      <w:b/>
      <w:sz w:val="22"/>
    </w:rPr>
  </w:style>
  <w:style w:type="character" w:customStyle="1" w:styleId="inline-comment-marker">
    <w:name w:val="inline-comment-marker"/>
    <w:basedOn w:val="DefaultParagraphFont"/>
    <w:rsid w:val="00FD20BC"/>
  </w:style>
  <w:style w:type="character" w:customStyle="1" w:styleId="placeholder-inline-tasks">
    <w:name w:val="placeholder-inline-tasks"/>
    <w:basedOn w:val="DefaultParagraphFont"/>
    <w:rsid w:val="00FD20BC"/>
  </w:style>
  <w:style w:type="paragraph" w:customStyle="1" w:styleId="Arrowbulletlist">
    <w:name w:val="Arrow bullet list"/>
    <w:basedOn w:val="Bullets1stindent"/>
    <w:link w:val="ArrowbulletlistChar"/>
    <w:uiPriority w:val="9"/>
    <w:qFormat/>
    <w:rsid w:val="00FD20BC"/>
    <w:pPr>
      <w:ind w:left="261" w:right="0" w:hanging="261"/>
      <w:textAlignment w:val="auto"/>
    </w:pPr>
    <w:rPr>
      <w:sz w:val="20"/>
      <w:shd w:val="clear" w:color="auto" w:fill="FFFFFF"/>
    </w:rPr>
  </w:style>
  <w:style w:type="character" w:customStyle="1" w:styleId="IntenseEmphasis1">
    <w:name w:val="Intense Emphasis1"/>
    <w:basedOn w:val="DefaultParagraphFont"/>
    <w:uiPriority w:val="21"/>
    <w:qFormat/>
    <w:rsid w:val="00FD20BC"/>
    <w:rPr>
      <w:i/>
      <w:iCs/>
      <w:color w:val="5A5A5A"/>
    </w:rPr>
  </w:style>
  <w:style w:type="character" w:customStyle="1" w:styleId="Bullets1stindentChar">
    <w:name w:val="Bullets (1st indent) Char"/>
    <w:basedOn w:val="BodyCopyChar"/>
    <w:link w:val="Bullets1stindent"/>
    <w:uiPriority w:val="2"/>
    <w:rsid w:val="00FD20BC"/>
    <w:rPr>
      <w:rFonts w:cstheme="minorHAnsi"/>
      <w:b/>
      <w:color w:val="000000" w:themeColor="text1"/>
      <w:sz w:val="20"/>
      <w:szCs w:val="20"/>
    </w:rPr>
  </w:style>
  <w:style w:type="character" w:customStyle="1" w:styleId="ArrowbulletlistChar">
    <w:name w:val="Arrow bullet list Char"/>
    <w:basedOn w:val="Bullets1stindentChar"/>
    <w:link w:val="Arrowbulletlist"/>
    <w:uiPriority w:val="9"/>
    <w:rsid w:val="00FD20BC"/>
    <w:rPr>
      <w:rFonts w:cstheme="minorHAnsi"/>
      <w:b/>
      <w:color w:val="000000" w:themeColor="text1"/>
      <w:sz w:val="20"/>
      <w:szCs w:val="20"/>
    </w:rPr>
  </w:style>
  <w:style w:type="paragraph" w:customStyle="1" w:styleId="IntenseQuote1">
    <w:name w:val="Intense Quote1"/>
    <w:basedOn w:val="Normal"/>
    <w:next w:val="Normal"/>
    <w:uiPriority w:val="30"/>
    <w:qFormat/>
    <w:rsid w:val="00FD20BC"/>
    <w:pPr>
      <w:pBdr>
        <w:top w:val="single" w:sz="4" w:space="10" w:color="5A5A5A"/>
        <w:bottom w:val="single" w:sz="4" w:space="10" w:color="5A5A5A"/>
      </w:pBdr>
      <w:spacing w:before="360" w:after="360" w:line="240" w:lineRule="auto"/>
      <w:ind w:left="864" w:right="864"/>
      <w:jc w:val="center"/>
    </w:pPr>
    <w:rPr>
      <w:rFonts w:cs="Times New Roman"/>
      <w:i/>
      <w:iCs/>
      <w:color w:val="5A5A5A"/>
      <w:szCs w:val="20"/>
    </w:rPr>
  </w:style>
  <w:style w:type="character" w:customStyle="1" w:styleId="IntenseQuoteChar">
    <w:name w:val="Intense Quote Char"/>
    <w:basedOn w:val="DefaultParagraphFont"/>
    <w:link w:val="IntenseQuote"/>
    <w:uiPriority w:val="30"/>
    <w:rsid w:val="00FD20BC"/>
    <w:rPr>
      <w:rFonts w:ascii="Arial" w:hAnsi="Arial"/>
      <w:i/>
      <w:iCs/>
      <w:color w:val="5A5A5A"/>
    </w:rPr>
  </w:style>
  <w:style w:type="paragraph" w:customStyle="1" w:styleId="Quote1">
    <w:name w:val="Quote1"/>
    <w:basedOn w:val="Normal"/>
    <w:next w:val="Normal"/>
    <w:uiPriority w:val="29"/>
    <w:qFormat/>
    <w:rsid w:val="00FD20BC"/>
    <w:pPr>
      <w:spacing w:before="200" w:line="240" w:lineRule="auto"/>
      <w:ind w:left="864" w:right="864"/>
      <w:jc w:val="center"/>
    </w:pPr>
    <w:rPr>
      <w:rFonts w:cs="Times New Roman"/>
      <w:i/>
      <w:iCs/>
      <w:color w:val="404040"/>
      <w:szCs w:val="20"/>
    </w:rPr>
  </w:style>
  <w:style w:type="character" w:customStyle="1" w:styleId="QuoteChar">
    <w:name w:val="Quote Char"/>
    <w:basedOn w:val="DefaultParagraphFont"/>
    <w:link w:val="Quote"/>
    <w:uiPriority w:val="29"/>
    <w:rsid w:val="00FD20BC"/>
    <w:rPr>
      <w:rFonts w:ascii="Arial" w:hAnsi="Arial"/>
      <w:i/>
      <w:iCs/>
      <w:color w:val="404040"/>
    </w:rPr>
  </w:style>
  <w:style w:type="character" w:customStyle="1" w:styleId="SubtleReference1">
    <w:name w:val="Subtle Reference1"/>
    <w:basedOn w:val="DefaultParagraphFont"/>
    <w:uiPriority w:val="31"/>
    <w:qFormat/>
    <w:rsid w:val="00FD20BC"/>
    <w:rPr>
      <w:smallCaps/>
      <w:color w:val="5A5A5A"/>
    </w:rPr>
  </w:style>
  <w:style w:type="table" w:customStyle="1" w:styleId="GridTable1Light1">
    <w:name w:val="Grid Table 1 Light1"/>
    <w:basedOn w:val="TableNormal"/>
    <w:next w:val="GridTable1Light"/>
    <w:uiPriority w:val="46"/>
    <w:rsid w:val="00FD20BC"/>
    <w:pPr>
      <w:spacing w:after="0" w:line="240" w:lineRule="auto"/>
    </w:pPr>
    <w:rPr>
      <w:rFonts w:ascii="Courier" w:hAnsi="Courier"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DefaultParagraphFont"/>
    <w:rsid w:val="00FD20BC"/>
  </w:style>
  <w:style w:type="character" w:customStyle="1" w:styleId="eop">
    <w:name w:val="eop"/>
    <w:basedOn w:val="DefaultParagraphFont"/>
    <w:rsid w:val="00FD20BC"/>
  </w:style>
  <w:style w:type="character" w:customStyle="1" w:styleId="scxw21240537">
    <w:name w:val="scxw21240537"/>
    <w:basedOn w:val="DefaultParagraphFont"/>
    <w:rsid w:val="00FD20BC"/>
  </w:style>
  <w:style w:type="character" w:customStyle="1" w:styleId="slds-checkbox">
    <w:name w:val="slds-checkbox"/>
    <w:basedOn w:val="DefaultParagraphFont"/>
    <w:rsid w:val="00FD20BC"/>
  </w:style>
  <w:style w:type="character" w:customStyle="1" w:styleId="slds-form-elementlabel">
    <w:name w:val="slds-form-element__label"/>
    <w:basedOn w:val="DefaultParagraphFont"/>
    <w:rsid w:val="00FD20BC"/>
  </w:style>
  <w:style w:type="paragraph" w:styleId="List2">
    <w:name w:val="List 2"/>
    <w:basedOn w:val="Normal"/>
    <w:autoRedefine/>
    <w:uiPriority w:val="99"/>
    <w:semiHidden/>
    <w:rsid w:val="00FD20BC"/>
    <w:pPr>
      <w:tabs>
        <w:tab w:val="left" w:pos="1276"/>
      </w:tabs>
      <w:spacing w:before="120" w:after="120" w:line="240" w:lineRule="auto"/>
      <w:ind w:left="1276" w:hanging="425"/>
    </w:pPr>
    <w:rPr>
      <w:rFonts w:cs="Times New Roman"/>
      <w:color w:val="000000"/>
      <w:sz w:val="20"/>
      <w:szCs w:val="20"/>
    </w:rPr>
  </w:style>
  <w:style w:type="paragraph" w:styleId="Date">
    <w:name w:val="Date"/>
    <w:basedOn w:val="Normal"/>
    <w:next w:val="Normal"/>
    <w:link w:val="DateChar"/>
    <w:uiPriority w:val="18"/>
    <w:semiHidden/>
    <w:unhideWhenUsed/>
    <w:rsid w:val="00FD20BC"/>
    <w:rPr>
      <w:rFonts w:ascii="Arial" w:hAnsi="Arial"/>
      <w:b/>
      <w:color w:val="666666"/>
      <w:sz w:val="26"/>
    </w:rPr>
  </w:style>
  <w:style w:type="character" w:customStyle="1" w:styleId="DateChar1">
    <w:name w:val="Date Char1"/>
    <w:basedOn w:val="DefaultParagraphFont"/>
    <w:uiPriority w:val="99"/>
    <w:semiHidden/>
    <w:rsid w:val="00FD20BC"/>
  </w:style>
  <w:style w:type="character" w:customStyle="1" w:styleId="EndnoteTextChar1">
    <w:name w:val="Endnote Text Char1"/>
    <w:basedOn w:val="DefaultParagraphFont"/>
    <w:uiPriority w:val="99"/>
    <w:semiHidden/>
    <w:rsid w:val="00FD20BC"/>
    <w:rPr>
      <w:sz w:val="20"/>
      <w:szCs w:val="20"/>
    </w:rPr>
  </w:style>
  <w:style w:type="character" w:customStyle="1" w:styleId="FootnoteTextChar1">
    <w:name w:val="Footnote Text Char1"/>
    <w:basedOn w:val="DefaultParagraphFont"/>
    <w:uiPriority w:val="99"/>
    <w:semiHidden/>
    <w:rsid w:val="00FD20BC"/>
    <w:rPr>
      <w:sz w:val="20"/>
      <w:szCs w:val="20"/>
    </w:rPr>
  </w:style>
  <w:style w:type="character" w:styleId="PageNumber">
    <w:name w:val="page number"/>
    <w:basedOn w:val="DefaultParagraphFont"/>
    <w:uiPriority w:val="99"/>
    <w:semiHidden/>
    <w:unhideWhenUsed/>
    <w:rsid w:val="00FD20BC"/>
  </w:style>
  <w:style w:type="character" w:styleId="IntenseEmphasis">
    <w:name w:val="Intense Emphasis"/>
    <w:basedOn w:val="DefaultParagraphFont"/>
    <w:uiPriority w:val="21"/>
    <w:qFormat/>
    <w:rsid w:val="00FD20BC"/>
    <w:rPr>
      <w:i/>
      <w:iCs/>
      <w:color w:val="5B9BD5" w:themeColor="accent1"/>
    </w:rPr>
  </w:style>
  <w:style w:type="paragraph" w:styleId="IntenseQuote">
    <w:name w:val="Intense Quote"/>
    <w:basedOn w:val="Normal"/>
    <w:next w:val="Normal"/>
    <w:link w:val="IntenseQuoteChar"/>
    <w:uiPriority w:val="30"/>
    <w:qFormat/>
    <w:rsid w:val="00FD20BC"/>
    <w:pPr>
      <w:pBdr>
        <w:top w:val="single" w:sz="4" w:space="10" w:color="5B9BD5" w:themeColor="accent1"/>
        <w:bottom w:val="single" w:sz="4" w:space="10" w:color="5B9BD5" w:themeColor="accent1"/>
      </w:pBdr>
      <w:spacing w:before="360" w:after="360"/>
      <w:ind w:left="864" w:right="864"/>
      <w:jc w:val="center"/>
    </w:pPr>
    <w:rPr>
      <w:rFonts w:ascii="Arial" w:hAnsi="Arial"/>
      <w:i/>
      <w:iCs/>
      <w:color w:val="5A5A5A"/>
    </w:rPr>
  </w:style>
  <w:style w:type="character" w:customStyle="1" w:styleId="IntenseQuoteChar1">
    <w:name w:val="Intense Quote Char1"/>
    <w:basedOn w:val="DefaultParagraphFont"/>
    <w:uiPriority w:val="30"/>
    <w:rsid w:val="00FD20BC"/>
    <w:rPr>
      <w:i/>
      <w:iCs/>
      <w:color w:val="5B9BD5" w:themeColor="accent1"/>
    </w:rPr>
  </w:style>
  <w:style w:type="paragraph" w:styleId="Quote">
    <w:name w:val="Quote"/>
    <w:basedOn w:val="Normal"/>
    <w:next w:val="Normal"/>
    <w:link w:val="QuoteChar"/>
    <w:uiPriority w:val="29"/>
    <w:qFormat/>
    <w:rsid w:val="00FD20BC"/>
    <w:pPr>
      <w:spacing w:before="200"/>
      <w:ind w:left="864" w:right="864"/>
      <w:jc w:val="center"/>
    </w:pPr>
    <w:rPr>
      <w:rFonts w:ascii="Arial" w:hAnsi="Arial"/>
      <w:i/>
      <w:iCs/>
      <w:color w:val="404040"/>
    </w:rPr>
  </w:style>
  <w:style w:type="character" w:customStyle="1" w:styleId="QuoteChar1">
    <w:name w:val="Quote Char1"/>
    <w:basedOn w:val="DefaultParagraphFont"/>
    <w:uiPriority w:val="29"/>
    <w:rsid w:val="00FD20BC"/>
    <w:rPr>
      <w:i/>
      <w:iCs/>
      <w:color w:val="404040" w:themeColor="text1" w:themeTint="BF"/>
    </w:rPr>
  </w:style>
  <w:style w:type="character" w:styleId="SubtleReference">
    <w:name w:val="Subtle Reference"/>
    <w:basedOn w:val="DefaultParagraphFont"/>
    <w:uiPriority w:val="31"/>
    <w:qFormat/>
    <w:rsid w:val="00FD20BC"/>
    <w:rPr>
      <w:smallCaps/>
      <w:color w:val="5A5A5A" w:themeColor="text1" w:themeTint="A5"/>
    </w:rPr>
  </w:style>
  <w:style w:type="table" w:styleId="GridTable1Light">
    <w:name w:val="Grid Table 1 Light"/>
    <w:basedOn w:val="TableNormal"/>
    <w:uiPriority w:val="46"/>
    <w:rsid w:val="00FD20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1543D3"/>
    <w:pPr>
      <w:spacing w:after="100"/>
      <w:ind w:left="660"/>
    </w:pPr>
    <w:rPr>
      <w:rFonts w:eastAsiaTheme="minorEastAsia"/>
      <w:lang w:eastAsia="en-AU"/>
    </w:rPr>
  </w:style>
  <w:style w:type="paragraph" w:styleId="TOC5">
    <w:name w:val="toc 5"/>
    <w:basedOn w:val="Normal"/>
    <w:next w:val="Normal"/>
    <w:autoRedefine/>
    <w:uiPriority w:val="39"/>
    <w:unhideWhenUsed/>
    <w:rsid w:val="001543D3"/>
    <w:pPr>
      <w:spacing w:after="100"/>
      <w:ind w:left="880"/>
    </w:pPr>
    <w:rPr>
      <w:rFonts w:eastAsiaTheme="minorEastAsia"/>
      <w:lang w:eastAsia="en-AU"/>
    </w:rPr>
  </w:style>
  <w:style w:type="paragraph" w:styleId="TOC6">
    <w:name w:val="toc 6"/>
    <w:basedOn w:val="Normal"/>
    <w:next w:val="Normal"/>
    <w:autoRedefine/>
    <w:uiPriority w:val="39"/>
    <w:unhideWhenUsed/>
    <w:rsid w:val="001543D3"/>
    <w:pPr>
      <w:spacing w:after="100"/>
      <w:ind w:left="1100"/>
    </w:pPr>
    <w:rPr>
      <w:rFonts w:eastAsiaTheme="minorEastAsia"/>
      <w:lang w:eastAsia="en-AU"/>
    </w:rPr>
  </w:style>
  <w:style w:type="paragraph" w:styleId="TOC7">
    <w:name w:val="toc 7"/>
    <w:basedOn w:val="Normal"/>
    <w:next w:val="Normal"/>
    <w:autoRedefine/>
    <w:uiPriority w:val="39"/>
    <w:unhideWhenUsed/>
    <w:rsid w:val="001543D3"/>
    <w:pPr>
      <w:spacing w:after="100"/>
      <w:ind w:left="1320"/>
    </w:pPr>
    <w:rPr>
      <w:rFonts w:eastAsiaTheme="minorEastAsia"/>
      <w:lang w:eastAsia="en-AU"/>
    </w:rPr>
  </w:style>
  <w:style w:type="paragraph" w:styleId="TOC8">
    <w:name w:val="toc 8"/>
    <w:basedOn w:val="Normal"/>
    <w:next w:val="Normal"/>
    <w:autoRedefine/>
    <w:uiPriority w:val="39"/>
    <w:unhideWhenUsed/>
    <w:rsid w:val="001543D3"/>
    <w:pPr>
      <w:spacing w:after="100"/>
      <w:ind w:left="1540"/>
    </w:pPr>
    <w:rPr>
      <w:rFonts w:eastAsiaTheme="minorEastAsia"/>
      <w:lang w:eastAsia="en-AU"/>
    </w:rPr>
  </w:style>
  <w:style w:type="paragraph" w:styleId="TOC9">
    <w:name w:val="toc 9"/>
    <w:basedOn w:val="Normal"/>
    <w:next w:val="Normal"/>
    <w:autoRedefine/>
    <w:uiPriority w:val="39"/>
    <w:unhideWhenUsed/>
    <w:rsid w:val="001543D3"/>
    <w:pPr>
      <w:spacing w:after="100"/>
      <w:ind w:left="1760"/>
    </w:pPr>
    <w:rPr>
      <w:rFonts w:eastAsiaTheme="minorEastAsia"/>
      <w:lang w:eastAsia="en-AU"/>
    </w:rPr>
  </w:style>
  <w:style w:type="table" w:customStyle="1" w:styleId="GridTable5Dark-Accent52">
    <w:name w:val="Grid Table 5 Dark - Accent 52"/>
    <w:basedOn w:val="TableNormal"/>
    <w:next w:val="GridTable5Dark-Accent5"/>
    <w:uiPriority w:val="50"/>
    <w:rsid w:val="006808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3618">
      <w:bodyDiv w:val="1"/>
      <w:marLeft w:val="0"/>
      <w:marRight w:val="0"/>
      <w:marTop w:val="0"/>
      <w:marBottom w:val="0"/>
      <w:divBdr>
        <w:top w:val="none" w:sz="0" w:space="0" w:color="auto"/>
        <w:left w:val="none" w:sz="0" w:space="0" w:color="auto"/>
        <w:bottom w:val="none" w:sz="0" w:space="0" w:color="auto"/>
        <w:right w:val="none" w:sz="0" w:space="0" w:color="auto"/>
      </w:divBdr>
    </w:div>
    <w:div w:id="142815930">
      <w:bodyDiv w:val="1"/>
      <w:marLeft w:val="0"/>
      <w:marRight w:val="0"/>
      <w:marTop w:val="0"/>
      <w:marBottom w:val="0"/>
      <w:divBdr>
        <w:top w:val="none" w:sz="0" w:space="0" w:color="auto"/>
        <w:left w:val="none" w:sz="0" w:space="0" w:color="auto"/>
        <w:bottom w:val="none" w:sz="0" w:space="0" w:color="auto"/>
        <w:right w:val="none" w:sz="0" w:space="0" w:color="auto"/>
      </w:divBdr>
    </w:div>
    <w:div w:id="228078442">
      <w:bodyDiv w:val="1"/>
      <w:marLeft w:val="0"/>
      <w:marRight w:val="0"/>
      <w:marTop w:val="0"/>
      <w:marBottom w:val="0"/>
      <w:divBdr>
        <w:top w:val="none" w:sz="0" w:space="0" w:color="auto"/>
        <w:left w:val="none" w:sz="0" w:space="0" w:color="auto"/>
        <w:bottom w:val="none" w:sz="0" w:space="0" w:color="auto"/>
        <w:right w:val="none" w:sz="0" w:space="0" w:color="auto"/>
      </w:divBdr>
    </w:div>
    <w:div w:id="277222173">
      <w:bodyDiv w:val="1"/>
      <w:marLeft w:val="0"/>
      <w:marRight w:val="0"/>
      <w:marTop w:val="0"/>
      <w:marBottom w:val="0"/>
      <w:divBdr>
        <w:top w:val="none" w:sz="0" w:space="0" w:color="auto"/>
        <w:left w:val="none" w:sz="0" w:space="0" w:color="auto"/>
        <w:bottom w:val="none" w:sz="0" w:space="0" w:color="auto"/>
        <w:right w:val="none" w:sz="0" w:space="0" w:color="auto"/>
      </w:divBdr>
    </w:div>
    <w:div w:id="284968399">
      <w:bodyDiv w:val="1"/>
      <w:marLeft w:val="0"/>
      <w:marRight w:val="0"/>
      <w:marTop w:val="0"/>
      <w:marBottom w:val="0"/>
      <w:divBdr>
        <w:top w:val="none" w:sz="0" w:space="0" w:color="auto"/>
        <w:left w:val="none" w:sz="0" w:space="0" w:color="auto"/>
        <w:bottom w:val="none" w:sz="0" w:space="0" w:color="auto"/>
        <w:right w:val="none" w:sz="0" w:space="0" w:color="auto"/>
      </w:divBdr>
    </w:div>
    <w:div w:id="445199650">
      <w:bodyDiv w:val="1"/>
      <w:marLeft w:val="0"/>
      <w:marRight w:val="0"/>
      <w:marTop w:val="0"/>
      <w:marBottom w:val="0"/>
      <w:divBdr>
        <w:top w:val="none" w:sz="0" w:space="0" w:color="auto"/>
        <w:left w:val="none" w:sz="0" w:space="0" w:color="auto"/>
        <w:bottom w:val="none" w:sz="0" w:space="0" w:color="auto"/>
        <w:right w:val="none" w:sz="0" w:space="0" w:color="auto"/>
      </w:divBdr>
    </w:div>
    <w:div w:id="462045292">
      <w:bodyDiv w:val="1"/>
      <w:marLeft w:val="0"/>
      <w:marRight w:val="0"/>
      <w:marTop w:val="0"/>
      <w:marBottom w:val="0"/>
      <w:divBdr>
        <w:top w:val="none" w:sz="0" w:space="0" w:color="auto"/>
        <w:left w:val="none" w:sz="0" w:space="0" w:color="auto"/>
        <w:bottom w:val="none" w:sz="0" w:space="0" w:color="auto"/>
        <w:right w:val="none" w:sz="0" w:space="0" w:color="auto"/>
      </w:divBdr>
    </w:div>
    <w:div w:id="538856168">
      <w:bodyDiv w:val="1"/>
      <w:marLeft w:val="0"/>
      <w:marRight w:val="0"/>
      <w:marTop w:val="0"/>
      <w:marBottom w:val="0"/>
      <w:divBdr>
        <w:top w:val="none" w:sz="0" w:space="0" w:color="auto"/>
        <w:left w:val="none" w:sz="0" w:space="0" w:color="auto"/>
        <w:bottom w:val="none" w:sz="0" w:space="0" w:color="auto"/>
        <w:right w:val="none" w:sz="0" w:space="0" w:color="auto"/>
      </w:divBdr>
    </w:div>
    <w:div w:id="588002914">
      <w:bodyDiv w:val="1"/>
      <w:marLeft w:val="0"/>
      <w:marRight w:val="0"/>
      <w:marTop w:val="0"/>
      <w:marBottom w:val="0"/>
      <w:divBdr>
        <w:top w:val="none" w:sz="0" w:space="0" w:color="auto"/>
        <w:left w:val="none" w:sz="0" w:space="0" w:color="auto"/>
        <w:bottom w:val="none" w:sz="0" w:space="0" w:color="auto"/>
        <w:right w:val="none" w:sz="0" w:space="0" w:color="auto"/>
      </w:divBdr>
    </w:div>
    <w:div w:id="600533296">
      <w:bodyDiv w:val="1"/>
      <w:marLeft w:val="0"/>
      <w:marRight w:val="0"/>
      <w:marTop w:val="0"/>
      <w:marBottom w:val="0"/>
      <w:divBdr>
        <w:top w:val="none" w:sz="0" w:space="0" w:color="auto"/>
        <w:left w:val="none" w:sz="0" w:space="0" w:color="auto"/>
        <w:bottom w:val="none" w:sz="0" w:space="0" w:color="auto"/>
        <w:right w:val="none" w:sz="0" w:space="0" w:color="auto"/>
      </w:divBdr>
    </w:div>
    <w:div w:id="623082518">
      <w:bodyDiv w:val="1"/>
      <w:marLeft w:val="0"/>
      <w:marRight w:val="0"/>
      <w:marTop w:val="0"/>
      <w:marBottom w:val="0"/>
      <w:divBdr>
        <w:top w:val="none" w:sz="0" w:space="0" w:color="auto"/>
        <w:left w:val="none" w:sz="0" w:space="0" w:color="auto"/>
        <w:bottom w:val="none" w:sz="0" w:space="0" w:color="auto"/>
        <w:right w:val="none" w:sz="0" w:space="0" w:color="auto"/>
      </w:divBdr>
    </w:div>
    <w:div w:id="715664386">
      <w:bodyDiv w:val="1"/>
      <w:marLeft w:val="0"/>
      <w:marRight w:val="0"/>
      <w:marTop w:val="0"/>
      <w:marBottom w:val="0"/>
      <w:divBdr>
        <w:top w:val="none" w:sz="0" w:space="0" w:color="auto"/>
        <w:left w:val="none" w:sz="0" w:space="0" w:color="auto"/>
        <w:bottom w:val="none" w:sz="0" w:space="0" w:color="auto"/>
        <w:right w:val="none" w:sz="0" w:space="0" w:color="auto"/>
      </w:divBdr>
    </w:div>
    <w:div w:id="746851877">
      <w:bodyDiv w:val="1"/>
      <w:marLeft w:val="0"/>
      <w:marRight w:val="0"/>
      <w:marTop w:val="0"/>
      <w:marBottom w:val="0"/>
      <w:divBdr>
        <w:top w:val="none" w:sz="0" w:space="0" w:color="auto"/>
        <w:left w:val="none" w:sz="0" w:space="0" w:color="auto"/>
        <w:bottom w:val="none" w:sz="0" w:space="0" w:color="auto"/>
        <w:right w:val="none" w:sz="0" w:space="0" w:color="auto"/>
      </w:divBdr>
    </w:div>
    <w:div w:id="816531356">
      <w:bodyDiv w:val="1"/>
      <w:marLeft w:val="0"/>
      <w:marRight w:val="0"/>
      <w:marTop w:val="0"/>
      <w:marBottom w:val="0"/>
      <w:divBdr>
        <w:top w:val="none" w:sz="0" w:space="0" w:color="auto"/>
        <w:left w:val="none" w:sz="0" w:space="0" w:color="auto"/>
        <w:bottom w:val="none" w:sz="0" w:space="0" w:color="auto"/>
        <w:right w:val="none" w:sz="0" w:space="0" w:color="auto"/>
      </w:divBdr>
    </w:div>
    <w:div w:id="825098288">
      <w:bodyDiv w:val="1"/>
      <w:marLeft w:val="0"/>
      <w:marRight w:val="0"/>
      <w:marTop w:val="0"/>
      <w:marBottom w:val="0"/>
      <w:divBdr>
        <w:top w:val="none" w:sz="0" w:space="0" w:color="auto"/>
        <w:left w:val="none" w:sz="0" w:space="0" w:color="auto"/>
        <w:bottom w:val="none" w:sz="0" w:space="0" w:color="auto"/>
        <w:right w:val="none" w:sz="0" w:space="0" w:color="auto"/>
      </w:divBdr>
      <w:divsChild>
        <w:div w:id="1990401861">
          <w:marLeft w:val="0"/>
          <w:marRight w:val="0"/>
          <w:marTop w:val="0"/>
          <w:marBottom w:val="0"/>
          <w:divBdr>
            <w:top w:val="none" w:sz="0" w:space="0" w:color="auto"/>
            <w:left w:val="none" w:sz="0" w:space="0" w:color="auto"/>
            <w:bottom w:val="none" w:sz="0" w:space="0" w:color="auto"/>
            <w:right w:val="none" w:sz="0" w:space="0" w:color="auto"/>
          </w:divBdr>
          <w:divsChild>
            <w:div w:id="138108570">
              <w:marLeft w:val="30"/>
              <w:marRight w:val="30"/>
              <w:marTop w:val="30"/>
              <w:marBottom w:val="30"/>
              <w:divBdr>
                <w:top w:val="single" w:sz="6" w:space="8" w:color="DDDDDD"/>
                <w:left w:val="single" w:sz="6" w:space="15" w:color="DDDDDD"/>
                <w:bottom w:val="single" w:sz="6" w:space="8" w:color="DDDDDD"/>
                <w:right w:val="single" w:sz="6" w:space="15" w:color="DDDDDD"/>
              </w:divBdr>
              <w:divsChild>
                <w:div w:id="832111019">
                  <w:marLeft w:val="0"/>
                  <w:marRight w:val="0"/>
                  <w:marTop w:val="0"/>
                  <w:marBottom w:val="0"/>
                  <w:divBdr>
                    <w:top w:val="single" w:sz="2" w:space="0" w:color="000000"/>
                    <w:left w:val="single" w:sz="2" w:space="0" w:color="000000"/>
                    <w:bottom w:val="single" w:sz="2" w:space="0" w:color="000000"/>
                    <w:right w:val="single" w:sz="2" w:space="0" w:color="000000"/>
                  </w:divBdr>
                  <w:divsChild>
                    <w:div w:id="3113748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7231863">
                  <w:marLeft w:val="0"/>
                  <w:marRight w:val="0"/>
                  <w:marTop w:val="300"/>
                  <w:marBottom w:val="300"/>
                  <w:divBdr>
                    <w:top w:val="none" w:sz="0" w:space="0" w:color="auto"/>
                    <w:left w:val="none" w:sz="0" w:space="0" w:color="auto"/>
                    <w:bottom w:val="none" w:sz="0" w:space="0" w:color="auto"/>
                    <w:right w:val="none" w:sz="0" w:space="0" w:color="auto"/>
                  </w:divBdr>
                  <w:divsChild>
                    <w:div w:id="1407801520">
                      <w:marLeft w:val="0"/>
                      <w:marRight w:val="0"/>
                      <w:marTop w:val="0"/>
                      <w:marBottom w:val="0"/>
                      <w:divBdr>
                        <w:top w:val="single" w:sz="2" w:space="0" w:color="000000"/>
                        <w:left w:val="single" w:sz="2" w:space="0" w:color="000000"/>
                        <w:bottom w:val="single" w:sz="2" w:space="0" w:color="000000"/>
                        <w:right w:val="single" w:sz="2" w:space="0" w:color="000000"/>
                      </w:divBdr>
                      <w:divsChild>
                        <w:div w:id="6586542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2773773">
                      <w:marLeft w:val="0"/>
                      <w:marRight w:val="0"/>
                      <w:marTop w:val="0"/>
                      <w:marBottom w:val="0"/>
                      <w:divBdr>
                        <w:top w:val="none" w:sz="0" w:space="0" w:color="auto"/>
                        <w:left w:val="none" w:sz="0" w:space="0" w:color="auto"/>
                        <w:bottom w:val="dashed" w:sz="6" w:space="0" w:color="CCCCCC"/>
                        <w:right w:val="none" w:sz="0" w:space="0" w:color="auto"/>
                      </w:divBdr>
                    </w:div>
                    <w:div w:id="2087993775">
                      <w:marLeft w:val="0"/>
                      <w:marRight w:val="0"/>
                      <w:marTop w:val="0"/>
                      <w:marBottom w:val="0"/>
                      <w:divBdr>
                        <w:top w:val="none" w:sz="0" w:space="0" w:color="auto"/>
                        <w:left w:val="none" w:sz="0" w:space="0" w:color="auto"/>
                        <w:bottom w:val="dashed" w:sz="6" w:space="8" w:color="CCCCCC"/>
                        <w:right w:val="none" w:sz="0" w:space="0" w:color="auto"/>
                      </w:divBdr>
                      <w:divsChild>
                        <w:div w:id="2001807588">
                          <w:marLeft w:val="0"/>
                          <w:marRight w:val="0"/>
                          <w:marTop w:val="0"/>
                          <w:marBottom w:val="15"/>
                          <w:divBdr>
                            <w:top w:val="none" w:sz="0" w:space="0" w:color="auto"/>
                            <w:left w:val="none" w:sz="0" w:space="0" w:color="auto"/>
                            <w:bottom w:val="none" w:sz="0" w:space="0" w:color="auto"/>
                            <w:right w:val="none" w:sz="0" w:space="0" w:color="auto"/>
                          </w:divBdr>
                        </w:div>
                        <w:div w:id="1229003184">
                          <w:marLeft w:val="0"/>
                          <w:marRight w:val="0"/>
                          <w:marTop w:val="0"/>
                          <w:marBottom w:val="15"/>
                          <w:divBdr>
                            <w:top w:val="none" w:sz="0" w:space="0" w:color="auto"/>
                            <w:left w:val="none" w:sz="0" w:space="0" w:color="auto"/>
                            <w:bottom w:val="none" w:sz="0" w:space="0" w:color="auto"/>
                            <w:right w:val="none" w:sz="0" w:space="0" w:color="auto"/>
                          </w:divBdr>
                        </w:div>
                      </w:divsChild>
                    </w:div>
                    <w:div w:id="44455210">
                      <w:marLeft w:val="0"/>
                      <w:marRight w:val="0"/>
                      <w:marTop w:val="0"/>
                      <w:marBottom w:val="0"/>
                      <w:divBdr>
                        <w:top w:val="none" w:sz="0" w:space="0" w:color="auto"/>
                        <w:left w:val="none" w:sz="0" w:space="0" w:color="auto"/>
                        <w:bottom w:val="dashed" w:sz="6" w:space="0" w:color="CCCCCC"/>
                        <w:right w:val="none" w:sz="0" w:space="0" w:color="auto"/>
                      </w:divBdr>
                    </w:div>
                    <w:div w:id="1150174988">
                      <w:marLeft w:val="0"/>
                      <w:marRight w:val="0"/>
                      <w:marTop w:val="0"/>
                      <w:marBottom w:val="0"/>
                      <w:divBdr>
                        <w:top w:val="none" w:sz="0" w:space="0" w:color="auto"/>
                        <w:left w:val="none" w:sz="0" w:space="0" w:color="auto"/>
                        <w:bottom w:val="dashed" w:sz="6" w:space="8" w:color="CCCCCC"/>
                        <w:right w:val="none" w:sz="0" w:space="0" w:color="auto"/>
                      </w:divBdr>
                      <w:divsChild>
                        <w:div w:id="1169977709">
                          <w:marLeft w:val="0"/>
                          <w:marRight w:val="0"/>
                          <w:marTop w:val="0"/>
                          <w:marBottom w:val="15"/>
                          <w:divBdr>
                            <w:top w:val="none" w:sz="0" w:space="0" w:color="auto"/>
                            <w:left w:val="none" w:sz="0" w:space="0" w:color="auto"/>
                            <w:bottom w:val="none" w:sz="0" w:space="0" w:color="auto"/>
                            <w:right w:val="none" w:sz="0" w:space="0" w:color="auto"/>
                          </w:divBdr>
                        </w:div>
                        <w:div w:id="298732284">
                          <w:marLeft w:val="0"/>
                          <w:marRight w:val="0"/>
                          <w:marTop w:val="0"/>
                          <w:marBottom w:val="15"/>
                          <w:divBdr>
                            <w:top w:val="none" w:sz="0" w:space="0" w:color="auto"/>
                            <w:left w:val="none" w:sz="0" w:space="0" w:color="auto"/>
                            <w:bottom w:val="none" w:sz="0" w:space="0" w:color="auto"/>
                            <w:right w:val="none" w:sz="0" w:space="0" w:color="auto"/>
                          </w:divBdr>
                        </w:div>
                      </w:divsChild>
                    </w:div>
                    <w:div w:id="879049457">
                      <w:marLeft w:val="0"/>
                      <w:marRight w:val="0"/>
                      <w:marTop w:val="0"/>
                      <w:marBottom w:val="0"/>
                      <w:divBdr>
                        <w:top w:val="none" w:sz="0" w:space="0" w:color="auto"/>
                        <w:left w:val="none" w:sz="0" w:space="0" w:color="auto"/>
                        <w:bottom w:val="dashed" w:sz="6" w:space="0" w:color="CCCCCC"/>
                        <w:right w:val="none" w:sz="0" w:space="0" w:color="auto"/>
                      </w:divBdr>
                    </w:div>
                    <w:div w:id="1852375757">
                      <w:marLeft w:val="0"/>
                      <w:marRight w:val="0"/>
                      <w:marTop w:val="0"/>
                      <w:marBottom w:val="0"/>
                      <w:divBdr>
                        <w:top w:val="none" w:sz="0" w:space="0" w:color="auto"/>
                        <w:left w:val="none" w:sz="0" w:space="0" w:color="auto"/>
                        <w:bottom w:val="dashed" w:sz="6" w:space="8" w:color="CCCCCC"/>
                        <w:right w:val="none" w:sz="0" w:space="0" w:color="auto"/>
                      </w:divBdr>
                      <w:divsChild>
                        <w:div w:id="1136029170">
                          <w:marLeft w:val="0"/>
                          <w:marRight w:val="0"/>
                          <w:marTop w:val="0"/>
                          <w:marBottom w:val="15"/>
                          <w:divBdr>
                            <w:top w:val="none" w:sz="0" w:space="0" w:color="auto"/>
                            <w:left w:val="none" w:sz="0" w:space="0" w:color="auto"/>
                            <w:bottom w:val="none" w:sz="0" w:space="0" w:color="auto"/>
                            <w:right w:val="none" w:sz="0" w:space="0" w:color="auto"/>
                          </w:divBdr>
                        </w:div>
                        <w:div w:id="411589281">
                          <w:marLeft w:val="0"/>
                          <w:marRight w:val="0"/>
                          <w:marTop w:val="0"/>
                          <w:marBottom w:val="15"/>
                          <w:divBdr>
                            <w:top w:val="none" w:sz="0" w:space="0" w:color="auto"/>
                            <w:left w:val="none" w:sz="0" w:space="0" w:color="auto"/>
                            <w:bottom w:val="none" w:sz="0" w:space="0" w:color="auto"/>
                            <w:right w:val="none" w:sz="0" w:space="0" w:color="auto"/>
                          </w:divBdr>
                        </w:div>
                      </w:divsChild>
                    </w:div>
                    <w:div w:id="405996281">
                      <w:marLeft w:val="0"/>
                      <w:marRight w:val="0"/>
                      <w:marTop w:val="0"/>
                      <w:marBottom w:val="0"/>
                      <w:divBdr>
                        <w:top w:val="none" w:sz="0" w:space="0" w:color="auto"/>
                        <w:left w:val="none" w:sz="0" w:space="0" w:color="auto"/>
                        <w:bottom w:val="dashed" w:sz="6" w:space="0" w:color="CCCCCC"/>
                        <w:right w:val="none" w:sz="0" w:space="0" w:color="auto"/>
                      </w:divBdr>
                    </w:div>
                    <w:div w:id="1614626055">
                      <w:marLeft w:val="0"/>
                      <w:marRight w:val="0"/>
                      <w:marTop w:val="0"/>
                      <w:marBottom w:val="0"/>
                      <w:divBdr>
                        <w:top w:val="none" w:sz="0" w:space="0" w:color="auto"/>
                        <w:left w:val="none" w:sz="0" w:space="0" w:color="auto"/>
                        <w:bottom w:val="dashed" w:sz="6" w:space="8" w:color="CCCCCC"/>
                        <w:right w:val="none" w:sz="0" w:space="0" w:color="auto"/>
                      </w:divBdr>
                      <w:divsChild>
                        <w:div w:id="307783699">
                          <w:marLeft w:val="0"/>
                          <w:marRight w:val="0"/>
                          <w:marTop w:val="0"/>
                          <w:marBottom w:val="15"/>
                          <w:divBdr>
                            <w:top w:val="none" w:sz="0" w:space="0" w:color="auto"/>
                            <w:left w:val="none" w:sz="0" w:space="0" w:color="auto"/>
                            <w:bottom w:val="none" w:sz="0" w:space="0" w:color="auto"/>
                            <w:right w:val="none" w:sz="0" w:space="0" w:color="auto"/>
                          </w:divBdr>
                        </w:div>
                        <w:div w:id="918057861">
                          <w:marLeft w:val="0"/>
                          <w:marRight w:val="0"/>
                          <w:marTop w:val="0"/>
                          <w:marBottom w:val="15"/>
                          <w:divBdr>
                            <w:top w:val="none" w:sz="0" w:space="0" w:color="auto"/>
                            <w:left w:val="none" w:sz="0" w:space="0" w:color="auto"/>
                            <w:bottom w:val="none" w:sz="0" w:space="0" w:color="auto"/>
                            <w:right w:val="none" w:sz="0" w:space="0" w:color="auto"/>
                          </w:divBdr>
                        </w:div>
                      </w:divsChild>
                    </w:div>
                    <w:div w:id="309284355">
                      <w:marLeft w:val="0"/>
                      <w:marRight w:val="0"/>
                      <w:marTop w:val="0"/>
                      <w:marBottom w:val="0"/>
                      <w:divBdr>
                        <w:top w:val="none" w:sz="0" w:space="0" w:color="auto"/>
                        <w:left w:val="none" w:sz="0" w:space="0" w:color="auto"/>
                        <w:bottom w:val="dashed" w:sz="6" w:space="0" w:color="CCCCCC"/>
                        <w:right w:val="none" w:sz="0" w:space="0" w:color="auto"/>
                      </w:divBdr>
                    </w:div>
                    <w:div w:id="1043019171">
                      <w:marLeft w:val="0"/>
                      <w:marRight w:val="0"/>
                      <w:marTop w:val="0"/>
                      <w:marBottom w:val="0"/>
                      <w:divBdr>
                        <w:top w:val="none" w:sz="0" w:space="0" w:color="auto"/>
                        <w:left w:val="none" w:sz="0" w:space="0" w:color="auto"/>
                        <w:bottom w:val="dashed" w:sz="6" w:space="8" w:color="CCCCCC"/>
                        <w:right w:val="none" w:sz="0" w:space="0" w:color="auto"/>
                      </w:divBdr>
                      <w:divsChild>
                        <w:div w:id="1659578600">
                          <w:marLeft w:val="0"/>
                          <w:marRight w:val="0"/>
                          <w:marTop w:val="0"/>
                          <w:marBottom w:val="15"/>
                          <w:divBdr>
                            <w:top w:val="none" w:sz="0" w:space="0" w:color="auto"/>
                            <w:left w:val="none" w:sz="0" w:space="0" w:color="auto"/>
                            <w:bottom w:val="none" w:sz="0" w:space="0" w:color="auto"/>
                            <w:right w:val="none" w:sz="0" w:space="0" w:color="auto"/>
                          </w:divBdr>
                        </w:div>
                        <w:div w:id="1494295860">
                          <w:marLeft w:val="0"/>
                          <w:marRight w:val="0"/>
                          <w:marTop w:val="0"/>
                          <w:marBottom w:val="15"/>
                          <w:divBdr>
                            <w:top w:val="none" w:sz="0" w:space="0" w:color="auto"/>
                            <w:left w:val="none" w:sz="0" w:space="0" w:color="auto"/>
                            <w:bottom w:val="none" w:sz="0" w:space="0" w:color="auto"/>
                            <w:right w:val="none" w:sz="0" w:space="0" w:color="auto"/>
                          </w:divBdr>
                        </w:div>
                      </w:divsChild>
                    </w:div>
                    <w:div w:id="1459570875">
                      <w:marLeft w:val="0"/>
                      <w:marRight w:val="0"/>
                      <w:marTop w:val="0"/>
                      <w:marBottom w:val="0"/>
                      <w:divBdr>
                        <w:top w:val="none" w:sz="0" w:space="0" w:color="auto"/>
                        <w:left w:val="none" w:sz="0" w:space="0" w:color="auto"/>
                        <w:bottom w:val="dashed" w:sz="6" w:space="0" w:color="CCCCCC"/>
                        <w:right w:val="none" w:sz="0" w:space="0" w:color="auto"/>
                      </w:divBdr>
                    </w:div>
                    <w:div w:id="1280575477">
                      <w:marLeft w:val="0"/>
                      <w:marRight w:val="0"/>
                      <w:marTop w:val="0"/>
                      <w:marBottom w:val="0"/>
                      <w:divBdr>
                        <w:top w:val="none" w:sz="0" w:space="0" w:color="auto"/>
                        <w:left w:val="none" w:sz="0" w:space="0" w:color="auto"/>
                        <w:bottom w:val="dashed" w:sz="6" w:space="8" w:color="CCCCCC"/>
                        <w:right w:val="none" w:sz="0" w:space="0" w:color="auto"/>
                      </w:divBdr>
                      <w:divsChild>
                        <w:div w:id="1078209093">
                          <w:marLeft w:val="0"/>
                          <w:marRight w:val="0"/>
                          <w:marTop w:val="0"/>
                          <w:marBottom w:val="15"/>
                          <w:divBdr>
                            <w:top w:val="none" w:sz="0" w:space="0" w:color="auto"/>
                            <w:left w:val="none" w:sz="0" w:space="0" w:color="auto"/>
                            <w:bottom w:val="none" w:sz="0" w:space="0" w:color="auto"/>
                            <w:right w:val="none" w:sz="0" w:space="0" w:color="auto"/>
                          </w:divBdr>
                        </w:div>
                        <w:div w:id="736975653">
                          <w:marLeft w:val="0"/>
                          <w:marRight w:val="0"/>
                          <w:marTop w:val="0"/>
                          <w:marBottom w:val="15"/>
                          <w:divBdr>
                            <w:top w:val="none" w:sz="0" w:space="0" w:color="auto"/>
                            <w:left w:val="none" w:sz="0" w:space="0" w:color="auto"/>
                            <w:bottom w:val="none" w:sz="0" w:space="0" w:color="auto"/>
                            <w:right w:val="none" w:sz="0" w:space="0" w:color="auto"/>
                          </w:divBdr>
                        </w:div>
                      </w:divsChild>
                    </w:div>
                    <w:div w:id="1058628575">
                      <w:marLeft w:val="0"/>
                      <w:marRight w:val="0"/>
                      <w:marTop w:val="0"/>
                      <w:marBottom w:val="0"/>
                      <w:divBdr>
                        <w:top w:val="none" w:sz="0" w:space="0" w:color="auto"/>
                        <w:left w:val="none" w:sz="0" w:space="0" w:color="auto"/>
                        <w:bottom w:val="dashed" w:sz="6" w:space="0" w:color="CCCCCC"/>
                        <w:right w:val="none" w:sz="0" w:space="0" w:color="auto"/>
                      </w:divBdr>
                    </w:div>
                    <w:div w:id="303000879">
                      <w:marLeft w:val="0"/>
                      <w:marRight w:val="0"/>
                      <w:marTop w:val="0"/>
                      <w:marBottom w:val="0"/>
                      <w:divBdr>
                        <w:top w:val="none" w:sz="0" w:space="0" w:color="auto"/>
                        <w:left w:val="none" w:sz="0" w:space="0" w:color="auto"/>
                        <w:bottom w:val="dashed" w:sz="6" w:space="8" w:color="CCCCCC"/>
                        <w:right w:val="none" w:sz="0" w:space="0" w:color="auto"/>
                      </w:divBdr>
                      <w:divsChild>
                        <w:div w:id="2004697872">
                          <w:marLeft w:val="0"/>
                          <w:marRight w:val="0"/>
                          <w:marTop w:val="0"/>
                          <w:marBottom w:val="15"/>
                          <w:divBdr>
                            <w:top w:val="none" w:sz="0" w:space="0" w:color="auto"/>
                            <w:left w:val="none" w:sz="0" w:space="0" w:color="auto"/>
                            <w:bottom w:val="none" w:sz="0" w:space="0" w:color="auto"/>
                            <w:right w:val="none" w:sz="0" w:space="0" w:color="auto"/>
                          </w:divBdr>
                        </w:div>
                        <w:div w:id="1233739573">
                          <w:marLeft w:val="0"/>
                          <w:marRight w:val="0"/>
                          <w:marTop w:val="0"/>
                          <w:marBottom w:val="15"/>
                          <w:divBdr>
                            <w:top w:val="none" w:sz="0" w:space="0" w:color="auto"/>
                            <w:left w:val="none" w:sz="0" w:space="0" w:color="auto"/>
                            <w:bottom w:val="none" w:sz="0" w:space="0" w:color="auto"/>
                            <w:right w:val="none" w:sz="0" w:space="0" w:color="auto"/>
                          </w:divBdr>
                        </w:div>
                      </w:divsChild>
                    </w:div>
                    <w:div w:id="1761901832">
                      <w:marLeft w:val="0"/>
                      <w:marRight w:val="0"/>
                      <w:marTop w:val="0"/>
                      <w:marBottom w:val="0"/>
                      <w:divBdr>
                        <w:top w:val="none" w:sz="0" w:space="0" w:color="auto"/>
                        <w:left w:val="none" w:sz="0" w:space="0" w:color="auto"/>
                        <w:bottom w:val="dashed" w:sz="6" w:space="0" w:color="CCCCCC"/>
                        <w:right w:val="none" w:sz="0" w:space="0" w:color="auto"/>
                      </w:divBdr>
                    </w:div>
                    <w:div w:id="72510759">
                      <w:marLeft w:val="0"/>
                      <w:marRight w:val="0"/>
                      <w:marTop w:val="0"/>
                      <w:marBottom w:val="0"/>
                      <w:divBdr>
                        <w:top w:val="none" w:sz="0" w:space="0" w:color="auto"/>
                        <w:left w:val="none" w:sz="0" w:space="0" w:color="auto"/>
                        <w:bottom w:val="dashed" w:sz="6" w:space="8" w:color="CCCCCC"/>
                        <w:right w:val="none" w:sz="0" w:space="0" w:color="auto"/>
                      </w:divBdr>
                      <w:divsChild>
                        <w:div w:id="1526560706">
                          <w:marLeft w:val="0"/>
                          <w:marRight w:val="0"/>
                          <w:marTop w:val="0"/>
                          <w:marBottom w:val="15"/>
                          <w:divBdr>
                            <w:top w:val="none" w:sz="0" w:space="0" w:color="auto"/>
                            <w:left w:val="none" w:sz="0" w:space="0" w:color="auto"/>
                            <w:bottom w:val="none" w:sz="0" w:space="0" w:color="auto"/>
                            <w:right w:val="none" w:sz="0" w:space="0" w:color="auto"/>
                          </w:divBdr>
                        </w:div>
                        <w:div w:id="164172905">
                          <w:marLeft w:val="0"/>
                          <w:marRight w:val="0"/>
                          <w:marTop w:val="0"/>
                          <w:marBottom w:val="15"/>
                          <w:divBdr>
                            <w:top w:val="none" w:sz="0" w:space="0" w:color="auto"/>
                            <w:left w:val="none" w:sz="0" w:space="0" w:color="auto"/>
                            <w:bottom w:val="none" w:sz="0" w:space="0" w:color="auto"/>
                            <w:right w:val="none" w:sz="0" w:space="0" w:color="auto"/>
                          </w:divBdr>
                        </w:div>
                      </w:divsChild>
                    </w:div>
                    <w:div w:id="1203980321">
                      <w:marLeft w:val="0"/>
                      <w:marRight w:val="0"/>
                      <w:marTop w:val="0"/>
                      <w:marBottom w:val="0"/>
                      <w:divBdr>
                        <w:top w:val="none" w:sz="0" w:space="0" w:color="auto"/>
                        <w:left w:val="none" w:sz="0" w:space="0" w:color="auto"/>
                        <w:bottom w:val="dashed" w:sz="6" w:space="0" w:color="CCCCCC"/>
                        <w:right w:val="none" w:sz="0" w:space="0" w:color="auto"/>
                      </w:divBdr>
                    </w:div>
                    <w:div w:id="64567967">
                      <w:marLeft w:val="0"/>
                      <w:marRight w:val="0"/>
                      <w:marTop w:val="0"/>
                      <w:marBottom w:val="0"/>
                      <w:divBdr>
                        <w:top w:val="none" w:sz="0" w:space="0" w:color="auto"/>
                        <w:left w:val="none" w:sz="0" w:space="0" w:color="auto"/>
                        <w:bottom w:val="dashed" w:sz="6" w:space="8" w:color="CCCCCC"/>
                        <w:right w:val="none" w:sz="0" w:space="0" w:color="auto"/>
                      </w:divBdr>
                      <w:divsChild>
                        <w:div w:id="856650871">
                          <w:marLeft w:val="0"/>
                          <w:marRight w:val="0"/>
                          <w:marTop w:val="0"/>
                          <w:marBottom w:val="15"/>
                          <w:divBdr>
                            <w:top w:val="none" w:sz="0" w:space="0" w:color="auto"/>
                            <w:left w:val="none" w:sz="0" w:space="0" w:color="auto"/>
                            <w:bottom w:val="none" w:sz="0" w:space="0" w:color="auto"/>
                            <w:right w:val="none" w:sz="0" w:space="0" w:color="auto"/>
                          </w:divBdr>
                        </w:div>
                        <w:div w:id="397674363">
                          <w:marLeft w:val="0"/>
                          <w:marRight w:val="0"/>
                          <w:marTop w:val="0"/>
                          <w:marBottom w:val="15"/>
                          <w:divBdr>
                            <w:top w:val="none" w:sz="0" w:space="0" w:color="auto"/>
                            <w:left w:val="none" w:sz="0" w:space="0" w:color="auto"/>
                            <w:bottom w:val="none" w:sz="0" w:space="0" w:color="auto"/>
                            <w:right w:val="none" w:sz="0" w:space="0" w:color="auto"/>
                          </w:divBdr>
                        </w:div>
                      </w:divsChild>
                    </w:div>
                    <w:div w:id="470296261">
                      <w:marLeft w:val="0"/>
                      <w:marRight w:val="0"/>
                      <w:marTop w:val="0"/>
                      <w:marBottom w:val="0"/>
                      <w:divBdr>
                        <w:top w:val="none" w:sz="0" w:space="0" w:color="auto"/>
                        <w:left w:val="none" w:sz="0" w:space="0" w:color="auto"/>
                        <w:bottom w:val="dashed" w:sz="6" w:space="0" w:color="CCCCCC"/>
                        <w:right w:val="none" w:sz="0" w:space="0" w:color="auto"/>
                      </w:divBdr>
                    </w:div>
                    <w:div w:id="163060123">
                      <w:marLeft w:val="0"/>
                      <w:marRight w:val="0"/>
                      <w:marTop w:val="0"/>
                      <w:marBottom w:val="0"/>
                      <w:divBdr>
                        <w:top w:val="none" w:sz="0" w:space="0" w:color="auto"/>
                        <w:left w:val="none" w:sz="0" w:space="0" w:color="auto"/>
                        <w:bottom w:val="dashed" w:sz="6" w:space="8" w:color="CCCCCC"/>
                        <w:right w:val="none" w:sz="0" w:space="0" w:color="auto"/>
                      </w:divBdr>
                      <w:divsChild>
                        <w:div w:id="1623418627">
                          <w:marLeft w:val="0"/>
                          <w:marRight w:val="0"/>
                          <w:marTop w:val="0"/>
                          <w:marBottom w:val="15"/>
                          <w:divBdr>
                            <w:top w:val="none" w:sz="0" w:space="0" w:color="auto"/>
                            <w:left w:val="none" w:sz="0" w:space="0" w:color="auto"/>
                            <w:bottom w:val="none" w:sz="0" w:space="0" w:color="auto"/>
                            <w:right w:val="none" w:sz="0" w:space="0" w:color="auto"/>
                          </w:divBdr>
                        </w:div>
                        <w:div w:id="395397479">
                          <w:marLeft w:val="0"/>
                          <w:marRight w:val="0"/>
                          <w:marTop w:val="0"/>
                          <w:marBottom w:val="15"/>
                          <w:divBdr>
                            <w:top w:val="none" w:sz="0" w:space="0" w:color="auto"/>
                            <w:left w:val="none" w:sz="0" w:space="0" w:color="auto"/>
                            <w:bottom w:val="none" w:sz="0" w:space="0" w:color="auto"/>
                            <w:right w:val="none" w:sz="0" w:space="0" w:color="auto"/>
                          </w:divBdr>
                        </w:div>
                      </w:divsChild>
                    </w:div>
                    <w:div w:id="994643047">
                      <w:marLeft w:val="0"/>
                      <w:marRight w:val="0"/>
                      <w:marTop w:val="0"/>
                      <w:marBottom w:val="0"/>
                      <w:divBdr>
                        <w:top w:val="none" w:sz="0" w:space="0" w:color="auto"/>
                        <w:left w:val="none" w:sz="0" w:space="0" w:color="auto"/>
                        <w:bottom w:val="dashed" w:sz="6" w:space="0" w:color="CCCCCC"/>
                        <w:right w:val="none" w:sz="0" w:space="0" w:color="auto"/>
                      </w:divBdr>
                    </w:div>
                    <w:div w:id="204952951">
                      <w:marLeft w:val="0"/>
                      <w:marRight w:val="0"/>
                      <w:marTop w:val="0"/>
                      <w:marBottom w:val="0"/>
                      <w:divBdr>
                        <w:top w:val="none" w:sz="0" w:space="0" w:color="auto"/>
                        <w:left w:val="none" w:sz="0" w:space="0" w:color="auto"/>
                        <w:bottom w:val="dashed" w:sz="6" w:space="8" w:color="CCCCCC"/>
                        <w:right w:val="none" w:sz="0" w:space="0" w:color="auto"/>
                      </w:divBdr>
                      <w:divsChild>
                        <w:div w:id="1148478709">
                          <w:marLeft w:val="0"/>
                          <w:marRight w:val="0"/>
                          <w:marTop w:val="0"/>
                          <w:marBottom w:val="15"/>
                          <w:divBdr>
                            <w:top w:val="none" w:sz="0" w:space="0" w:color="auto"/>
                            <w:left w:val="none" w:sz="0" w:space="0" w:color="auto"/>
                            <w:bottom w:val="none" w:sz="0" w:space="0" w:color="auto"/>
                            <w:right w:val="none" w:sz="0" w:space="0" w:color="auto"/>
                          </w:divBdr>
                        </w:div>
                        <w:div w:id="1121798273">
                          <w:marLeft w:val="0"/>
                          <w:marRight w:val="0"/>
                          <w:marTop w:val="0"/>
                          <w:marBottom w:val="15"/>
                          <w:divBdr>
                            <w:top w:val="none" w:sz="0" w:space="0" w:color="auto"/>
                            <w:left w:val="none" w:sz="0" w:space="0" w:color="auto"/>
                            <w:bottom w:val="none" w:sz="0" w:space="0" w:color="auto"/>
                            <w:right w:val="none" w:sz="0" w:space="0" w:color="auto"/>
                          </w:divBdr>
                        </w:div>
                      </w:divsChild>
                    </w:div>
                    <w:div w:id="1143348726">
                      <w:marLeft w:val="0"/>
                      <w:marRight w:val="0"/>
                      <w:marTop w:val="0"/>
                      <w:marBottom w:val="0"/>
                      <w:divBdr>
                        <w:top w:val="none" w:sz="0" w:space="0" w:color="auto"/>
                        <w:left w:val="none" w:sz="0" w:space="0" w:color="auto"/>
                        <w:bottom w:val="dashed" w:sz="6" w:space="0" w:color="CCCCCC"/>
                        <w:right w:val="none" w:sz="0" w:space="0" w:color="auto"/>
                      </w:divBdr>
                    </w:div>
                    <w:div w:id="735708221">
                      <w:marLeft w:val="0"/>
                      <w:marRight w:val="0"/>
                      <w:marTop w:val="0"/>
                      <w:marBottom w:val="0"/>
                      <w:divBdr>
                        <w:top w:val="none" w:sz="0" w:space="0" w:color="auto"/>
                        <w:left w:val="none" w:sz="0" w:space="0" w:color="auto"/>
                        <w:bottom w:val="dashed" w:sz="6" w:space="8" w:color="CCCCCC"/>
                        <w:right w:val="none" w:sz="0" w:space="0" w:color="auto"/>
                      </w:divBdr>
                      <w:divsChild>
                        <w:div w:id="2013988074">
                          <w:marLeft w:val="0"/>
                          <w:marRight w:val="0"/>
                          <w:marTop w:val="0"/>
                          <w:marBottom w:val="15"/>
                          <w:divBdr>
                            <w:top w:val="none" w:sz="0" w:space="0" w:color="auto"/>
                            <w:left w:val="none" w:sz="0" w:space="0" w:color="auto"/>
                            <w:bottom w:val="none" w:sz="0" w:space="0" w:color="auto"/>
                            <w:right w:val="none" w:sz="0" w:space="0" w:color="auto"/>
                          </w:divBdr>
                        </w:div>
                        <w:div w:id="2140221014">
                          <w:marLeft w:val="0"/>
                          <w:marRight w:val="0"/>
                          <w:marTop w:val="0"/>
                          <w:marBottom w:val="15"/>
                          <w:divBdr>
                            <w:top w:val="none" w:sz="0" w:space="0" w:color="auto"/>
                            <w:left w:val="none" w:sz="0" w:space="0" w:color="auto"/>
                            <w:bottom w:val="none" w:sz="0" w:space="0" w:color="auto"/>
                            <w:right w:val="none" w:sz="0" w:space="0" w:color="auto"/>
                          </w:divBdr>
                        </w:div>
                      </w:divsChild>
                    </w:div>
                    <w:div w:id="1740051014">
                      <w:marLeft w:val="0"/>
                      <w:marRight w:val="0"/>
                      <w:marTop w:val="0"/>
                      <w:marBottom w:val="0"/>
                      <w:divBdr>
                        <w:top w:val="none" w:sz="0" w:space="0" w:color="auto"/>
                        <w:left w:val="none" w:sz="0" w:space="0" w:color="auto"/>
                        <w:bottom w:val="dashed" w:sz="6" w:space="0" w:color="CCCCCC"/>
                        <w:right w:val="none" w:sz="0" w:space="0" w:color="auto"/>
                      </w:divBdr>
                    </w:div>
                    <w:div w:id="1404839584">
                      <w:marLeft w:val="0"/>
                      <w:marRight w:val="0"/>
                      <w:marTop w:val="0"/>
                      <w:marBottom w:val="0"/>
                      <w:divBdr>
                        <w:top w:val="none" w:sz="0" w:space="0" w:color="auto"/>
                        <w:left w:val="none" w:sz="0" w:space="0" w:color="auto"/>
                        <w:bottom w:val="dashed" w:sz="6" w:space="8" w:color="CCCCCC"/>
                        <w:right w:val="none" w:sz="0" w:space="0" w:color="auto"/>
                      </w:divBdr>
                      <w:divsChild>
                        <w:div w:id="555094917">
                          <w:marLeft w:val="0"/>
                          <w:marRight w:val="0"/>
                          <w:marTop w:val="0"/>
                          <w:marBottom w:val="15"/>
                          <w:divBdr>
                            <w:top w:val="none" w:sz="0" w:space="0" w:color="auto"/>
                            <w:left w:val="none" w:sz="0" w:space="0" w:color="auto"/>
                            <w:bottom w:val="none" w:sz="0" w:space="0" w:color="auto"/>
                            <w:right w:val="none" w:sz="0" w:space="0" w:color="auto"/>
                          </w:divBdr>
                        </w:div>
                        <w:div w:id="1423256374">
                          <w:marLeft w:val="0"/>
                          <w:marRight w:val="0"/>
                          <w:marTop w:val="0"/>
                          <w:marBottom w:val="15"/>
                          <w:divBdr>
                            <w:top w:val="none" w:sz="0" w:space="0" w:color="auto"/>
                            <w:left w:val="none" w:sz="0" w:space="0" w:color="auto"/>
                            <w:bottom w:val="none" w:sz="0" w:space="0" w:color="auto"/>
                            <w:right w:val="none" w:sz="0" w:space="0" w:color="auto"/>
                          </w:divBdr>
                        </w:div>
                      </w:divsChild>
                    </w:div>
                    <w:div w:id="102502630">
                      <w:marLeft w:val="0"/>
                      <w:marRight w:val="0"/>
                      <w:marTop w:val="0"/>
                      <w:marBottom w:val="0"/>
                      <w:divBdr>
                        <w:top w:val="none" w:sz="0" w:space="0" w:color="auto"/>
                        <w:left w:val="none" w:sz="0" w:space="0" w:color="auto"/>
                        <w:bottom w:val="dashed" w:sz="6" w:space="0" w:color="CCCCCC"/>
                        <w:right w:val="none" w:sz="0" w:space="0" w:color="auto"/>
                      </w:divBdr>
                    </w:div>
                    <w:div w:id="731081873">
                      <w:marLeft w:val="0"/>
                      <w:marRight w:val="0"/>
                      <w:marTop w:val="0"/>
                      <w:marBottom w:val="0"/>
                      <w:divBdr>
                        <w:top w:val="none" w:sz="0" w:space="0" w:color="auto"/>
                        <w:left w:val="none" w:sz="0" w:space="0" w:color="auto"/>
                        <w:bottom w:val="dashed" w:sz="6" w:space="8" w:color="CCCCCC"/>
                        <w:right w:val="none" w:sz="0" w:space="0" w:color="auto"/>
                      </w:divBdr>
                      <w:divsChild>
                        <w:div w:id="1660696771">
                          <w:marLeft w:val="0"/>
                          <w:marRight w:val="0"/>
                          <w:marTop w:val="0"/>
                          <w:marBottom w:val="15"/>
                          <w:divBdr>
                            <w:top w:val="none" w:sz="0" w:space="0" w:color="auto"/>
                            <w:left w:val="none" w:sz="0" w:space="0" w:color="auto"/>
                            <w:bottom w:val="none" w:sz="0" w:space="0" w:color="auto"/>
                            <w:right w:val="none" w:sz="0" w:space="0" w:color="auto"/>
                          </w:divBdr>
                        </w:div>
                        <w:div w:id="771435491">
                          <w:marLeft w:val="0"/>
                          <w:marRight w:val="0"/>
                          <w:marTop w:val="0"/>
                          <w:marBottom w:val="15"/>
                          <w:divBdr>
                            <w:top w:val="none" w:sz="0" w:space="0" w:color="auto"/>
                            <w:left w:val="none" w:sz="0" w:space="0" w:color="auto"/>
                            <w:bottom w:val="none" w:sz="0" w:space="0" w:color="auto"/>
                            <w:right w:val="none" w:sz="0" w:space="0" w:color="auto"/>
                          </w:divBdr>
                        </w:div>
                      </w:divsChild>
                    </w:div>
                    <w:div w:id="209463066">
                      <w:marLeft w:val="0"/>
                      <w:marRight w:val="0"/>
                      <w:marTop w:val="0"/>
                      <w:marBottom w:val="0"/>
                      <w:divBdr>
                        <w:top w:val="none" w:sz="0" w:space="0" w:color="auto"/>
                        <w:left w:val="none" w:sz="0" w:space="0" w:color="auto"/>
                        <w:bottom w:val="dashed" w:sz="6" w:space="0" w:color="CCCCCC"/>
                        <w:right w:val="none" w:sz="0" w:space="0" w:color="auto"/>
                      </w:divBdr>
                    </w:div>
                    <w:div w:id="2067607139">
                      <w:marLeft w:val="0"/>
                      <w:marRight w:val="0"/>
                      <w:marTop w:val="0"/>
                      <w:marBottom w:val="0"/>
                      <w:divBdr>
                        <w:top w:val="none" w:sz="0" w:space="0" w:color="auto"/>
                        <w:left w:val="none" w:sz="0" w:space="0" w:color="auto"/>
                        <w:bottom w:val="dashed" w:sz="6" w:space="8" w:color="CCCCCC"/>
                        <w:right w:val="none" w:sz="0" w:space="0" w:color="auto"/>
                      </w:divBdr>
                      <w:divsChild>
                        <w:div w:id="379211381">
                          <w:marLeft w:val="0"/>
                          <w:marRight w:val="0"/>
                          <w:marTop w:val="0"/>
                          <w:marBottom w:val="15"/>
                          <w:divBdr>
                            <w:top w:val="none" w:sz="0" w:space="0" w:color="auto"/>
                            <w:left w:val="none" w:sz="0" w:space="0" w:color="auto"/>
                            <w:bottom w:val="none" w:sz="0" w:space="0" w:color="auto"/>
                            <w:right w:val="none" w:sz="0" w:space="0" w:color="auto"/>
                          </w:divBdr>
                        </w:div>
                        <w:div w:id="1850364633">
                          <w:marLeft w:val="0"/>
                          <w:marRight w:val="0"/>
                          <w:marTop w:val="0"/>
                          <w:marBottom w:val="15"/>
                          <w:divBdr>
                            <w:top w:val="none" w:sz="0" w:space="0" w:color="auto"/>
                            <w:left w:val="none" w:sz="0" w:space="0" w:color="auto"/>
                            <w:bottom w:val="none" w:sz="0" w:space="0" w:color="auto"/>
                            <w:right w:val="none" w:sz="0" w:space="0" w:color="auto"/>
                          </w:divBdr>
                        </w:div>
                      </w:divsChild>
                    </w:div>
                    <w:div w:id="201213869">
                      <w:marLeft w:val="0"/>
                      <w:marRight w:val="0"/>
                      <w:marTop w:val="0"/>
                      <w:marBottom w:val="0"/>
                      <w:divBdr>
                        <w:top w:val="none" w:sz="0" w:space="0" w:color="auto"/>
                        <w:left w:val="none" w:sz="0" w:space="0" w:color="auto"/>
                        <w:bottom w:val="dashed" w:sz="6" w:space="0" w:color="CCCCCC"/>
                        <w:right w:val="none" w:sz="0" w:space="0" w:color="auto"/>
                      </w:divBdr>
                    </w:div>
                    <w:div w:id="358510073">
                      <w:marLeft w:val="0"/>
                      <w:marRight w:val="0"/>
                      <w:marTop w:val="0"/>
                      <w:marBottom w:val="0"/>
                      <w:divBdr>
                        <w:top w:val="none" w:sz="0" w:space="0" w:color="auto"/>
                        <w:left w:val="none" w:sz="0" w:space="0" w:color="auto"/>
                        <w:bottom w:val="dashed" w:sz="6" w:space="8" w:color="CCCCCC"/>
                        <w:right w:val="none" w:sz="0" w:space="0" w:color="auto"/>
                      </w:divBdr>
                      <w:divsChild>
                        <w:div w:id="1417437362">
                          <w:marLeft w:val="0"/>
                          <w:marRight w:val="0"/>
                          <w:marTop w:val="0"/>
                          <w:marBottom w:val="15"/>
                          <w:divBdr>
                            <w:top w:val="none" w:sz="0" w:space="0" w:color="auto"/>
                            <w:left w:val="none" w:sz="0" w:space="0" w:color="auto"/>
                            <w:bottom w:val="none" w:sz="0" w:space="0" w:color="auto"/>
                            <w:right w:val="none" w:sz="0" w:space="0" w:color="auto"/>
                          </w:divBdr>
                        </w:div>
                        <w:div w:id="812527259">
                          <w:marLeft w:val="0"/>
                          <w:marRight w:val="0"/>
                          <w:marTop w:val="0"/>
                          <w:marBottom w:val="15"/>
                          <w:divBdr>
                            <w:top w:val="none" w:sz="0" w:space="0" w:color="auto"/>
                            <w:left w:val="none" w:sz="0" w:space="0" w:color="auto"/>
                            <w:bottom w:val="none" w:sz="0" w:space="0" w:color="auto"/>
                            <w:right w:val="none" w:sz="0" w:space="0" w:color="auto"/>
                          </w:divBdr>
                        </w:div>
                      </w:divsChild>
                    </w:div>
                    <w:div w:id="1119641240">
                      <w:marLeft w:val="0"/>
                      <w:marRight w:val="0"/>
                      <w:marTop w:val="0"/>
                      <w:marBottom w:val="0"/>
                      <w:divBdr>
                        <w:top w:val="none" w:sz="0" w:space="0" w:color="auto"/>
                        <w:left w:val="none" w:sz="0" w:space="0" w:color="auto"/>
                        <w:bottom w:val="dashed" w:sz="6" w:space="0" w:color="CCCCCC"/>
                        <w:right w:val="none" w:sz="0" w:space="0" w:color="auto"/>
                      </w:divBdr>
                    </w:div>
                    <w:div w:id="2033417414">
                      <w:marLeft w:val="0"/>
                      <w:marRight w:val="0"/>
                      <w:marTop w:val="0"/>
                      <w:marBottom w:val="0"/>
                      <w:divBdr>
                        <w:top w:val="none" w:sz="0" w:space="0" w:color="auto"/>
                        <w:left w:val="none" w:sz="0" w:space="0" w:color="auto"/>
                        <w:bottom w:val="dashed" w:sz="6" w:space="8" w:color="CCCCCC"/>
                        <w:right w:val="none" w:sz="0" w:space="0" w:color="auto"/>
                      </w:divBdr>
                      <w:divsChild>
                        <w:div w:id="401486832">
                          <w:marLeft w:val="0"/>
                          <w:marRight w:val="0"/>
                          <w:marTop w:val="0"/>
                          <w:marBottom w:val="15"/>
                          <w:divBdr>
                            <w:top w:val="none" w:sz="0" w:space="0" w:color="auto"/>
                            <w:left w:val="none" w:sz="0" w:space="0" w:color="auto"/>
                            <w:bottom w:val="none" w:sz="0" w:space="0" w:color="auto"/>
                            <w:right w:val="none" w:sz="0" w:space="0" w:color="auto"/>
                          </w:divBdr>
                        </w:div>
                        <w:div w:id="84696984">
                          <w:marLeft w:val="0"/>
                          <w:marRight w:val="0"/>
                          <w:marTop w:val="0"/>
                          <w:marBottom w:val="15"/>
                          <w:divBdr>
                            <w:top w:val="none" w:sz="0" w:space="0" w:color="auto"/>
                            <w:left w:val="none" w:sz="0" w:space="0" w:color="auto"/>
                            <w:bottom w:val="none" w:sz="0" w:space="0" w:color="auto"/>
                            <w:right w:val="none" w:sz="0" w:space="0" w:color="auto"/>
                          </w:divBdr>
                        </w:div>
                      </w:divsChild>
                    </w:div>
                    <w:div w:id="152912954">
                      <w:marLeft w:val="0"/>
                      <w:marRight w:val="0"/>
                      <w:marTop w:val="0"/>
                      <w:marBottom w:val="0"/>
                      <w:divBdr>
                        <w:top w:val="none" w:sz="0" w:space="0" w:color="auto"/>
                        <w:left w:val="none" w:sz="0" w:space="0" w:color="auto"/>
                        <w:bottom w:val="dashed" w:sz="6" w:space="0" w:color="CCCCCC"/>
                        <w:right w:val="none" w:sz="0" w:space="0" w:color="auto"/>
                      </w:divBdr>
                    </w:div>
                    <w:div w:id="465048829">
                      <w:marLeft w:val="0"/>
                      <w:marRight w:val="0"/>
                      <w:marTop w:val="0"/>
                      <w:marBottom w:val="0"/>
                      <w:divBdr>
                        <w:top w:val="none" w:sz="0" w:space="0" w:color="auto"/>
                        <w:left w:val="none" w:sz="0" w:space="0" w:color="auto"/>
                        <w:bottom w:val="dashed" w:sz="6" w:space="8" w:color="CCCCCC"/>
                        <w:right w:val="none" w:sz="0" w:space="0" w:color="auto"/>
                      </w:divBdr>
                      <w:divsChild>
                        <w:div w:id="2090737270">
                          <w:marLeft w:val="0"/>
                          <w:marRight w:val="0"/>
                          <w:marTop w:val="0"/>
                          <w:marBottom w:val="15"/>
                          <w:divBdr>
                            <w:top w:val="none" w:sz="0" w:space="0" w:color="auto"/>
                            <w:left w:val="none" w:sz="0" w:space="0" w:color="auto"/>
                            <w:bottom w:val="none" w:sz="0" w:space="0" w:color="auto"/>
                            <w:right w:val="none" w:sz="0" w:space="0" w:color="auto"/>
                          </w:divBdr>
                        </w:div>
                        <w:div w:id="321783622">
                          <w:marLeft w:val="0"/>
                          <w:marRight w:val="0"/>
                          <w:marTop w:val="0"/>
                          <w:marBottom w:val="15"/>
                          <w:divBdr>
                            <w:top w:val="none" w:sz="0" w:space="0" w:color="auto"/>
                            <w:left w:val="none" w:sz="0" w:space="0" w:color="auto"/>
                            <w:bottom w:val="none" w:sz="0" w:space="0" w:color="auto"/>
                            <w:right w:val="none" w:sz="0" w:space="0" w:color="auto"/>
                          </w:divBdr>
                        </w:div>
                      </w:divsChild>
                    </w:div>
                    <w:div w:id="315037528">
                      <w:marLeft w:val="0"/>
                      <w:marRight w:val="0"/>
                      <w:marTop w:val="0"/>
                      <w:marBottom w:val="0"/>
                      <w:divBdr>
                        <w:top w:val="none" w:sz="0" w:space="0" w:color="auto"/>
                        <w:left w:val="none" w:sz="0" w:space="0" w:color="auto"/>
                        <w:bottom w:val="dashed" w:sz="6" w:space="0" w:color="CCCCCC"/>
                        <w:right w:val="none" w:sz="0" w:space="0" w:color="auto"/>
                      </w:divBdr>
                    </w:div>
                    <w:div w:id="431824053">
                      <w:marLeft w:val="0"/>
                      <w:marRight w:val="0"/>
                      <w:marTop w:val="0"/>
                      <w:marBottom w:val="0"/>
                      <w:divBdr>
                        <w:top w:val="none" w:sz="0" w:space="0" w:color="auto"/>
                        <w:left w:val="none" w:sz="0" w:space="0" w:color="auto"/>
                        <w:bottom w:val="dashed" w:sz="6" w:space="8" w:color="CCCCCC"/>
                        <w:right w:val="none" w:sz="0" w:space="0" w:color="auto"/>
                      </w:divBdr>
                      <w:divsChild>
                        <w:div w:id="209608416">
                          <w:marLeft w:val="0"/>
                          <w:marRight w:val="0"/>
                          <w:marTop w:val="0"/>
                          <w:marBottom w:val="15"/>
                          <w:divBdr>
                            <w:top w:val="none" w:sz="0" w:space="0" w:color="auto"/>
                            <w:left w:val="none" w:sz="0" w:space="0" w:color="auto"/>
                            <w:bottom w:val="none" w:sz="0" w:space="0" w:color="auto"/>
                            <w:right w:val="none" w:sz="0" w:space="0" w:color="auto"/>
                          </w:divBdr>
                        </w:div>
                        <w:div w:id="144396140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976255793">
      <w:bodyDiv w:val="1"/>
      <w:marLeft w:val="0"/>
      <w:marRight w:val="0"/>
      <w:marTop w:val="0"/>
      <w:marBottom w:val="0"/>
      <w:divBdr>
        <w:top w:val="none" w:sz="0" w:space="0" w:color="auto"/>
        <w:left w:val="none" w:sz="0" w:space="0" w:color="auto"/>
        <w:bottom w:val="none" w:sz="0" w:space="0" w:color="auto"/>
        <w:right w:val="none" w:sz="0" w:space="0" w:color="auto"/>
      </w:divBdr>
    </w:div>
    <w:div w:id="1059865942">
      <w:bodyDiv w:val="1"/>
      <w:marLeft w:val="0"/>
      <w:marRight w:val="0"/>
      <w:marTop w:val="0"/>
      <w:marBottom w:val="0"/>
      <w:divBdr>
        <w:top w:val="none" w:sz="0" w:space="0" w:color="auto"/>
        <w:left w:val="none" w:sz="0" w:space="0" w:color="auto"/>
        <w:bottom w:val="none" w:sz="0" w:space="0" w:color="auto"/>
        <w:right w:val="none" w:sz="0" w:space="0" w:color="auto"/>
      </w:divBdr>
    </w:div>
    <w:div w:id="1178883963">
      <w:bodyDiv w:val="1"/>
      <w:marLeft w:val="0"/>
      <w:marRight w:val="0"/>
      <w:marTop w:val="0"/>
      <w:marBottom w:val="0"/>
      <w:divBdr>
        <w:top w:val="none" w:sz="0" w:space="0" w:color="auto"/>
        <w:left w:val="none" w:sz="0" w:space="0" w:color="auto"/>
        <w:bottom w:val="none" w:sz="0" w:space="0" w:color="auto"/>
        <w:right w:val="none" w:sz="0" w:space="0" w:color="auto"/>
      </w:divBdr>
    </w:div>
    <w:div w:id="1219585306">
      <w:bodyDiv w:val="1"/>
      <w:marLeft w:val="0"/>
      <w:marRight w:val="0"/>
      <w:marTop w:val="0"/>
      <w:marBottom w:val="0"/>
      <w:divBdr>
        <w:top w:val="none" w:sz="0" w:space="0" w:color="auto"/>
        <w:left w:val="none" w:sz="0" w:space="0" w:color="auto"/>
        <w:bottom w:val="none" w:sz="0" w:space="0" w:color="auto"/>
        <w:right w:val="none" w:sz="0" w:space="0" w:color="auto"/>
      </w:divBdr>
    </w:div>
    <w:div w:id="1234848286">
      <w:bodyDiv w:val="1"/>
      <w:marLeft w:val="0"/>
      <w:marRight w:val="0"/>
      <w:marTop w:val="0"/>
      <w:marBottom w:val="0"/>
      <w:divBdr>
        <w:top w:val="none" w:sz="0" w:space="0" w:color="auto"/>
        <w:left w:val="none" w:sz="0" w:space="0" w:color="auto"/>
        <w:bottom w:val="none" w:sz="0" w:space="0" w:color="auto"/>
        <w:right w:val="none" w:sz="0" w:space="0" w:color="auto"/>
      </w:divBdr>
    </w:div>
    <w:div w:id="1305086754">
      <w:bodyDiv w:val="1"/>
      <w:marLeft w:val="0"/>
      <w:marRight w:val="0"/>
      <w:marTop w:val="0"/>
      <w:marBottom w:val="0"/>
      <w:divBdr>
        <w:top w:val="none" w:sz="0" w:space="0" w:color="auto"/>
        <w:left w:val="none" w:sz="0" w:space="0" w:color="auto"/>
        <w:bottom w:val="none" w:sz="0" w:space="0" w:color="auto"/>
        <w:right w:val="none" w:sz="0" w:space="0" w:color="auto"/>
      </w:divBdr>
    </w:div>
    <w:div w:id="1312444561">
      <w:bodyDiv w:val="1"/>
      <w:marLeft w:val="0"/>
      <w:marRight w:val="0"/>
      <w:marTop w:val="0"/>
      <w:marBottom w:val="0"/>
      <w:divBdr>
        <w:top w:val="none" w:sz="0" w:space="0" w:color="auto"/>
        <w:left w:val="none" w:sz="0" w:space="0" w:color="auto"/>
        <w:bottom w:val="none" w:sz="0" w:space="0" w:color="auto"/>
        <w:right w:val="none" w:sz="0" w:space="0" w:color="auto"/>
      </w:divBdr>
    </w:div>
    <w:div w:id="1365015901">
      <w:bodyDiv w:val="1"/>
      <w:marLeft w:val="0"/>
      <w:marRight w:val="0"/>
      <w:marTop w:val="0"/>
      <w:marBottom w:val="0"/>
      <w:divBdr>
        <w:top w:val="none" w:sz="0" w:space="0" w:color="auto"/>
        <w:left w:val="none" w:sz="0" w:space="0" w:color="auto"/>
        <w:bottom w:val="none" w:sz="0" w:space="0" w:color="auto"/>
        <w:right w:val="none" w:sz="0" w:space="0" w:color="auto"/>
      </w:divBdr>
    </w:div>
    <w:div w:id="1382512475">
      <w:bodyDiv w:val="1"/>
      <w:marLeft w:val="0"/>
      <w:marRight w:val="0"/>
      <w:marTop w:val="0"/>
      <w:marBottom w:val="0"/>
      <w:divBdr>
        <w:top w:val="none" w:sz="0" w:space="0" w:color="auto"/>
        <w:left w:val="none" w:sz="0" w:space="0" w:color="auto"/>
        <w:bottom w:val="none" w:sz="0" w:space="0" w:color="auto"/>
        <w:right w:val="none" w:sz="0" w:space="0" w:color="auto"/>
      </w:divBdr>
    </w:div>
    <w:div w:id="1387604309">
      <w:bodyDiv w:val="1"/>
      <w:marLeft w:val="0"/>
      <w:marRight w:val="0"/>
      <w:marTop w:val="0"/>
      <w:marBottom w:val="0"/>
      <w:divBdr>
        <w:top w:val="none" w:sz="0" w:space="0" w:color="auto"/>
        <w:left w:val="none" w:sz="0" w:space="0" w:color="auto"/>
        <w:bottom w:val="none" w:sz="0" w:space="0" w:color="auto"/>
        <w:right w:val="none" w:sz="0" w:space="0" w:color="auto"/>
      </w:divBdr>
    </w:div>
    <w:div w:id="1438527739">
      <w:bodyDiv w:val="1"/>
      <w:marLeft w:val="0"/>
      <w:marRight w:val="0"/>
      <w:marTop w:val="0"/>
      <w:marBottom w:val="0"/>
      <w:divBdr>
        <w:top w:val="none" w:sz="0" w:space="0" w:color="auto"/>
        <w:left w:val="none" w:sz="0" w:space="0" w:color="auto"/>
        <w:bottom w:val="none" w:sz="0" w:space="0" w:color="auto"/>
        <w:right w:val="none" w:sz="0" w:space="0" w:color="auto"/>
      </w:divBdr>
    </w:div>
    <w:div w:id="1490101039">
      <w:bodyDiv w:val="1"/>
      <w:marLeft w:val="0"/>
      <w:marRight w:val="0"/>
      <w:marTop w:val="0"/>
      <w:marBottom w:val="0"/>
      <w:divBdr>
        <w:top w:val="none" w:sz="0" w:space="0" w:color="auto"/>
        <w:left w:val="none" w:sz="0" w:space="0" w:color="auto"/>
        <w:bottom w:val="none" w:sz="0" w:space="0" w:color="auto"/>
        <w:right w:val="none" w:sz="0" w:space="0" w:color="auto"/>
      </w:divBdr>
    </w:div>
    <w:div w:id="1610241925">
      <w:bodyDiv w:val="1"/>
      <w:marLeft w:val="0"/>
      <w:marRight w:val="0"/>
      <w:marTop w:val="0"/>
      <w:marBottom w:val="0"/>
      <w:divBdr>
        <w:top w:val="none" w:sz="0" w:space="0" w:color="auto"/>
        <w:left w:val="none" w:sz="0" w:space="0" w:color="auto"/>
        <w:bottom w:val="none" w:sz="0" w:space="0" w:color="auto"/>
        <w:right w:val="none" w:sz="0" w:space="0" w:color="auto"/>
      </w:divBdr>
    </w:div>
    <w:div w:id="1802259040">
      <w:bodyDiv w:val="1"/>
      <w:marLeft w:val="0"/>
      <w:marRight w:val="0"/>
      <w:marTop w:val="0"/>
      <w:marBottom w:val="0"/>
      <w:divBdr>
        <w:top w:val="none" w:sz="0" w:space="0" w:color="auto"/>
        <w:left w:val="none" w:sz="0" w:space="0" w:color="auto"/>
        <w:bottom w:val="none" w:sz="0" w:space="0" w:color="auto"/>
        <w:right w:val="none" w:sz="0" w:space="0" w:color="auto"/>
      </w:divBdr>
    </w:div>
    <w:div w:id="1820153364">
      <w:bodyDiv w:val="1"/>
      <w:marLeft w:val="0"/>
      <w:marRight w:val="0"/>
      <w:marTop w:val="0"/>
      <w:marBottom w:val="0"/>
      <w:divBdr>
        <w:top w:val="none" w:sz="0" w:space="0" w:color="auto"/>
        <w:left w:val="none" w:sz="0" w:space="0" w:color="auto"/>
        <w:bottom w:val="none" w:sz="0" w:space="0" w:color="auto"/>
        <w:right w:val="none" w:sz="0" w:space="0" w:color="auto"/>
      </w:divBdr>
    </w:div>
    <w:div w:id="1883402975">
      <w:bodyDiv w:val="1"/>
      <w:marLeft w:val="0"/>
      <w:marRight w:val="0"/>
      <w:marTop w:val="0"/>
      <w:marBottom w:val="0"/>
      <w:divBdr>
        <w:top w:val="none" w:sz="0" w:space="0" w:color="auto"/>
        <w:left w:val="none" w:sz="0" w:space="0" w:color="auto"/>
        <w:bottom w:val="none" w:sz="0" w:space="0" w:color="auto"/>
        <w:right w:val="none" w:sz="0" w:space="0" w:color="auto"/>
      </w:divBdr>
    </w:div>
    <w:div w:id="1978417714">
      <w:bodyDiv w:val="1"/>
      <w:marLeft w:val="0"/>
      <w:marRight w:val="0"/>
      <w:marTop w:val="0"/>
      <w:marBottom w:val="0"/>
      <w:divBdr>
        <w:top w:val="none" w:sz="0" w:space="0" w:color="auto"/>
        <w:left w:val="none" w:sz="0" w:space="0" w:color="auto"/>
        <w:bottom w:val="none" w:sz="0" w:space="0" w:color="auto"/>
        <w:right w:val="none" w:sz="0" w:space="0" w:color="auto"/>
      </w:divBdr>
    </w:div>
    <w:div w:id="2000814704">
      <w:bodyDiv w:val="1"/>
      <w:marLeft w:val="0"/>
      <w:marRight w:val="0"/>
      <w:marTop w:val="0"/>
      <w:marBottom w:val="0"/>
      <w:divBdr>
        <w:top w:val="none" w:sz="0" w:space="0" w:color="auto"/>
        <w:left w:val="none" w:sz="0" w:space="0" w:color="auto"/>
        <w:bottom w:val="none" w:sz="0" w:space="0" w:color="auto"/>
        <w:right w:val="none" w:sz="0" w:space="0" w:color="auto"/>
      </w:divBdr>
    </w:div>
    <w:div w:id="202435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eader" Target="header2.xml"/><Relationship Id="rId39" Type="http://schemas.openxmlformats.org/officeDocument/2006/relationships/hyperlink" Target="https://www.abs.gov.au/statistics/standards/standard-sex-gender-variations-sex-characteristics-and-sexual-orientation-variables/latest-release" TargetMode="External"/><Relationship Id="rId3" Type="http://schemas.openxmlformats.org/officeDocument/2006/relationships/settings" Target="settings.xml"/><Relationship Id="rId21" Type="http://schemas.openxmlformats.org/officeDocument/2006/relationships/hyperlink" Target="https://data.wgea.gov.au/?_ga=2.259064271.4761741.1663892897-1034399860.1662045999)" TargetMode="External"/><Relationship Id="rId34" Type="http://schemas.openxmlformats.org/officeDocument/2006/relationships/hyperlink" Target="https://obpr.pmc.gov.au/resources/guidance-assessing-impacts/regulatory-burden-measurement-framework"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1.xml"/><Relationship Id="rId33" Type="http://schemas.openxmlformats.org/officeDocument/2006/relationships/hyperlink" Target="https://obpr.pmc.gov.au/resources/guidance-assessing-impacts/regulatory-burden-measurement-framework" TargetMode="External"/><Relationship Id="rId38"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client-portal.wgea.gov.au/s/article/How-do-I-choose-a-reporting-date" TargetMode="External"/><Relationship Id="rId29" Type="http://schemas.openxmlformats.org/officeDocument/2006/relationships/header" Target="header3.xm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pmc.gov.au/resource-centre/regulation/regulatory-burden-measurement-framework-guidance-note" TargetMode="External"/><Relationship Id="rId32" Type="http://schemas.openxmlformats.org/officeDocument/2006/relationships/image" Target="media/image11.png"/><Relationship Id="rId37" Type="http://schemas.openxmlformats.org/officeDocument/2006/relationships/image" Target="media/image12.png"/><Relationship Id="rId40"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hyperlink" Target="https://www.wgea.gov.au/age-and-the-gender-pay-gap" TargetMode="External"/><Relationship Id="rId23" Type="http://schemas.openxmlformats.org/officeDocument/2006/relationships/hyperlink" Target="https://obpr.pmc.gov.au/resources/guidance-assessing-impacts/regulatory-burden-measurement-framework" TargetMode="External"/><Relationship Id="rId28" Type="http://schemas.openxmlformats.org/officeDocument/2006/relationships/footer" Target="footer2.xml"/><Relationship Id="rId36" Type="http://schemas.openxmlformats.org/officeDocument/2006/relationships/hyperlink" Target="https://obpr.pmc.gov.au/resources/guidance-assessing-impacts/regulatory-burden-measurement-framework" TargetMode="External"/><Relationship Id="rId10" Type="http://schemas.openxmlformats.org/officeDocument/2006/relationships/hyperlink" Target="https://www.wgea.gov.au/publications/higher-education-enrolments-and-graduate-labour-market-statistics" TargetMode="External"/><Relationship Id="rId19" Type="http://schemas.openxmlformats.org/officeDocument/2006/relationships/image" Target="media/image10.png"/><Relationship Id="rId31" Type="http://schemas.openxmlformats.org/officeDocument/2006/relationships/hyperlink" Target="https://www.pmc.gov.au/office-women/workplace-gender-equality/review-workplace-gender-equality-act-2012-submissions" TargetMode="External"/><Relationship Id="rId4" Type="http://schemas.openxmlformats.org/officeDocument/2006/relationships/webSettings" Target="webSettings.xml"/><Relationship Id="rId9" Type="http://schemas.openxmlformats.org/officeDocument/2006/relationships/hyperlink" Target="https://data.wgea.gov.au/" TargetMode="External"/><Relationship Id="rId14" Type="http://schemas.openxmlformats.org/officeDocument/2006/relationships/image" Target="media/image6.png"/><Relationship Id="rId22" Type="http://schemas.openxmlformats.org/officeDocument/2006/relationships/hyperlink" Target="https://obpr.pmc.gov.au/resources/guidance-assessing-impacts/regulatory-burden-measurement-framework"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obpr.pmc.gov.au/resources/guidance-assessing-impacts/regulatory-burden-measurement-framework"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budget.gov.au/2022-23/content/womens-statement/download/womens_budget_statement_2022-23.pdf" TargetMode="External"/><Relationship Id="rId21" Type="http://schemas.openxmlformats.org/officeDocument/2006/relationships/hyperlink" Target="https://melbourneinstitute.unimelb.edu.au/__data/assets/pdf_file/0011/3127664/HILDA-Statistical-Report-2019.pdf" TargetMode="External"/><Relationship Id="rId42" Type="http://schemas.openxmlformats.org/officeDocument/2006/relationships/hyperlink" Target="https://www.wgea.gov.au/sites/default/files/documents/2020-21_WGEA_SCORECARD.pdf" TargetMode="External"/><Relationship Id="rId47" Type="http://schemas.openxmlformats.org/officeDocument/2006/relationships/hyperlink" Target="https://grattan.edu.au/report/game-changers-economic-reform-priorities-for-australia/" TargetMode="External"/><Relationship Id="rId63" Type="http://schemas.openxmlformats.org/officeDocument/2006/relationships/hyperlink" Target="https://www.cesifo.org/DocDL/CESifo-Forum-2022-2-ceballos-etal-gender-employment-and-pay-gap-march.pdf" TargetMode="External"/><Relationship Id="rId68" Type="http://schemas.openxmlformats.org/officeDocument/2006/relationships/hyperlink" Target="https://www.wgea.gov.au/sites/default/files/documents/2020-21_WGEA_SCORECARD.pdf" TargetMode="External"/><Relationship Id="rId84" Type="http://schemas.openxmlformats.org/officeDocument/2006/relationships/hyperlink" Target="https://www.wgea.gov.au/publications/gender-equality-business-case" TargetMode="External"/><Relationship Id="rId89" Type="http://schemas.openxmlformats.org/officeDocument/2006/relationships/hyperlink" Target="https://www.equityeconomics.com.au/report-archive/how-australias-parenting-policies-are-failing-women-and-our-economy" TargetMode="External"/><Relationship Id="rId112" Type="http://schemas.openxmlformats.org/officeDocument/2006/relationships/hyperlink" Target="https://www.goldmansachs.com/insights/pages/womenomics-in-australia-f/report.pdf" TargetMode="External"/><Relationship Id="rId16" Type="http://schemas.openxmlformats.org/officeDocument/2006/relationships/hyperlink" Target="https://www.wgea.gov.au/sites/default/files/documents/2020-21_WGEA_SCORECARD.pdf" TargetMode="External"/><Relationship Id="rId107" Type="http://schemas.openxmlformats.org/officeDocument/2006/relationships/hyperlink" Target="https://www.mckinsey.com/featured-insights/diversity-and-inclusion/diversity-wins-how-inclusion-matters" TargetMode="External"/><Relationship Id="rId11" Type="http://schemas.openxmlformats.org/officeDocument/2006/relationships/hyperlink" Target="https://www.wgea.gov.au/sites/default/files/documents/18_04_Industrial_segregation.pdf" TargetMode="External"/><Relationship Id="rId24" Type="http://schemas.openxmlformats.org/officeDocument/2006/relationships/hyperlink" Target="https://www.wgea.gov.au/sites/default/files/documents/GPG%20Factsheet%20Final%20August%202022.pdf" TargetMode="External"/><Relationship Id="rId32" Type="http://schemas.openxmlformats.org/officeDocument/2006/relationships/hyperlink" Target="https://www.dca.org.au/research/project/shes-pricedless-2022-update-report" TargetMode="External"/><Relationship Id="rId37" Type="http://schemas.openxmlformats.org/officeDocument/2006/relationships/hyperlink" Target="https://data.gov.au/data/dataset/taxation-statistics-2019-20/resource/7fbad034-e1ad-43fe-a67a-893fe59be13e?inner_span=True" TargetMode="External"/><Relationship Id="rId40" Type="http://schemas.openxmlformats.org/officeDocument/2006/relationships/hyperlink" Target="https://www.pmc.gov.au/sites/default/files/submissions/wgea-submission-13-workplace-gender-equality-agency_0.pdf" TargetMode="External"/><Relationship Id="rId45" Type="http://schemas.openxmlformats.org/officeDocument/2006/relationships/hyperlink" Target="https://www.personneltoday.com/hr/study-finds-trade-off-between-pay-transparency-and-performance/" TargetMode="External"/><Relationship Id="rId53" Type="http://schemas.openxmlformats.org/officeDocument/2006/relationships/hyperlink" Target="https://www.wgea.gov.au/publications/australias-gender-pay-gap-statistics" TargetMode="External"/><Relationship Id="rId58" Type="http://schemas.openxmlformats.org/officeDocument/2006/relationships/hyperlink" Target="https://www.pmc.gov.au/resource-centre/office-women/wgea-review-report" TargetMode="External"/><Relationship Id="rId66" Type="http://schemas.openxmlformats.org/officeDocument/2006/relationships/hyperlink" Target="https://www.personneltoday.com/hr/gender-pay-gap-reporting-errors/" TargetMode="External"/><Relationship Id="rId74" Type="http://schemas.openxmlformats.org/officeDocument/2006/relationships/hyperlink" Target="https://www.canada.ca/en/employment-social-development/news/2021/07/government-of-canada-announces-that-the-pay-equity-act-will-come-into-force-on-august-31-2021.html" TargetMode="External"/><Relationship Id="rId79" Type="http://schemas.openxmlformats.org/officeDocument/2006/relationships/hyperlink" Target="https://www.mpi.govt.nz/dmsdocument/5266-The-social-value-of-a-job" TargetMode="External"/><Relationship Id="rId87" Type="http://schemas.openxmlformats.org/officeDocument/2006/relationships/hyperlink" Target="https://www.wgea.gov.au/sites/default/files/documents/wgea-business-case-for-gender-equality_0.pdf" TargetMode="External"/><Relationship Id="rId102" Type="http://schemas.openxmlformats.org/officeDocument/2006/relationships/hyperlink" Target="https://www.wgea.gov.au/publications/australias-gender-pay-gap-statistics" TargetMode="External"/><Relationship Id="rId110" Type="http://schemas.openxmlformats.org/officeDocument/2006/relationships/hyperlink" Target="https://www.mckinsey.com/~/media/mckinsey/business%20functions/people%20and%20organizational%20performance/our%20insights/why%20diversity%20matters/diversity%20matters.pdf" TargetMode="External"/><Relationship Id="rId115" Type="http://schemas.openxmlformats.org/officeDocument/2006/relationships/hyperlink" Target="https://www.oecd.org/gender/Pay-Transparency-2021-Policy-Brief.pdf" TargetMode="External"/><Relationship Id="rId5" Type="http://schemas.openxmlformats.org/officeDocument/2006/relationships/hyperlink" Target="https://www.abs.gov.au/statistics/labour/employment-and-unemployment/labour-force-australia/latest-release" TargetMode="External"/><Relationship Id="rId61" Type="http://schemas.openxmlformats.org/officeDocument/2006/relationships/hyperlink" Target="https://kpmg.com/uk/en/blogs/home/posts/2022/02/gender-pay-gap-reporting-its-impact-and-possible-future.html" TargetMode="External"/><Relationship Id="rId82" Type="http://schemas.openxmlformats.org/officeDocument/2006/relationships/hyperlink" Target="https://www.euro.who.int/__data/assets/pdf_file/0007/380716/mhr-report-eng.pdf" TargetMode="External"/><Relationship Id="rId90" Type="http://schemas.openxmlformats.org/officeDocument/2006/relationships/hyperlink" Target="https://www.weforum.org/reports/global-gender-gap-report-2022/in-full/1-benchmarking-gender-gaps-2022/" TargetMode="External"/><Relationship Id="rId95" Type="http://schemas.openxmlformats.org/officeDocument/2006/relationships/hyperlink" Target="https://www.wgea.gov.au/sites/default/files/documents/wgea-business-case-for-gender-equality_0.pdf" TargetMode="External"/><Relationship Id="rId19" Type="http://schemas.openxmlformats.org/officeDocument/2006/relationships/hyperlink" Target="https://www.dca.org.au/research/project/shes-pricedless-2022-update-report" TargetMode="External"/><Relationship Id="rId14" Type="http://schemas.openxmlformats.org/officeDocument/2006/relationships/hyperlink" Target="https://www.abs.gov.au/statistics/people/people-and-communities/gender-indicators-australia/latest-release" TargetMode="External"/><Relationship Id="rId22" Type="http://schemas.openxmlformats.org/officeDocument/2006/relationships/hyperlink" Target="https://www.dca.org.au/sites/default/files/report_shes_pricedless_2022.pdf" TargetMode="External"/><Relationship Id="rId27" Type="http://schemas.openxmlformats.org/officeDocument/2006/relationships/hyperlink" Target="https://parlinfo.aph.gov.au/parlInfo/search/display/display.w3p;query=Id%3A%22chamber%2Fhansardr%2F26128%2F0008%22" TargetMode="External"/><Relationship Id="rId30" Type="http://schemas.openxmlformats.org/officeDocument/2006/relationships/hyperlink" Target="https://www.pmc.gov.au/sites/default/files/publications/wgea-review-report_1.pdf" TargetMode="External"/><Relationship Id="rId35" Type="http://schemas.openxmlformats.org/officeDocument/2006/relationships/hyperlink" Target="https://bcec.edu.au/assets/2021/03/BCEC-WGEA-Gender-Equity-Insights-2021_WEB.pdf" TargetMode="External"/><Relationship Id="rId43" Type="http://schemas.openxmlformats.org/officeDocument/2006/relationships/hyperlink" Target="https://www.pmc.gov.au/sites/default/files/submissions/wgea-submission-13-workplace-gender-equality-agency_0.pdf" TargetMode="External"/><Relationship Id="rId48" Type="http://schemas.openxmlformats.org/officeDocument/2006/relationships/hyperlink" Target="https://www.wgea.gov.au/publications/shes-pricedless-the-economics-of-the-gender-pay-gap" TargetMode="External"/><Relationship Id="rId56" Type="http://schemas.openxmlformats.org/officeDocument/2006/relationships/hyperlink" Target="https://www.wgea.gov.au/what-we-do/compliance-reporting/non-compliant-list" TargetMode="External"/><Relationship Id="rId64" Type="http://schemas.openxmlformats.org/officeDocument/2006/relationships/hyperlink" Target="https://hbr.org/2020/02/can-transparency-laws-fix-the-gender-wage-gap" TargetMode="External"/><Relationship Id="rId69" Type="http://schemas.openxmlformats.org/officeDocument/2006/relationships/hyperlink" Target="https://www.pmc.gov.au/resource-centre/office-women/wgea-review-report" TargetMode="External"/><Relationship Id="rId77" Type="http://schemas.openxmlformats.org/officeDocument/2006/relationships/hyperlink" Target="https://www.wgea.gov.au/sites/default/files/documents/GPG%20Factsheet%20Final%20August%202022.pdf" TargetMode="External"/><Relationship Id="rId100" Type="http://schemas.openxmlformats.org/officeDocument/2006/relationships/hyperlink" Target="https://www.wgea.gov.au/pay-and-gender/gender-pay-gap-data" TargetMode="External"/><Relationship Id="rId105" Type="http://schemas.openxmlformats.org/officeDocument/2006/relationships/hyperlink" Target="https://www.pmc.gov.au/resource-centre/office-women/wgea-review-report" TargetMode="External"/><Relationship Id="rId113" Type="http://schemas.openxmlformats.org/officeDocument/2006/relationships/hyperlink" Target="https://grattan.edu.au/report/game-changers-economic-reform-priorities-for-australia/" TargetMode="External"/><Relationship Id="rId8" Type="http://schemas.openxmlformats.org/officeDocument/2006/relationships/hyperlink" Target="https://www.wgea.gov.au/about/governance/data-quality/2019-20-wgea-data-quality-report" TargetMode="External"/><Relationship Id="rId51" Type="http://schemas.openxmlformats.org/officeDocument/2006/relationships/hyperlink" Target="https://www.pmc.gov.au/resource-centre/office-women/wgea-review-report" TargetMode="External"/><Relationship Id="rId72" Type="http://schemas.openxmlformats.org/officeDocument/2006/relationships/hyperlink" Target="https://www.ons.gov.uk/employmentandlabourmarket/peopleinwork/earningsandworkinghours/bulletins/genderpaygapintheuk/2022" TargetMode="External"/><Relationship Id="rId80" Type="http://schemas.openxmlformats.org/officeDocument/2006/relationships/hyperlink" Target="https://www.asx.com.au/documents/about/gsjbw_economic_case_for_increasing_female_participation.pdf" TargetMode="External"/><Relationship Id="rId85" Type="http://schemas.openxmlformats.org/officeDocument/2006/relationships/hyperlink" Target="https://www.wgea.gov.au/sites/default/files/documents/BCEC_WGEA_Gender_Equity_Insights_Report_2022_WEB.pdf" TargetMode="External"/><Relationship Id="rId93" Type="http://schemas.openxmlformats.org/officeDocument/2006/relationships/hyperlink" Target="https://www.pmc.gov.au/resource-centre/office-women/wgea-review-report" TargetMode="External"/><Relationship Id="rId98" Type="http://schemas.openxmlformats.org/officeDocument/2006/relationships/hyperlink" Target="https://www.abc.net.au/news/science/2022-03-11/gender-pay-gap-bot-international-womens-day-twitter/100898172" TargetMode="External"/><Relationship Id="rId3" Type="http://schemas.openxmlformats.org/officeDocument/2006/relationships/hyperlink" Target="https://oia.pmc.gov.au/resources/guidance-impact-analysis/australian-government-guide-regulatory-impact-analysis" TargetMode="External"/><Relationship Id="rId12" Type="http://schemas.openxmlformats.org/officeDocument/2006/relationships/hyperlink" Target="https://www.wgea.gov.au/publications/gender-equality-workplace-statistics-at-a-glance-2022" TargetMode="External"/><Relationship Id="rId17" Type="http://schemas.openxmlformats.org/officeDocument/2006/relationships/hyperlink" Target="https://www.aicd.com.au/board-of-directors/diversity/women/ipos-an-opportunity-for-greater-gender-diversity.html" TargetMode="External"/><Relationship Id="rId25" Type="http://schemas.openxmlformats.org/officeDocument/2006/relationships/hyperlink" Target="https://www.dca.org.au/sites/default/files/dca_submission_review_of_the_workplace_gender_equality_act_0.pdf" TargetMode="External"/><Relationship Id="rId33" Type="http://schemas.openxmlformats.org/officeDocument/2006/relationships/hyperlink" Target="https://www.wgea.gov.au/publications/australias-gender-pay-gap-statistics" TargetMode="External"/><Relationship Id="rId38" Type="http://schemas.openxmlformats.org/officeDocument/2006/relationships/hyperlink" Target="https://bcec.edu.au/publications/gender-equity-insights-2019-breaking-through-the-glass-ceiling/" TargetMode="External"/><Relationship Id="rId46" Type="http://schemas.openxmlformats.org/officeDocument/2006/relationships/hyperlink" Target="https://www.kcl.ac.uk/giwl/assets/bridging-the-gap-full-report.pdf" TargetMode="External"/><Relationship Id="rId59" Type="http://schemas.openxmlformats.org/officeDocument/2006/relationships/hyperlink" Target="https://budget.gov.au/2022-23/content/womens-statement/download/womens_budget_statement_2022-23.pdf" TargetMode="External"/><Relationship Id="rId67" Type="http://schemas.openxmlformats.org/officeDocument/2006/relationships/hyperlink" Target="https://www.oecd.org/gender/Pay-Transparency-2021-Policy-Brief.pdf" TargetMode="External"/><Relationship Id="rId103" Type="http://schemas.openxmlformats.org/officeDocument/2006/relationships/hyperlink" Target="https://www.nytimes.com/2022/03/09/business/pay-gap-international-womens-day-twitter.html" TargetMode="External"/><Relationship Id="rId108" Type="http://schemas.openxmlformats.org/officeDocument/2006/relationships/hyperlink" Target="https://www.wgea.gov.au/sites/default/files/documents/BCEC%20WGEA%20Media%20Release%20-%20More%20women%20at%20the%20top%20proves%20better%20for%20business.pdf" TargetMode="External"/><Relationship Id="rId116" Type="http://schemas.openxmlformats.org/officeDocument/2006/relationships/hyperlink" Target="https://www.pmc.gov.au/resource-centre/office-women/wgea-review-report" TargetMode="External"/><Relationship Id="rId20" Type="http://schemas.openxmlformats.org/officeDocument/2006/relationships/hyperlink" Target="https://www.dca.org.au/sites/default/files/report_shes_pricedless_2022.pdf" TargetMode="External"/><Relationship Id="rId41" Type="http://schemas.openxmlformats.org/officeDocument/2006/relationships/hyperlink" Target="https://news.curtin.edu.au/media-releases/over-a-quarter-of-a-century-until-gender-pay-gap-likely-to-close/" TargetMode="External"/><Relationship Id="rId54" Type="http://schemas.openxmlformats.org/officeDocument/2006/relationships/hyperlink" Target="https://www.pwc.co.uk/who-we-are/our-purpose/empowered-people-communities/inclusion/diversity-pay-report.html" TargetMode="External"/><Relationship Id="rId62" Type="http://schemas.openxmlformats.org/officeDocument/2006/relationships/hyperlink" Target="https://data.europa.eu/doi/10.2838/148250" TargetMode="External"/><Relationship Id="rId70" Type="http://schemas.openxmlformats.org/officeDocument/2006/relationships/hyperlink" Target="https://oia.pmc.gov.au/resources/guidance-impact-analysis/australian-government-guide-regulatory-impact-analysis" TargetMode="External"/><Relationship Id="rId75" Type="http://schemas.openxmlformats.org/officeDocument/2006/relationships/hyperlink" Target="https://www.canada.ca/en/services/jobs/workplace/human-rights/overview-pay-equity-act/consultation.html" TargetMode="External"/><Relationship Id="rId83" Type="http://schemas.openxmlformats.org/officeDocument/2006/relationships/hyperlink" Target="https://link.springer.com/article/10.1007/s11199-007-9319-9" TargetMode="External"/><Relationship Id="rId88" Type="http://schemas.openxmlformats.org/officeDocument/2006/relationships/hyperlink" Target="https://www.wgea.gov.au/pay-and-gender/gender-pay-gap-data" TargetMode="External"/><Relationship Id="rId91" Type="http://schemas.openxmlformats.org/officeDocument/2006/relationships/hyperlink" Target="https://www.weforum.org/reports/global-gender-gap-report-2022/in-full/1-benchmarking-gender-gaps-2022/" TargetMode="External"/><Relationship Id="rId96" Type="http://schemas.openxmlformats.org/officeDocument/2006/relationships/hyperlink" Target="https://www.wgea.gov.au/pay-and-gender/gender-pay-gap-data" TargetMode="External"/><Relationship Id="rId111" Type="http://schemas.openxmlformats.org/officeDocument/2006/relationships/hyperlink" Target="https://grattan.edu.au/report/game-changers-economic-reform-priorities-for-australia/" TargetMode="External"/><Relationship Id="rId1" Type="http://schemas.openxmlformats.org/officeDocument/2006/relationships/hyperlink" Target="https://www.pmc.gov.au/resource-centre/office-women/wgea-review-report" TargetMode="External"/><Relationship Id="rId6" Type="http://schemas.openxmlformats.org/officeDocument/2006/relationships/hyperlink" Target="https://www.abs.gov.au/statistics/labour/employment-and-unemployment/participation-job-search-and-mobility-australia/latest-release" TargetMode="External"/><Relationship Id="rId15" Type="http://schemas.openxmlformats.org/officeDocument/2006/relationships/hyperlink" Target="https://www.wgea.gov.au/women-in-leadership" TargetMode="External"/><Relationship Id="rId23" Type="http://schemas.openxmlformats.org/officeDocument/2006/relationships/hyperlink" Target="https://www.wgea.gov.au/publications/fourth-edition-of-the-shes-pricedless-report-released" TargetMode="External"/><Relationship Id="rId28" Type="http://schemas.openxmlformats.org/officeDocument/2006/relationships/hyperlink" Target="https://www.wgea.gov.au/publications/gender-equality-workplace-statistics-at-a-glance-2022" TargetMode="External"/><Relationship Id="rId36" Type="http://schemas.openxmlformats.org/officeDocument/2006/relationships/hyperlink" Target="https://www.australiansuper.com/superannuation/superannuation-articles/2020/02/gender-equality-and-your-super" TargetMode="External"/><Relationship Id="rId49" Type="http://schemas.openxmlformats.org/officeDocument/2006/relationships/hyperlink" Target="https://www.dca.org.au/sites/default/files/gender_pay_equity_gap_report_kpmg_final.pdf" TargetMode="External"/><Relationship Id="rId57" Type="http://schemas.openxmlformats.org/officeDocument/2006/relationships/hyperlink" Target="https://www.theguardian.com/society/2017/apr/06/gender-pay-gap-law-could-have-significant-impact-say-experts" TargetMode="External"/><Relationship Id="rId106" Type="http://schemas.openxmlformats.org/officeDocument/2006/relationships/hyperlink" Target="https://www0.gsb.columbia.edu/mygsb/faculty/research/pubfiles/3063/female_representation.pdf" TargetMode="External"/><Relationship Id="rId114" Type="http://schemas.openxmlformats.org/officeDocument/2006/relationships/hyperlink" Target="https://www.equityeconomics.com.au/report-archive/how-australias-parenting-policies-are-failing-women-and-our-economy" TargetMode="External"/><Relationship Id="rId10" Type="http://schemas.openxmlformats.org/officeDocument/2006/relationships/hyperlink" Target="https://www.abs.gov.au/statistics/labour/jobs/jobs-australia/latest-release" TargetMode="External"/><Relationship Id="rId31" Type="http://schemas.openxmlformats.org/officeDocument/2006/relationships/hyperlink" Target="https://www.dca.org.au/submissions/dca-submission-workplace-gender-equality-act-wgea-2012" TargetMode="External"/><Relationship Id="rId44" Type="http://schemas.openxmlformats.org/officeDocument/2006/relationships/hyperlink" Target="https://www.abc.net.au/news/science/2022-03-11/gender-pay-gap-bot-international-womens-day-twitter/100898172" TargetMode="External"/><Relationship Id="rId52" Type="http://schemas.openxmlformats.org/officeDocument/2006/relationships/hyperlink" Target="https://www.wgea.gov.au/about/our-story" TargetMode="External"/><Relationship Id="rId60" Type="http://schemas.openxmlformats.org/officeDocument/2006/relationships/hyperlink" Target="https://www.pmc.gov.au/resource-centre/office-women/wgea-review-report" TargetMode="External"/><Relationship Id="rId65" Type="http://schemas.openxmlformats.org/officeDocument/2006/relationships/hyperlink" Target="https://kpmg.com/uk/en/blogs/home/posts/2022/02/gender-pay-gap-reporting-its-impact-and-possible-future.html" TargetMode="External"/><Relationship Id="rId73" Type="http://schemas.openxmlformats.org/officeDocument/2006/relationships/hyperlink" Target="https://www.europarl.europa.eu/news/en/press-room/20220401IPR26532/gender-pay-gap-parliament-backs-binding-pay-transparency-measures" TargetMode="External"/><Relationship Id="rId78" Type="http://schemas.openxmlformats.org/officeDocument/2006/relationships/hyperlink" Target="https://bcec.edu.au/assets/2021/03/BCEC-WGEA-Gender-Equity-Insights-2021_WEB.pdf" TargetMode="External"/><Relationship Id="rId81" Type="http://schemas.openxmlformats.org/officeDocument/2006/relationships/hyperlink" Target="https://www.dca.org.au/sites/default/files/dca_engaging_men_synopsis_online_final.pdf" TargetMode="External"/><Relationship Id="rId86" Type="http://schemas.openxmlformats.org/officeDocument/2006/relationships/hyperlink" Target="https://www.wgea.gov.au/publications/fourth-edition-of-the-shes-pricedless-report-released" TargetMode="External"/><Relationship Id="rId94" Type="http://schemas.openxmlformats.org/officeDocument/2006/relationships/hyperlink" Target="https://www.wgea.gov.au/publications/fourth-edition-of-the-shes-pricedless-report-released" TargetMode="External"/><Relationship Id="rId99" Type="http://schemas.openxmlformats.org/officeDocument/2006/relationships/hyperlink" Target="https://www.personneltoday.com/hr/study-finds-trade-off-between-pay-transparency-and-performance/" TargetMode="External"/><Relationship Id="rId101" Type="http://schemas.openxmlformats.org/officeDocument/2006/relationships/hyperlink" Target="http://dx.doi.org/10.1787/9789264179370-en" TargetMode="External"/><Relationship Id="rId4" Type="http://schemas.openxmlformats.org/officeDocument/2006/relationships/hyperlink" Target="https://www.abs.gov.au/statistics/labour/employment-and-unemployment/labour-force-australia/latest-release" TargetMode="External"/><Relationship Id="rId9" Type="http://schemas.openxmlformats.org/officeDocument/2006/relationships/hyperlink" Target="https://www.abs.gov.au/statistics/labour/jobs/jobs-australia/latest-release" TargetMode="External"/><Relationship Id="rId13" Type="http://schemas.openxmlformats.org/officeDocument/2006/relationships/hyperlink" Target="https://www.abs.gov.au/statistics/people/people-and-communities/how-australians-use-their-time/latest-release" TargetMode="External"/><Relationship Id="rId18" Type="http://schemas.openxmlformats.org/officeDocument/2006/relationships/hyperlink" Target="https://www.wgea.gov.au/pay-and-gender/gender-pay-gap-data" TargetMode="External"/><Relationship Id="rId39" Type="http://schemas.openxmlformats.org/officeDocument/2006/relationships/hyperlink" Target="https://www.pmc.gov.au/resource-centre/office-women/wgea-review-report" TargetMode="External"/><Relationship Id="rId109" Type="http://schemas.openxmlformats.org/officeDocument/2006/relationships/hyperlink" Target="https://www.firstsentierinvestors.com.au/content/dam/web/australia/realindex/realindex-lipservice-report.pdf" TargetMode="External"/><Relationship Id="rId34" Type="http://schemas.openxmlformats.org/officeDocument/2006/relationships/hyperlink" Target="https://humanrights.gov.au/our-work/sex-discrimination/publications/conversation-gender-equality-2017" TargetMode="External"/><Relationship Id="rId50" Type="http://schemas.openxmlformats.org/officeDocument/2006/relationships/hyperlink" Target="https://www.equityeconomics.com.au/report-archive/how-australias-parenting-policies-are-failing-women-and-our-economy" TargetMode="External"/><Relationship Id="rId55" Type="http://schemas.openxmlformats.org/officeDocument/2006/relationships/hyperlink" Target="https://www.afr.com/companies/professional-services/experts-call-on-more-firms-to-copy-pwc-s-pay-transparency-20220418-p5ae96" TargetMode="External"/><Relationship Id="rId76" Type="http://schemas.openxmlformats.org/officeDocument/2006/relationships/hyperlink" Target="file:///C:/Users/pmc18071/Downloads/european_institute_for_gender_equality_-_men_and_gender_equality_-_2017-06-09.pdf" TargetMode="External"/><Relationship Id="rId97" Type="http://schemas.openxmlformats.org/officeDocument/2006/relationships/hyperlink" Target="https://www.wgea.gov.au/publications/shes-pricedless-the-economics-of-the-gender-pay-gap" TargetMode="External"/><Relationship Id="rId104" Type="http://schemas.openxmlformats.org/officeDocument/2006/relationships/hyperlink" Target="https://www.pmc.gov.au/resource-centre/office-women/wgea-review-report" TargetMode="External"/><Relationship Id="rId7" Type="http://schemas.openxmlformats.org/officeDocument/2006/relationships/hyperlink" Target="https://www.abs.gov.au/statistics/labour/jobs/jobs-australia/latest-release" TargetMode="External"/><Relationship Id="rId71" Type="http://schemas.openxmlformats.org/officeDocument/2006/relationships/hyperlink" Target="https://www.abc.net.au/news/science/2022-03-11/gender-pay-gap-bot-international-womens-day-twitter/100898172" TargetMode="External"/><Relationship Id="rId92" Type="http://schemas.openxmlformats.org/officeDocument/2006/relationships/hyperlink" Target="https://bcec.edu.au/publications/gender-equity-insights-2020-delivering-the-business-outcomes/" TargetMode="External"/><Relationship Id="rId2" Type="http://schemas.openxmlformats.org/officeDocument/2006/relationships/hyperlink" Target="https://www.wgea.gov.au/sites/default/files/documents/WGEA-Gender-Equality-Scorecard-2022.pdf" TargetMode="External"/><Relationship Id="rId29" Type="http://schemas.openxmlformats.org/officeDocument/2006/relationships/hyperlink" Target="https://www.abs.gov.au/statistics/labour/employment-and-unemployment/labour-force-australia/jan-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101</Pages>
  <Words>33649</Words>
  <Characters>191804</Characters>
  <Application>Microsoft Office Word</Application>
  <DocSecurity>0</DocSecurity>
  <Lines>1598</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2023-02-08T22:27:00Z</dcterms:created>
  <dcterms:modified xsi:type="dcterms:W3CDTF">2023-02-08T22:28:00Z</dcterms:modified>
</cp:coreProperties>
</file>