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E4" w:rsidRDefault="00BB2181">
      <w:pPr>
        <w:pStyle w:val="BodyText"/>
        <w:spacing w:before="65" w:line="274" w:lineRule="auto"/>
        <w:ind w:left="156" w:right="6761"/>
      </w:pPr>
      <w:bookmarkStart w:id="0" w:name="_GoBack"/>
      <w:bookmarkEnd w:id="0"/>
      <w:r>
        <w:rPr>
          <w:color w:val="151515"/>
        </w:rPr>
        <w:t>Mr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Jason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Lange</w:t>
      </w:r>
      <w:r>
        <w:rPr>
          <w:color w:val="151515"/>
          <w:w w:val="101"/>
        </w:rPr>
        <w:t xml:space="preserve"> </w:t>
      </w:r>
      <w:r>
        <w:rPr>
          <w:color w:val="151515"/>
        </w:rPr>
        <w:t>Executive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Director</w:t>
      </w:r>
    </w:p>
    <w:p w:rsidR="00FA14E4" w:rsidRDefault="00BB2181">
      <w:pPr>
        <w:pStyle w:val="BodyText"/>
        <w:spacing w:before="1"/>
        <w:ind w:left="147"/>
      </w:pPr>
      <w:r>
        <w:rPr>
          <w:color w:val="151515"/>
        </w:rPr>
        <w:t>Office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Impact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Analysis</w:t>
      </w:r>
    </w:p>
    <w:p w:rsidR="00FA14E4" w:rsidRDefault="00BB2181">
      <w:pPr>
        <w:pStyle w:val="BodyText"/>
        <w:spacing w:before="31" w:line="274" w:lineRule="auto"/>
        <w:ind w:left="152" w:right="4934"/>
      </w:pPr>
      <w:r>
        <w:rPr>
          <w:color w:val="151515"/>
        </w:rPr>
        <w:t>Department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Prime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Minister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Cabinet</w:t>
      </w:r>
      <w:r>
        <w:rPr>
          <w:color w:val="151515"/>
          <w:w w:val="101"/>
        </w:rPr>
        <w:t xml:space="preserve"> </w:t>
      </w:r>
      <w:r>
        <w:rPr>
          <w:color w:val="151515"/>
        </w:rPr>
        <w:t>1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National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Circuit</w:t>
      </w:r>
    </w:p>
    <w:p w:rsidR="00FA14E4" w:rsidRDefault="00BB2181">
      <w:pPr>
        <w:pStyle w:val="BodyText"/>
        <w:spacing w:before="1"/>
        <w:ind w:left="147"/>
      </w:pPr>
      <w:r>
        <w:rPr>
          <w:color w:val="151515"/>
        </w:rPr>
        <w:t>BARTON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ACT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2600</w:t>
      </w:r>
    </w:p>
    <w:p w:rsidR="00FA14E4" w:rsidRDefault="00FA14E4">
      <w:pPr>
        <w:spacing w:before="11"/>
        <w:rPr>
          <w:rFonts w:ascii="Arial" w:eastAsia="Arial" w:hAnsi="Arial" w:cs="Arial"/>
          <w:sz w:val="23"/>
          <w:szCs w:val="23"/>
        </w:rPr>
      </w:pPr>
    </w:p>
    <w:p w:rsidR="00FA14E4" w:rsidRDefault="00BB2181">
      <w:pPr>
        <w:pStyle w:val="BodyText"/>
        <w:spacing w:line="553" w:lineRule="auto"/>
        <w:ind w:left="132" w:right="4934" w:firstLine="9"/>
      </w:pPr>
      <w:r>
        <w:rPr>
          <w:color w:val="151515"/>
        </w:rPr>
        <w:t>By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email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only:</w:t>
      </w:r>
      <w:r>
        <w:rPr>
          <w:color w:val="151515"/>
          <w:spacing w:val="35"/>
        </w:rPr>
        <w:t xml:space="preserve"> </w:t>
      </w:r>
      <w:hyperlink r:id="rId7">
        <w:r>
          <w:rPr>
            <w:color w:val="151515"/>
          </w:rPr>
          <w:t>Helpdesk-OIA@pmc.gov.au</w:t>
        </w:r>
      </w:hyperlink>
      <w:r>
        <w:rPr>
          <w:color w:val="151515"/>
          <w:w w:val="101"/>
        </w:rPr>
        <w:t xml:space="preserve"> </w:t>
      </w:r>
      <w:r>
        <w:rPr>
          <w:color w:val="151515"/>
        </w:rPr>
        <w:t>Dear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Mr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Lange</w:t>
      </w:r>
    </w:p>
    <w:p w:rsidR="00FA14E4" w:rsidRDefault="00BB2181">
      <w:pPr>
        <w:spacing w:line="217" w:lineRule="exact"/>
        <w:ind w:left="12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z w:val="19"/>
        </w:rPr>
        <w:t>Impact</w:t>
      </w:r>
      <w:r>
        <w:rPr>
          <w:rFonts w:ascii="Arial"/>
          <w:b/>
          <w:color w:val="151515"/>
          <w:spacing w:val="11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Assessment</w:t>
      </w:r>
      <w:r>
        <w:rPr>
          <w:rFonts w:ascii="Arial"/>
          <w:b/>
          <w:color w:val="151515"/>
          <w:spacing w:val="34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for</w:t>
      </w:r>
      <w:r>
        <w:rPr>
          <w:rFonts w:ascii="Arial"/>
          <w:b/>
          <w:color w:val="151515"/>
          <w:spacing w:val="29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Second</w:t>
      </w:r>
      <w:r>
        <w:rPr>
          <w:rFonts w:ascii="Arial"/>
          <w:b/>
          <w:color w:val="151515"/>
          <w:spacing w:val="24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Pass</w:t>
      </w:r>
      <w:r>
        <w:rPr>
          <w:rFonts w:ascii="Arial"/>
          <w:b/>
          <w:color w:val="151515"/>
          <w:spacing w:val="16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Final</w:t>
      </w:r>
      <w:r>
        <w:rPr>
          <w:rFonts w:ascii="Arial"/>
          <w:b/>
          <w:color w:val="151515"/>
          <w:spacing w:val="7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Assessment</w:t>
      </w:r>
    </w:p>
    <w:p w:rsidR="00FA14E4" w:rsidRDefault="00FA14E4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FA14E4" w:rsidRDefault="00BB2181">
      <w:pPr>
        <w:pStyle w:val="BodyText"/>
      </w:pPr>
      <w:r>
        <w:rPr>
          <w:color w:val="151515"/>
        </w:rPr>
        <w:t>I</w:t>
      </w:r>
      <w:r>
        <w:rPr>
          <w:color w:val="151515"/>
          <w:spacing w:val="-18"/>
        </w:rPr>
        <w:t xml:space="preserve"> </w:t>
      </w:r>
      <w:r>
        <w:rPr>
          <w:color w:val="151515"/>
        </w:rPr>
        <w:t>am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writing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relation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attached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Impact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Analysis</w:t>
      </w:r>
      <w:r>
        <w:rPr>
          <w:color w:val="151515"/>
          <w:spacing w:val="41"/>
        </w:rPr>
        <w:t xml:space="preserve"> </w:t>
      </w:r>
      <w:r>
        <w:rPr>
          <w:color w:val="151515"/>
        </w:rPr>
        <w:t>(IA)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prepared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implementation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the</w:t>
      </w:r>
    </w:p>
    <w:p w:rsidR="00FA14E4" w:rsidRDefault="00BB2181">
      <w:pPr>
        <w:spacing w:before="26"/>
        <w:ind w:left="128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151515"/>
          <w:sz w:val="19"/>
        </w:rPr>
        <w:t>Workplace</w:t>
      </w:r>
      <w:r>
        <w:rPr>
          <w:rFonts w:ascii="Arial"/>
          <w:i/>
          <w:color w:val="151515"/>
          <w:spacing w:val="22"/>
          <w:sz w:val="19"/>
        </w:rPr>
        <w:t xml:space="preserve"> </w:t>
      </w:r>
      <w:r>
        <w:rPr>
          <w:rFonts w:ascii="Arial"/>
          <w:i/>
          <w:color w:val="151515"/>
          <w:sz w:val="19"/>
        </w:rPr>
        <w:t>Gender</w:t>
      </w:r>
      <w:r>
        <w:rPr>
          <w:rFonts w:ascii="Arial"/>
          <w:i/>
          <w:color w:val="151515"/>
          <w:spacing w:val="17"/>
          <w:sz w:val="19"/>
        </w:rPr>
        <w:t xml:space="preserve"> </w:t>
      </w:r>
      <w:r>
        <w:rPr>
          <w:rFonts w:ascii="Arial"/>
          <w:i/>
          <w:color w:val="151515"/>
          <w:sz w:val="19"/>
        </w:rPr>
        <w:t>Equality</w:t>
      </w:r>
      <w:r>
        <w:rPr>
          <w:rFonts w:ascii="Arial"/>
          <w:i/>
          <w:color w:val="151515"/>
          <w:spacing w:val="12"/>
          <w:sz w:val="19"/>
        </w:rPr>
        <w:t xml:space="preserve"> </w:t>
      </w:r>
      <w:r>
        <w:rPr>
          <w:rFonts w:ascii="Arial"/>
          <w:i/>
          <w:color w:val="151515"/>
          <w:sz w:val="19"/>
        </w:rPr>
        <w:t>Act</w:t>
      </w:r>
      <w:r>
        <w:rPr>
          <w:rFonts w:ascii="Arial"/>
          <w:i/>
          <w:color w:val="151515"/>
          <w:spacing w:val="29"/>
          <w:sz w:val="19"/>
        </w:rPr>
        <w:t xml:space="preserve"> </w:t>
      </w:r>
      <w:r>
        <w:rPr>
          <w:rFonts w:ascii="Arial"/>
          <w:i/>
          <w:color w:val="151515"/>
          <w:sz w:val="19"/>
        </w:rPr>
        <w:t>2012</w:t>
      </w:r>
      <w:r>
        <w:rPr>
          <w:rFonts w:ascii="Arial"/>
          <w:i/>
          <w:color w:val="151515"/>
          <w:spacing w:val="23"/>
          <w:sz w:val="19"/>
        </w:rPr>
        <w:t xml:space="preserve"> </w:t>
      </w:r>
      <w:r>
        <w:rPr>
          <w:rFonts w:ascii="Arial"/>
          <w:color w:val="151515"/>
          <w:sz w:val="19"/>
        </w:rPr>
        <w:t>Review</w:t>
      </w:r>
      <w:r>
        <w:rPr>
          <w:rFonts w:ascii="Arial"/>
          <w:color w:val="151515"/>
          <w:spacing w:val="24"/>
          <w:sz w:val="19"/>
        </w:rPr>
        <w:t xml:space="preserve"> </w:t>
      </w:r>
      <w:r>
        <w:rPr>
          <w:rFonts w:ascii="Arial"/>
          <w:color w:val="151515"/>
          <w:sz w:val="19"/>
        </w:rPr>
        <w:t>(the</w:t>
      </w:r>
      <w:r>
        <w:rPr>
          <w:rFonts w:ascii="Arial"/>
          <w:color w:val="151515"/>
          <w:spacing w:val="25"/>
          <w:sz w:val="19"/>
        </w:rPr>
        <w:t xml:space="preserve"> </w:t>
      </w:r>
      <w:r>
        <w:rPr>
          <w:rFonts w:ascii="Arial"/>
          <w:color w:val="151515"/>
          <w:sz w:val="19"/>
        </w:rPr>
        <w:t>Review).</w:t>
      </w:r>
    </w:p>
    <w:p w:rsidR="00FA14E4" w:rsidRDefault="00FA14E4">
      <w:pPr>
        <w:spacing w:before="5"/>
        <w:rPr>
          <w:rFonts w:ascii="Arial" w:eastAsia="Arial" w:hAnsi="Arial" w:cs="Arial"/>
          <w:sz w:val="24"/>
          <w:szCs w:val="24"/>
        </w:rPr>
      </w:pPr>
    </w:p>
    <w:p w:rsidR="00FA14E4" w:rsidRDefault="00BB2181">
      <w:pPr>
        <w:pStyle w:val="BodyText"/>
        <w:spacing w:line="274" w:lineRule="auto"/>
        <w:ind w:left="104" w:right="122" w:firstLine="14"/>
      </w:pPr>
      <w:r>
        <w:rPr>
          <w:color w:val="151515"/>
        </w:rPr>
        <w:t>In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time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available,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am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satisfied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IA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addresses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concerns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raised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in your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letter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30</w:t>
      </w:r>
      <w:r>
        <w:rPr>
          <w:color w:val="151515"/>
          <w:w w:val="104"/>
        </w:rPr>
        <w:t xml:space="preserve"> </w:t>
      </w:r>
      <w:r>
        <w:rPr>
          <w:color w:val="151515"/>
        </w:rPr>
        <w:t>January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2023.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Specifically,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following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key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changes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have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been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made: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810"/>
        </w:tabs>
        <w:spacing w:before="15" w:line="274" w:lineRule="auto"/>
        <w:ind w:right="805" w:hanging="350"/>
      </w:pPr>
      <w:r>
        <w:rPr>
          <w:color w:val="151515"/>
        </w:rPr>
        <w:t>Additional</w:t>
      </w:r>
      <w:r>
        <w:rPr>
          <w:color w:val="151515"/>
          <w:spacing w:val="36"/>
        </w:rPr>
        <w:t xml:space="preserve"> </w:t>
      </w:r>
      <w:r>
        <w:rPr>
          <w:color w:val="151515"/>
        </w:rPr>
        <w:t>primary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secondary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sources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have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been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added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bolster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arguments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and evidentiary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support.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805"/>
        </w:tabs>
        <w:spacing w:before="15" w:line="272" w:lineRule="auto"/>
        <w:ind w:left="804" w:right="122" w:hanging="345"/>
      </w:pPr>
      <w:r>
        <w:rPr>
          <w:color w:val="151515"/>
        </w:rPr>
        <w:t>An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explicit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justification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as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why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policy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options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outside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recommendations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Review</w:t>
      </w:r>
      <w:r>
        <w:rPr>
          <w:color w:val="151515"/>
          <w:w w:val="102"/>
        </w:rPr>
        <w:t xml:space="preserve"> </w:t>
      </w:r>
      <w:r>
        <w:rPr>
          <w:color w:val="151515"/>
        </w:rPr>
        <w:t>were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not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considered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within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scope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this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IA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now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addressed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Chapter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5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notes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that by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confining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next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set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reforms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those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recommended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by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Review,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heavily</w:t>
      </w:r>
      <w:r>
        <w:rPr>
          <w:color w:val="151515"/>
          <w:w w:val="101"/>
        </w:rPr>
        <w:t xml:space="preserve"> </w:t>
      </w:r>
      <w:r>
        <w:rPr>
          <w:color w:val="151515"/>
        </w:rPr>
        <w:t>consulted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on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stakeholders,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there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maximum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chance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success.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810"/>
        </w:tabs>
        <w:spacing w:before="12" w:line="271" w:lineRule="auto"/>
        <w:ind w:left="800" w:right="255" w:hanging="351"/>
        <w:jc w:val="both"/>
      </w:pPr>
      <w:r>
        <w:rPr>
          <w:color w:val="151515"/>
        </w:rPr>
        <w:t>Further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analysis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on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consequences</w:t>
      </w:r>
      <w:r>
        <w:rPr>
          <w:color w:val="151515"/>
          <w:spacing w:val="46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gender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pay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gap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transparency</w:t>
      </w:r>
      <w:r>
        <w:rPr>
          <w:color w:val="151515"/>
          <w:spacing w:val="46"/>
        </w:rPr>
        <w:t xml:space="preserve"> </w:t>
      </w:r>
      <w:r>
        <w:rPr>
          <w:color w:val="151515"/>
        </w:rPr>
        <w:t>has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been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considered</w:t>
      </w:r>
      <w:r>
        <w:rPr>
          <w:color w:val="151515"/>
          <w:w w:val="101"/>
        </w:rPr>
        <w:t xml:space="preserve"> </w:t>
      </w:r>
      <w:r>
        <w:rPr>
          <w:color w:val="151515"/>
        </w:rPr>
        <w:t>particularly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regard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UK outcomes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shifts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global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economic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trends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the</w:t>
      </w:r>
      <w:r>
        <w:rPr>
          <w:color w:val="151515"/>
          <w:w w:val="101"/>
        </w:rPr>
        <w:t xml:space="preserve"> </w:t>
      </w:r>
      <w:r>
        <w:rPr>
          <w:color w:val="151515"/>
        </w:rPr>
        <w:t>COVID-19</w:t>
      </w:r>
      <w:r>
        <w:rPr>
          <w:color w:val="151515"/>
          <w:spacing w:val="45"/>
        </w:rPr>
        <w:t xml:space="preserve"> </w:t>
      </w:r>
      <w:r>
        <w:rPr>
          <w:color w:val="151515"/>
        </w:rPr>
        <w:t>pandemic.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791"/>
        </w:tabs>
        <w:spacing w:before="17" w:line="274" w:lineRule="auto"/>
        <w:ind w:left="790" w:right="122"/>
      </w:pPr>
      <w:r>
        <w:rPr>
          <w:color w:val="151515"/>
          <w:w w:val="105"/>
        </w:rPr>
        <w:t>A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clear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comparison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table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three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policy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options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way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they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address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elements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w w:val="103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problem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has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been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added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enhance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readability</w:t>
      </w:r>
      <w:r>
        <w:rPr>
          <w:color w:val="3D3D3D"/>
          <w:w w:val="105"/>
        </w:rPr>
        <w:t>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10" w:line="274" w:lineRule="auto"/>
        <w:ind w:left="785" w:right="304" w:hanging="345"/>
      </w:pPr>
      <w:r>
        <w:rPr>
          <w:color w:val="151515"/>
        </w:rPr>
        <w:t>Further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analysis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element</w:t>
      </w:r>
      <w:r>
        <w:rPr>
          <w:color w:val="151515"/>
          <w:spacing w:val="43"/>
        </w:rPr>
        <w:t xml:space="preserve"> </w:t>
      </w:r>
      <w:r>
        <w:rPr>
          <w:color w:val="151515"/>
        </w:rPr>
        <w:t>1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problem,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including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identifying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gaps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existing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in</w:t>
      </w:r>
      <w:r>
        <w:rPr>
          <w:color w:val="151515"/>
          <w:w w:val="104"/>
        </w:rPr>
        <w:t xml:space="preserve"> </w:t>
      </w:r>
      <w:r>
        <w:rPr>
          <w:color w:val="151515"/>
        </w:rPr>
        <w:t>WGEA's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dataset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has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been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added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noting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intersectionality</w:t>
      </w:r>
      <w:r>
        <w:rPr>
          <w:color w:val="151515"/>
          <w:spacing w:val="47"/>
        </w:rPr>
        <w:t xml:space="preserve"> </w:t>
      </w:r>
      <w:r>
        <w:rPr>
          <w:color w:val="151515"/>
        </w:rPr>
        <w:t>lens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enabled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expansion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of</w:t>
      </w:r>
      <w:r>
        <w:rPr>
          <w:color w:val="151515"/>
          <w:w w:val="10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WGEA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dataset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under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Recommendation</w:t>
      </w:r>
      <w:r>
        <w:rPr>
          <w:color w:val="151515"/>
          <w:spacing w:val="29"/>
        </w:rPr>
        <w:t xml:space="preserve"> </w:t>
      </w:r>
      <w:r>
        <w:rPr>
          <w:color w:val="151515"/>
          <w:spacing w:val="11"/>
        </w:rPr>
        <w:t>7</w:t>
      </w:r>
      <w:r>
        <w:rPr>
          <w:color w:val="2A2A2A"/>
        </w:rPr>
        <w:t>.1.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781"/>
        </w:tabs>
        <w:spacing w:before="10" w:line="272" w:lineRule="auto"/>
        <w:ind w:left="776" w:right="237"/>
      </w:pPr>
      <w:r>
        <w:rPr>
          <w:color w:val="151515"/>
        </w:rPr>
        <w:t>The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Option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3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(the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preferred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option)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regulatory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costs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have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been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amended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reflect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the</w:t>
      </w:r>
      <w:r>
        <w:rPr>
          <w:color w:val="151515"/>
          <w:w w:val="99"/>
        </w:rPr>
        <w:t xml:space="preserve"> </w:t>
      </w:r>
      <w:r>
        <w:rPr>
          <w:color w:val="151515"/>
        </w:rPr>
        <w:t>decision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not to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implement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recommendation</w:t>
      </w:r>
      <w:r>
        <w:rPr>
          <w:color w:val="151515"/>
          <w:spacing w:val="42"/>
        </w:rPr>
        <w:t xml:space="preserve"> </w:t>
      </w:r>
      <w:r>
        <w:rPr>
          <w:color w:val="151515"/>
        </w:rPr>
        <w:t>7.2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(collection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non-binary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data)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allow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further</w:t>
      </w:r>
      <w:r w:rsidR="00935D62">
        <w:rPr>
          <w:color w:val="151515"/>
          <w:w w:val="99"/>
        </w:rPr>
        <w:t xml:space="preserve"> </w:t>
      </w:r>
      <w:r>
        <w:rPr>
          <w:color w:val="151515"/>
        </w:rPr>
        <w:t>consultation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take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place.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new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Option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3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costs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are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estimated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be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cost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reduction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from</w:t>
      </w:r>
      <w:r>
        <w:rPr>
          <w:color w:val="151515"/>
          <w:w w:val="101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status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quo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(Option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1)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costs.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786"/>
        </w:tabs>
        <w:spacing w:before="17" w:line="274" w:lineRule="auto"/>
        <w:ind w:left="776" w:right="507" w:hanging="351"/>
        <w:jc w:val="both"/>
      </w:pPr>
      <w:r>
        <w:rPr>
          <w:color w:val="151515"/>
        </w:rPr>
        <w:t>Discussion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regarding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Option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1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benefits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rate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acceleration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these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benefit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under</w:t>
      </w:r>
      <w:r>
        <w:rPr>
          <w:color w:val="151515"/>
          <w:w w:val="99"/>
        </w:rPr>
        <w:t xml:space="preserve"> </w:t>
      </w:r>
      <w:r>
        <w:rPr>
          <w:color w:val="151515"/>
        </w:rPr>
        <w:t>Option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3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has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been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added,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including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comments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noting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rate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acceleration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the</w:t>
      </w:r>
      <w:r>
        <w:rPr>
          <w:color w:val="151515"/>
          <w:w w:val="99"/>
        </w:rPr>
        <w:t xml:space="preserve"> </w:t>
      </w:r>
      <w:r>
        <w:rPr>
          <w:color w:val="151515"/>
        </w:rPr>
        <w:t>magnitude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benefits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are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unknow</w:t>
      </w:r>
      <w:r>
        <w:rPr>
          <w:color w:val="151515"/>
          <w:spacing w:val="15"/>
        </w:rPr>
        <w:t>n</w:t>
      </w:r>
      <w:r>
        <w:rPr>
          <w:color w:val="3D3D3D"/>
        </w:rPr>
        <w:t>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767"/>
        </w:tabs>
        <w:spacing w:before="10" w:line="274" w:lineRule="auto"/>
        <w:ind w:left="761" w:right="221" w:hanging="345"/>
        <w:jc w:val="both"/>
      </w:pPr>
      <w:r>
        <w:rPr>
          <w:color w:val="151515"/>
        </w:rPr>
        <w:t>The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importance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effectiveness</w:t>
      </w:r>
      <w:r>
        <w:rPr>
          <w:color w:val="151515"/>
          <w:spacing w:val="36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WGEA's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publication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gender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pay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gap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compared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to</w:t>
      </w:r>
      <w:r>
        <w:rPr>
          <w:color w:val="151515"/>
          <w:w w:val="101"/>
        </w:rPr>
        <w:t xml:space="preserve"> </w:t>
      </w:r>
      <w:r>
        <w:rPr>
          <w:color w:val="151515"/>
        </w:rPr>
        <w:t>employer</w:t>
      </w:r>
      <w:r>
        <w:rPr>
          <w:color w:val="3D3D3D"/>
        </w:rPr>
        <w:t>'</w:t>
      </w:r>
      <w:r>
        <w:rPr>
          <w:color w:val="151515"/>
        </w:rPr>
        <w:t>s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voluntary</w:t>
      </w:r>
      <w:r>
        <w:rPr>
          <w:color w:val="151515"/>
          <w:spacing w:val="43"/>
        </w:rPr>
        <w:t xml:space="preserve"> </w:t>
      </w:r>
      <w:r>
        <w:rPr>
          <w:color w:val="151515"/>
        </w:rPr>
        <w:t>publication</w:t>
      </w:r>
      <w:r>
        <w:rPr>
          <w:color w:val="151515"/>
          <w:spacing w:val="36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now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evidenced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by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extensive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list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employers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who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fail</w:t>
      </w:r>
      <w:r>
        <w:rPr>
          <w:color w:val="151515"/>
          <w:spacing w:val="24"/>
          <w:w w:val="102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comply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WGEA's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mandatory</w:t>
      </w:r>
      <w:r>
        <w:rPr>
          <w:color w:val="151515"/>
          <w:spacing w:val="41"/>
        </w:rPr>
        <w:t xml:space="preserve"> </w:t>
      </w:r>
      <w:r>
        <w:rPr>
          <w:color w:val="151515"/>
        </w:rPr>
        <w:t>reporting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every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year.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762"/>
        </w:tabs>
        <w:spacing w:before="10" w:line="274" w:lineRule="auto"/>
        <w:ind w:left="766" w:right="157" w:hanging="355"/>
      </w:pPr>
      <w:r>
        <w:rPr>
          <w:color w:val="151515"/>
        </w:rPr>
        <w:t>The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key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role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consultation</w:t>
      </w:r>
      <w:r>
        <w:rPr>
          <w:color w:val="151515"/>
          <w:spacing w:val="45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development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policy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options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selection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Option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3 is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considered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further.</w:t>
      </w:r>
    </w:p>
    <w:p w:rsidR="00FA14E4" w:rsidRDefault="00BB2181">
      <w:pPr>
        <w:pStyle w:val="BodyText"/>
        <w:numPr>
          <w:ilvl w:val="0"/>
          <w:numId w:val="1"/>
        </w:numPr>
        <w:tabs>
          <w:tab w:val="left" w:pos="757"/>
        </w:tabs>
        <w:spacing w:before="15" w:line="274" w:lineRule="auto"/>
        <w:ind w:left="766" w:right="708" w:hanging="360"/>
      </w:pPr>
      <w:r>
        <w:rPr>
          <w:color w:val="151515"/>
        </w:rPr>
        <w:t>The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stakeholder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feedback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considered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proposed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ongoing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consultation</w:t>
      </w:r>
      <w:r>
        <w:rPr>
          <w:color w:val="151515"/>
          <w:spacing w:val="47"/>
        </w:rPr>
        <w:t xml:space="preserve"> </w:t>
      </w:r>
      <w:r>
        <w:rPr>
          <w:color w:val="151515"/>
        </w:rPr>
        <w:t>regarding partnerships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ANZSCO</w:t>
      </w:r>
      <w:r>
        <w:rPr>
          <w:color w:val="151515"/>
          <w:spacing w:val="46"/>
        </w:rPr>
        <w:t xml:space="preserve"> </w:t>
      </w:r>
      <w:r>
        <w:rPr>
          <w:color w:val="151515"/>
        </w:rPr>
        <w:t>level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4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reporting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more</w:t>
      </w:r>
      <w:r>
        <w:rPr>
          <w:color w:val="151515"/>
          <w:spacing w:val="8"/>
        </w:rPr>
        <w:t xml:space="preserve"> </w:t>
      </w:r>
      <w:r>
        <w:rPr>
          <w:color w:val="151515"/>
          <w:spacing w:val="1"/>
        </w:rPr>
        <w:t>detailed</w:t>
      </w:r>
      <w:r>
        <w:rPr>
          <w:color w:val="3D3D3D"/>
          <w:spacing w:val="2"/>
        </w:rPr>
        <w:t>.</w:t>
      </w:r>
    </w:p>
    <w:p w:rsidR="00FA14E4" w:rsidRDefault="00BB2181">
      <w:pPr>
        <w:pStyle w:val="BodyText"/>
        <w:numPr>
          <w:ilvl w:val="0"/>
          <w:numId w:val="2"/>
        </w:numPr>
        <w:tabs>
          <w:tab w:val="left" w:pos="752"/>
        </w:tabs>
        <w:spacing w:before="10" w:line="276" w:lineRule="auto"/>
        <w:ind w:right="304" w:hanging="355"/>
      </w:pPr>
      <w:r>
        <w:rPr>
          <w:color w:val="151515"/>
        </w:rPr>
        <w:t>The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estimated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legislative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dates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estimated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timeline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implementation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the</w:t>
      </w:r>
      <w:r>
        <w:rPr>
          <w:color w:val="151515"/>
          <w:w w:val="96"/>
        </w:rPr>
        <w:t xml:space="preserve"> </w:t>
      </w:r>
      <w:r>
        <w:rPr>
          <w:color w:val="151515"/>
        </w:rPr>
        <w:t>recommendations</w:t>
      </w:r>
      <w:r>
        <w:rPr>
          <w:color w:val="151515"/>
          <w:spacing w:val="43"/>
        </w:rPr>
        <w:t xml:space="preserve"> </w:t>
      </w:r>
      <w:r>
        <w:rPr>
          <w:color w:val="151515"/>
        </w:rPr>
        <w:t>under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Option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3</w:t>
      </w:r>
      <w:r>
        <w:rPr>
          <w:color w:val="151515"/>
          <w:spacing w:val="20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4"/>
        </w:rPr>
        <w:t xml:space="preserve"> </w:t>
      </w:r>
      <w:r>
        <w:rPr>
          <w:color w:val="151515"/>
        </w:rPr>
        <w:t>set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out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more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detail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including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private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public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 xml:space="preserve">sector reporting 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periods</w:t>
      </w:r>
      <w:r>
        <w:rPr>
          <w:color w:val="3D3D3D"/>
        </w:rPr>
        <w:t>.</w:t>
      </w:r>
    </w:p>
    <w:p w:rsidR="00FA14E4" w:rsidRDefault="00BB2181">
      <w:pPr>
        <w:pStyle w:val="BodyText"/>
        <w:numPr>
          <w:ilvl w:val="0"/>
          <w:numId w:val="2"/>
        </w:numPr>
        <w:tabs>
          <w:tab w:val="left" w:pos="748"/>
        </w:tabs>
        <w:spacing w:before="8" w:line="274" w:lineRule="auto"/>
        <w:ind w:left="742" w:right="708" w:hanging="346"/>
      </w:pPr>
      <w:r>
        <w:rPr>
          <w:color w:val="151515"/>
        </w:rPr>
        <w:t>The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scope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independent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evaluation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has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been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enhanced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potential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additional</w:t>
      </w:r>
      <w:r>
        <w:rPr>
          <w:color w:val="151515"/>
          <w:w w:val="101"/>
        </w:rPr>
        <w:t xml:space="preserve"> </w:t>
      </w:r>
      <w:r>
        <w:rPr>
          <w:color w:val="151515"/>
        </w:rPr>
        <w:t>elements,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including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program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logic,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avenues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further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research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development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of</w:t>
      </w:r>
      <w:r>
        <w:rPr>
          <w:color w:val="151515"/>
          <w:w w:val="94"/>
        </w:rPr>
        <w:t xml:space="preserve"> </w:t>
      </w:r>
      <w:r>
        <w:rPr>
          <w:color w:val="151515"/>
        </w:rPr>
        <w:t>future</w:t>
      </w:r>
      <w:r>
        <w:rPr>
          <w:color w:val="151515"/>
          <w:spacing w:val="41"/>
        </w:rPr>
        <w:t xml:space="preserve"> </w:t>
      </w:r>
      <w:r>
        <w:rPr>
          <w:color w:val="151515"/>
        </w:rPr>
        <w:t>policies.</w:t>
      </w:r>
    </w:p>
    <w:p w:rsidR="00FA14E4" w:rsidRDefault="00FA14E4">
      <w:pPr>
        <w:spacing w:line="274" w:lineRule="auto"/>
        <w:sectPr w:rsidR="00FA14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00" w:right="1420" w:bottom="280" w:left="1360" w:header="720" w:footer="720" w:gutter="0"/>
          <w:cols w:space="720"/>
        </w:sectPr>
      </w:pPr>
    </w:p>
    <w:p w:rsidR="00FA14E4" w:rsidRDefault="00BB2181">
      <w:pPr>
        <w:pStyle w:val="BodyText"/>
        <w:spacing w:before="57" w:line="273" w:lineRule="auto"/>
        <w:ind w:left="113"/>
      </w:pPr>
      <w:r>
        <w:rPr>
          <w:color w:val="161616"/>
        </w:rPr>
        <w:lastRenderedPageBreak/>
        <w:t>The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implementation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Option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(the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preferred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option)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will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have</w:t>
      </w:r>
      <w:r>
        <w:rPr>
          <w:color w:val="161616"/>
          <w:spacing w:val="13"/>
        </w:rPr>
        <w:t xml:space="preserve"> </w:t>
      </w:r>
      <w:r>
        <w:rPr>
          <w:color w:val="161616"/>
          <w:u w:val="single" w:color="000000"/>
        </w:rPr>
        <w:t>regulatory</w:t>
      </w:r>
      <w:r>
        <w:rPr>
          <w:color w:val="161616"/>
          <w:spacing w:val="31"/>
          <w:u w:val="single" w:color="000000"/>
        </w:rPr>
        <w:t xml:space="preserve"> </w:t>
      </w:r>
      <w:r>
        <w:rPr>
          <w:color w:val="161616"/>
          <w:u w:val="single" w:color="000000"/>
        </w:rPr>
        <w:t>savings</w:t>
      </w:r>
      <w:r>
        <w:rPr>
          <w:color w:val="161616"/>
          <w:spacing w:val="19"/>
          <w:u w:val="single" w:color="000000"/>
        </w:rPr>
        <w:t xml:space="preserve"> </w:t>
      </w:r>
      <w:r>
        <w:rPr>
          <w:color w:val="161616"/>
          <w:u w:val="single" w:color="000000"/>
        </w:rPr>
        <w:t>of</w:t>
      </w:r>
      <w:r>
        <w:rPr>
          <w:color w:val="161616"/>
          <w:spacing w:val="18"/>
          <w:u w:val="single" w:color="000000"/>
        </w:rPr>
        <w:t xml:space="preserve"> </w:t>
      </w:r>
      <w:r>
        <w:rPr>
          <w:color w:val="161616"/>
          <w:u w:val="single" w:color="000000"/>
        </w:rPr>
        <w:t>$124,709</w:t>
      </w:r>
      <w:r>
        <w:rPr>
          <w:color w:val="161616"/>
          <w:spacing w:val="31"/>
          <w:u w:val="single" w:color="000000"/>
        </w:rPr>
        <w:t xml:space="preserve"> </w:t>
      </w:r>
      <w:r>
        <w:rPr>
          <w:color w:val="161616"/>
          <w:u w:val="single" w:color="000000"/>
        </w:rPr>
        <w:t>per</w:t>
      </w:r>
      <w:r>
        <w:rPr>
          <w:color w:val="161616"/>
          <w:w w:val="103"/>
        </w:rPr>
        <w:t xml:space="preserve"> </w:t>
      </w:r>
      <w:r>
        <w:rPr>
          <w:color w:val="161616"/>
          <w:u w:val="single" w:color="000000"/>
        </w:rPr>
        <w:t>year</w:t>
      </w:r>
      <w:r>
        <w:rPr>
          <w:color w:val="161616"/>
          <w:spacing w:val="10"/>
          <w:u w:val="single" w:color="000000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regulatory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costs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status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quo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(Option</w:t>
      </w:r>
      <w:r>
        <w:rPr>
          <w:color w:val="161616"/>
          <w:spacing w:val="23"/>
        </w:rPr>
        <w:t xml:space="preserve"> </w:t>
      </w:r>
      <w:r>
        <w:rPr>
          <w:color w:val="161616"/>
          <w:spacing w:val="1"/>
        </w:rPr>
        <w:t>1)</w:t>
      </w:r>
      <w:r>
        <w:rPr>
          <w:color w:val="464646"/>
          <w:spacing w:val="1"/>
        </w:rPr>
        <w:t>.</w:t>
      </w:r>
      <w:r>
        <w:rPr>
          <w:color w:val="464646"/>
          <w:spacing w:val="-8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8"/>
        </w:rPr>
        <w:t xml:space="preserve"> </w:t>
      </w:r>
      <w:r>
        <w:rPr>
          <w:color w:val="161616"/>
          <w:u w:val="single" w:color="000000"/>
        </w:rPr>
        <w:t>will</w:t>
      </w:r>
      <w:r>
        <w:rPr>
          <w:color w:val="161616"/>
          <w:spacing w:val="25"/>
          <w:u w:val="single" w:color="000000"/>
        </w:rPr>
        <w:t xml:space="preserve"> </w:t>
      </w:r>
      <w:r>
        <w:rPr>
          <w:color w:val="161616"/>
          <w:u w:val="single" w:color="000000"/>
        </w:rPr>
        <w:t>bring</w:t>
      </w:r>
      <w:r>
        <w:rPr>
          <w:color w:val="161616"/>
          <w:spacing w:val="11"/>
          <w:u w:val="single" w:color="000000"/>
        </w:rPr>
        <w:t xml:space="preserve"> </w:t>
      </w:r>
      <w:r>
        <w:rPr>
          <w:color w:val="161616"/>
          <w:u w:val="single" w:color="000000"/>
        </w:rPr>
        <w:t>regulatory</w:t>
      </w:r>
      <w:r>
        <w:rPr>
          <w:color w:val="161616"/>
          <w:spacing w:val="17"/>
          <w:u w:val="single" w:color="000000"/>
        </w:rPr>
        <w:t xml:space="preserve"> </w:t>
      </w:r>
      <w:r>
        <w:rPr>
          <w:color w:val="161616"/>
          <w:u w:val="single" w:color="000000"/>
        </w:rPr>
        <w:t>costs</w:t>
      </w:r>
      <w:r>
        <w:rPr>
          <w:color w:val="161616"/>
          <w:spacing w:val="10"/>
          <w:u w:val="single" w:color="000000"/>
        </w:rPr>
        <w:t xml:space="preserve"> </w:t>
      </w:r>
      <w:r>
        <w:rPr>
          <w:color w:val="161616"/>
          <w:u w:val="single" w:color="000000"/>
        </w:rPr>
        <w:t>down per</w:t>
      </w:r>
      <w:r>
        <w:rPr>
          <w:color w:val="161616"/>
          <w:w w:val="103"/>
        </w:rPr>
        <w:t xml:space="preserve"> </w:t>
      </w:r>
      <w:r>
        <w:rPr>
          <w:color w:val="161616"/>
          <w:w w:val="98"/>
        </w:rPr>
        <w:t xml:space="preserve"> </w:t>
      </w:r>
      <w:r>
        <w:rPr>
          <w:color w:val="161616"/>
          <w:u w:val="single" w:color="000000"/>
        </w:rPr>
        <w:t>year</w:t>
      </w:r>
      <w:r>
        <w:rPr>
          <w:color w:val="161616"/>
          <w:spacing w:val="7"/>
          <w:u w:val="single" w:color="000000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$8.7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million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$8</w:t>
      </w:r>
      <w:r>
        <w:rPr>
          <w:color w:val="464646"/>
        </w:rPr>
        <w:t>.</w:t>
      </w:r>
      <w:r>
        <w:rPr>
          <w:color w:val="161616"/>
        </w:rPr>
        <w:t>6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million.</w:t>
      </w:r>
    </w:p>
    <w:p w:rsidR="00FA14E4" w:rsidRDefault="00FA14E4">
      <w:pPr>
        <w:spacing w:before="9"/>
        <w:rPr>
          <w:rFonts w:ascii="Arial" w:eastAsia="Arial" w:hAnsi="Arial" w:cs="Arial"/>
          <w:sz w:val="21"/>
          <w:szCs w:val="21"/>
        </w:rPr>
      </w:pPr>
    </w:p>
    <w:p w:rsidR="00FA14E4" w:rsidRDefault="00BB2181">
      <w:pPr>
        <w:pStyle w:val="BodyText"/>
        <w:spacing w:line="268" w:lineRule="auto"/>
        <w:ind w:hanging="15"/>
      </w:pPr>
      <w:r>
        <w:rPr>
          <w:color w:val="161616"/>
        </w:rPr>
        <w:t>Accordingly,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am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satisfied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IA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is consistent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six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principles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Australian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Government</w:t>
      </w:r>
      <w:r>
        <w:rPr>
          <w:color w:val="161616"/>
          <w:w w:val="102"/>
        </w:rPr>
        <w:t xml:space="preserve"> </w:t>
      </w:r>
      <w:r>
        <w:rPr>
          <w:color w:val="161616"/>
        </w:rPr>
        <w:t>policy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makers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specified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Australian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Government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Guide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Impact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Analysis.</w:t>
      </w:r>
    </w:p>
    <w:p w:rsidR="00FA14E4" w:rsidRDefault="00FA14E4">
      <w:pPr>
        <w:spacing w:before="2"/>
        <w:rPr>
          <w:rFonts w:ascii="Arial" w:eastAsia="Arial" w:hAnsi="Arial" w:cs="Arial"/>
        </w:rPr>
      </w:pPr>
    </w:p>
    <w:p w:rsidR="00FA14E4" w:rsidRDefault="00BB2181">
      <w:pPr>
        <w:pStyle w:val="BodyText"/>
      </w:pPr>
      <w:r>
        <w:rPr>
          <w:color w:val="161616"/>
        </w:rPr>
        <w:t>I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submit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IA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Office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Impact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Analysis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formal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final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assessment.</w:t>
      </w:r>
    </w:p>
    <w:p w:rsidR="00FA14E4" w:rsidRDefault="00FA14E4">
      <w:pPr>
        <w:rPr>
          <w:rFonts w:ascii="Arial" w:eastAsia="Arial" w:hAnsi="Arial" w:cs="Arial"/>
          <w:sz w:val="18"/>
          <w:szCs w:val="18"/>
        </w:rPr>
      </w:pPr>
    </w:p>
    <w:p w:rsidR="00FA14E4" w:rsidRDefault="00FA14E4">
      <w:pPr>
        <w:spacing w:before="3"/>
        <w:rPr>
          <w:rFonts w:ascii="Arial" w:eastAsia="Arial" w:hAnsi="Arial" w:cs="Arial"/>
          <w:sz w:val="14"/>
          <w:szCs w:val="14"/>
        </w:rPr>
      </w:pPr>
    </w:p>
    <w:p w:rsidR="00FA14E4" w:rsidRDefault="00A6196A" w:rsidP="00A6196A">
      <w:pPr>
        <w:tabs>
          <w:tab w:val="left" w:pos="1200"/>
        </w:tabs>
        <w:ind w:left="108"/>
      </w:pPr>
      <w:r>
        <w:rPr>
          <w:noProof/>
          <w:lang w:val="en-AU" w:eastAsia="en-AU"/>
        </w:rPr>
        <w:drawing>
          <wp:inline distT="0" distB="0" distL="0" distR="0" wp14:anchorId="6D95A102" wp14:editId="35B0ED82">
            <wp:extent cx="2574387" cy="1155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7266" cy="11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4E4">
      <w:pgSz w:w="11910" w:h="16840"/>
      <w:pgMar w:top="1500" w:right="15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57" w:rsidRDefault="00166E57" w:rsidP="00166E57">
      <w:r>
        <w:separator/>
      </w:r>
    </w:p>
  </w:endnote>
  <w:endnote w:type="continuationSeparator" w:id="0">
    <w:p w:rsidR="00166E57" w:rsidRDefault="00166E57" w:rsidP="0016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57" w:rsidRDefault="0016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57" w:rsidRDefault="00166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57" w:rsidRDefault="00166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57" w:rsidRDefault="00166E57" w:rsidP="00166E57">
      <w:r>
        <w:separator/>
      </w:r>
    </w:p>
  </w:footnote>
  <w:footnote w:type="continuationSeparator" w:id="0">
    <w:p w:rsidR="00166E57" w:rsidRDefault="00166E57" w:rsidP="0016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57" w:rsidRDefault="0016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57" w:rsidRDefault="00166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57" w:rsidRDefault="00166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0BC4"/>
    <w:multiLevelType w:val="hybridMultilevel"/>
    <w:tmpl w:val="352668F6"/>
    <w:lvl w:ilvl="0" w:tplc="2C8A34E4">
      <w:start w:val="1"/>
      <w:numFmt w:val="bullet"/>
      <w:lvlText w:val="•"/>
      <w:lvlJc w:val="left"/>
      <w:pPr>
        <w:ind w:left="756" w:hanging="351"/>
      </w:pPr>
      <w:rPr>
        <w:rFonts w:ascii="Arial" w:eastAsia="Arial" w:hAnsi="Arial" w:hint="default"/>
        <w:color w:val="151515"/>
        <w:w w:val="151"/>
        <w:sz w:val="19"/>
        <w:szCs w:val="19"/>
      </w:rPr>
    </w:lvl>
    <w:lvl w:ilvl="1" w:tplc="65EC6A12">
      <w:start w:val="1"/>
      <w:numFmt w:val="bullet"/>
      <w:lvlText w:val="•"/>
      <w:lvlJc w:val="left"/>
      <w:pPr>
        <w:ind w:left="1593" w:hanging="351"/>
      </w:pPr>
      <w:rPr>
        <w:rFonts w:hint="default"/>
      </w:rPr>
    </w:lvl>
    <w:lvl w:ilvl="2" w:tplc="B90A37E0">
      <w:start w:val="1"/>
      <w:numFmt w:val="bullet"/>
      <w:lvlText w:val="•"/>
      <w:lvlJc w:val="left"/>
      <w:pPr>
        <w:ind w:left="2430" w:hanging="351"/>
      </w:pPr>
      <w:rPr>
        <w:rFonts w:hint="default"/>
      </w:rPr>
    </w:lvl>
    <w:lvl w:ilvl="3" w:tplc="E05A8306">
      <w:start w:val="1"/>
      <w:numFmt w:val="bullet"/>
      <w:lvlText w:val="•"/>
      <w:lvlJc w:val="left"/>
      <w:pPr>
        <w:ind w:left="3266" w:hanging="351"/>
      </w:pPr>
      <w:rPr>
        <w:rFonts w:hint="default"/>
      </w:rPr>
    </w:lvl>
    <w:lvl w:ilvl="4" w:tplc="26E6BC0E">
      <w:start w:val="1"/>
      <w:numFmt w:val="bullet"/>
      <w:lvlText w:val="•"/>
      <w:lvlJc w:val="left"/>
      <w:pPr>
        <w:ind w:left="4103" w:hanging="351"/>
      </w:pPr>
      <w:rPr>
        <w:rFonts w:hint="default"/>
      </w:rPr>
    </w:lvl>
    <w:lvl w:ilvl="5" w:tplc="0750F206">
      <w:start w:val="1"/>
      <w:numFmt w:val="bullet"/>
      <w:lvlText w:val="•"/>
      <w:lvlJc w:val="left"/>
      <w:pPr>
        <w:ind w:left="4940" w:hanging="351"/>
      </w:pPr>
      <w:rPr>
        <w:rFonts w:hint="default"/>
      </w:rPr>
    </w:lvl>
    <w:lvl w:ilvl="6" w:tplc="86783B8A">
      <w:start w:val="1"/>
      <w:numFmt w:val="bullet"/>
      <w:lvlText w:val="•"/>
      <w:lvlJc w:val="left"/>
      <w:pPr>
        <w:ind w:left="5777" w:hanging="351"/>
      </w:pPr>
      <w:rPr>
        <w:rFonts w:hint="default"/>
      </w:rPr>
    </w:lvl>
    <w:lvl w:ilvl="7" w:tplc="ACACC920">
      <w:start w:val="1"/>
      <w:numFmt w:val="bullet"/>
      <w:lvlText w:val="•"/>
      <w:lvlJc w:val="left"/>
      <w:pPr>
        <w:ind w:left="6613" w:hanging="351"/>
      </w:pPr>
      <w:rPr>
        <w:rFonts w:hint="default"/>
      </w:rPr>
    </w:lvl>
    <w:lvl w:ilvl="8" w:tplc="78640584">
      <w:start w:val="1"/>
      <w:numFmt w:val="bullet"/>
      <w:lvlText w:val="•"/>
      <w:lvlJc w:val="left"/>
      <w:pPr>
        <w:ind w:left="7450" w:hanging="351"/>
      </w:pPr>
      <w:rPr>
        <w:rFonts w:hint="default"/>
      </w:rPr>
    </w:lvl>
  </w:abstractNum>
  <w:abstractNum w:abstractNumId="1" w15:restartNumberingAfterBreak="0">
    <w:nsid w:val="6D134AB8"/>
    <w:multiLevelType w:val="hybridMultilevel"/>
    <w:tmpl w:val="92C2B94A"/>
    <w:lvl w:ilvl="0" w:tplc="BFC0CD28">
      <w:start w:val="1"/>
      <w:numFmt w:val="bullet"/>
      <w:lvlText w:val="•"/>
      <w:lvlJc w:val="left"/>
      <w:pPr>
        <w:ind w:left="814" w:hanging="346"/>
      </w:pPr>
      <w:rPr>
        <w:rFonts w:ascii="Arial" w:eastAsia="Arial" w:hAnsi="Arial" w:hint="default"/>
        <w:color w:val="151515"/>
        <w:w w:val="151"/>
        <w:sz w:val="19"/>
        <w:szCs w:val="19"/>
      </w:rPr>
    </w:lvl>
    <w:lvl w:ilvl="1" w:tplc="19FE7F9C">
      <w:start w:val="1"/>
      <w:numFmt w:val="bullet"/>
      <w:lvlText w:val="•"/>
      <w:lvlJc w:val="left"/>
      <w:pPr>
        <w:ind w:left="1645" w:hanging="346"/>
      </w:pPr>
      <w:rPr>
        <w:rFonts w:hint="default"/>
      </w:rPr>
    </w:lvl>
    <w:lvl w:ilvl="2" w:tplc="05EEB9E0">
      <w:start w:val="1"/>
      <w:numFmt w:val="bullet"/>
      <w:lvlText w:val="•"/>
      <w:lvlJc w:val="left"/>
      <w:pPr>
        <w:ind w:left="2476" w:hanging="346"/>
      </w:pPr>
      <w:rPr>
        <w:rFonts w:hint="default"/>
      </w:rPr>
    </w:lvl>
    <w:lvl w:ilvl="3" w:tplc="43520B74">
      <w:start w:val="1"/>
      <w:numFmt w:val="bullet"/>
      <w:lvlText w:val="•"/>
      <w:lvlJc w:val="left"/>
      <w:pPr>
        <w:ind w:left="3307" w:hanging="346"/>
      </w:pPr>
      <w:rPr>
        <w:rFonts w:hint="default"/>
      </w:rPr>
    </w:lvl>
    <w:lvl w:ilvl="4" w:tplc="B95C75A4">
      <w:start w:val="1"/>
      <w:numFmt w:val="bullet"/>
      <w:lvlText w:val="•"/>
      <w:lvlJc w:val="left"/>
      <w:pPr>
        <w:ind w:left="4138" w:hanging="346"/>
      </w:pPr>
      <w:rPr>
        <w:rFonts w:hint="default"/>
      </w:rPr>
    </w:lvl>
    <w:lvl w:ilvl="5" w:tplc="8BFE232A">
      <w:start w:val="1"/>
      <w:numFmt w:val="bullet"/>
      <w:lvlText w:val="•"/>
      <w:lvlJc w:val="left"/>
      <w:pPr>
        <w:ind w:left="4969" w:hanging="346"/>
      </w:pPr>
      <w:rPr>
        <w:rFonts w:hint="default"/>
      </w:rPr>
    </w:lvl>
    <w:lvl w:ilvl="6" w:tplc="8974BA6E">
      <w:start w:val="1"/>
      <w:numFmt w:val="bullet"/>
      <w:lvlText w:val="•"/>
      <w:lvlJc w:val="left"/>
      <w:pPr>
        <w:ind w:left="5800" w:hanging="346"/>
      </w:pPr>
      <w:rPr>
        <w:rFonts w:hint="default"/>
      </w:rPr>
    </w:lvl>
    <w:lvl w:ilvl="7" w:tplc="A890401C">
      <w:start w:val="1"/>
      <w:numFmt w:val="bullet"/>
      <w:lvlText w:val="•"/>
      <w:lvlJc w:val="left"/>
      <w:pPr>
        <w:ind w:left="6631" w:hanging="346"/>
      </w:pPr>
      <w:rPr>
        <w:rFonts w:hint="default"/>
      </w:rPr>
    </w:lvl>
    <w:lvl w:ilvl="8" w:tplc="C08C3370">
      <w:start w:val="1"/>
      <w:numFmt w:val="bullet"/>
      <w:lvlText w:val="•"/>
      <w:lvlJc w:val="left"/>
      <w:pPr>
        <w:ind w:left="7462" w:hanging="3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14E4"/>
    <w:rsid w:val="00166E57"/>
    <w:rsid w:val="0032726A"/>
    <w:rsid w:val="00935D62"/>
    <w:rsid w:val="00A6196A"/>
    <w:rsid w:val="00AA5B7D"/>
    <w:rsid w:val="00BB2181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6E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E57"/>
  </w:style>
  <w:style w:type="paragraph" w:styleId="Footer">
    <w:name w:val="footer"/>
    <w:basedOn w:val="Normal"/>
    <w:link w:val="FooterChar"/>
    <w:uiPriority w:val="99"/>
    <w:unhideWhenUsed/>
    <w:rsid w:val="00166E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2023-02-08T22:26:00Z</dcterms:created>
  <dcterms:modified xsi:type="dcterms:W3CDTF">2023-02-08T22:27:00Z</dcterms:modified>
</cp:coreProperties>
</file>