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984"/>
        <w:rPr>
          <w:rFonts w:ascii="Times New Roman"/>
          <w:sz w:val="20"/>
        </w:rPr>
      </w:pPr>
      <w:r>
        <w:rPr>
          <w:rFonts w:ascii="Times New Roman"/>
          <w:sz w:val="20"/>
        </w:rPr>
        <w:drawing>
          <wp:inline distT="0" distB="0" distL="0" distR="0">
            <wp:extent cx="2356539" cy="536448"/>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356539" cy="536448"/>
                    </a:xfrm>
                    <a:prstGeom prst="rect">
                      <a:avLst/>
                    </a:prstGeom>
                  </pic:spPr>
                </pic:pic>
              </a:graphicData>
            </a:graphic>
          </wp:inline>
        </w:drawing>
      </w:r>
      <w:r>
        <w:rPr>
          <w:rFonts w:ascii="Times New Roman"/>
          <w:sz w:val="20"/>
        </w:rPr>
      </w:r>
    </w:p>
    <w:p>
      <w:pPr>
        <w:pStyle w:val="BodyText"/>
        <w:rPr>
          <w:rFonts w:ascii="Times New Roman"/>
          <w:sz w:val="16"/>
        </w:rPr>
      </w:pPr>
    </w:p>
    <w:p>
      <w:pPr>
        <w:pStyle w:val="BodyText"/>
        <w:spacing w:before="56"/>
        <w:ind w:left="8842" w:right="952" w:hanging="5"/>
        <w:jc w:val="right"/>
      </w:pPr>
      <w:r>
        <w:rPr/>
        <w:t>30</w:t>
      </w:r>
      <w:r>
        <w:rPr>
          <w:spacing w:val="-13"/>
        </w:rPr>
        <w:t> </w:t>
      </w:r>
      <w:r>
        <w:rPr/>
        <w:t>September</w:t>
      </w:r>
      <w:r>
        <w:rPr>
          <w:spacing w:val="-12"/>
        </w:rPr>
        <w:t> </w:t>
      </w:r>
      <w:r>
        <w:rPr/>
        <w:t>2021 OBPR</w:t>
      </w:r>
      <w:r>
        <w:rPr>
          <w:spacing w:val="-3"/>
        </w:rPr>
        <w:t> </w:t>
      </w:r>
      <w:r>
        <w:rPr/>
        <w:t>Ref</w:t>
      </w:r>
      <w:r>
        <w:rPr>
          <w:spacing w:val="-2"/>
        </w:rPr>
        <w:t> </w:t>
      </w:r>
      <w:r>
        <w:rPr/>
        <w:t>ID:</w:t>
      </w:r>
      <w:r>
        <w:rPr>
          <w:spacing w:val="-2"/>
        </w:rPr>
        <w:t> 43841</w:t>
      </w:r>
    </w:p>
    <w:p>
      <w:pPr>
        <w:pStyle w:val="BodyText"/>
        <w:spacing w:before="5"/>
        <w:rPr>
          <w:sz w:val="17"/>
        </w:rPr>
      </w:pPr>
    </w:p>
    <w:p>
      <w:pPr>
        <w:pStyle w:val="BodyText"/>
        <w:spacing w:before="56"/>
        <w:ind w:left="954" w:right="8954"/>
      </w:pPr>
      <w:r>
        <w:rPr/>
        <w:t>Mr Jason Lange Executive</w:t>
      </w:r>
      <w:r>
        <w:rPr>
          <w:spacing w:val="-13"/>
        </w:rPr>
        <w:t> </w:t>
      </w:r>
      <w:r>
        <w:rPr/>
        <w:t>Director</w:t>
      </w:r>
    </w:p>
    <w:p>
      <w:pPr>
        <w:pStyle w:val="BodyText"/>
        <w:ind w:left="954"/>
      </w:pPr>
      <w:r>
        <w:rPr/>
        <w:t>Office</w:t>
      </w:r>
      <w:r>
        <w:rPr>
          <w:spacing w:val="-2"/>
        </w:rPr>
        <w:t> </w:t>
      </w:r>
      <w:r>
        <w:rPr/>
        <w:t>of</w:t>
      </w:r>
      <w:r>
        <w:rPr>
          <w:spacing w:val="-2"/>
        </w:rPr>
        <w:t> </w:t>
      </w:r>
      <w:r>
        <w:rPr/>
        <w:t>Best</w:t>
      </w:r>
      <w:r>
        <w:rPr>
          <w:spacing w:val="-1"/>
        </w:rPr>
        <w:t> </w:t>
      </w:r>
      <w:r>
        <w:rPr/>
        <w:t>Practice</w:t>
      </w:r>
      <w:r>
        <w:rPr>
          <w:spacing w:val="-1"/>
        </w:rPr>
        <w:t> </w:t>
      </w:r>
      <w:r>
        <w:rPr>
          <w:spacing w:val="-2"/>
        </w:rPr>
        <w:t>Regulation</w:t>
      </w:r>
    </w:p>
    <w:p>
      <w:pPr>
        <w:pStyle w:val="BodyText"/>
        <w:ind w:left="954" w:right="6372"/>
      </w:pPr>
      <w:r>
        <w:rPr/>
        <w:t>Department</w:t>
      </w:r>
      <w:r>
        <w:rPr>
          <w:spacing w:val="-6"/>
        </w:rPr>
        <w:t> </w:t>
      </w:r>
      <w:r>
        <w:rPr/>
        <w:t>of</w:t>
      </w:r>
      <w:r>
        <w:rPr>
          <w:spacing w:val="-7"/>
        </w:rPr>
        <w:t> </w:t>
      </w:r>
      <w:r>
        <w:rPr/>
        <w:t>the</w:t>
      </w:r>
      <w:r>
        <w:rPr>
          <w:spacing w:val="-7"/>
        </w:rPr>
        <w:t> </w:t>
      </w:r>
      <w:r>
        <w:rPr/>
        <w:t>Prime</w:t>
      </w:r>
      <w:r>
        <w:rPr>
          <w:spacing w:val="-7"/>
        </w:rPr>
        <w:t> </w:t>
      </w:r>
      <w:r>
        <w:rPr/>
        <w:t>Minister</w:t>
      </w:r>
      <w:r>
        <w:rPr>
          <w:spacing w:val="-6"/>
        </w:rPr>
        <w:t> </w:t>
      </w:r>
      <w:r>
        <w:rPr/>
        <w:t>and</w:t>
      </w:r>
      <w:r>
        <w:rPr>
          <w:spacing w:val="-7"/>
        </w:rPr>
        <w:t> </w:t>
      </w:r>
      <w:r>
        <w:rPr/>
        <w:t>Cabinet 1 National Circuit</w:t>
      </w:r>
    </w:p>
    <w:p>
      <w:pPr>
        <w:pStyle w:val="BodyText"/>
        <w:ind w:left="954"/>
      </w:pPr>
      <w:r>
        <w:rPr/>
        <w:t>BARTON</w:t>
      </w:r>
      <w:r>
        <w:rPr>
          <w:spacing w:val="-3"/>
        </w:rPr>
        <w:t> </w:t>
      </w:r>
      <w:r>
        <w:rPr/>
        <w:t>ACT</w:t>
      </w:r>
      <w:r>
        <w:rPr>
          <w:spacing w:val="-1"/>
        </w:rPr>
        <w:t> </w:t>
      </w:r>
      <w:r>
        <w:rPr>
          <w:spacing w:val="-4"/>
        </w:rPr>
        <w:t>2600</w:t>
      </w:r>
    </w:p>
    <w:p>
      <w:pPr>
        <w:pStyle w:val="BodyText"/>
      </w:pPr>
    </w:p>
    <w:p>
      <w:pPr>
        <w:pStyle w:val="BodyText"/>
        <w:ind w:left="954"/>
      </w:pPr>
      <w:r>
        <w:rPr/>
        <w:t>Email:</w:t>
      </w:r>
      <w:r>
        <w:rPr>
          <w:spacing w:val="-14"/>
        </w:rPr>
        <w:t> </w:t>
      </w:r>
      <w:hyperlink r:id="rId6">
        <w:r>
          <w:rPr>
            <w:color w:val="0000FF"/>
            <w:u w:val="single" w:color="0000FF"/>
          </w:rPr>
          <w:t>helpdesk-</w:t>
        </w:r>
        <w:r>
          <w:rPr>
            <w:color w:val="0000FF"/>
            <w:spacing w:val="-2"/>
            <w:u w:val="single" w:color="0000FF"/>
          </w:rPr>
          <w:t>OBPR@pmc.gov.au</w:t>
        </w:r>
      </w:hyperlink>
    </w:p>
    <w:p>
      <w:pPr>
        <w:pStyle w:val="BodyText"/>
        <w:rPr>
          <w:sz w:val="20"/>
        </w:rPr>
      </w:pPr>
    </w:p>
    <w:p>
      <w:pPr>
        <w:pStyle w:val="BodyText"/>
        <w:spacing w:before="1"/>
        <w:rPr>
          <w:sz w:val="17"/>
        </w:rPr>
      </w:pPr>
    </w:p>
    <w:p>
      <w:pPr>
        <w:pStyle w:val="BodyText"/>
        <w:spacing w:before="56"/>
        <w:ind w:left="954"/>
      </w:pPr>
      <w:r>
        <w:rPr/>
        <w:t>Dear</w:t>
      </w:r>
      <w:r>
        <w:rPr>
          <w:spacing w:val="-3"/>
        </w:rPr>
        <w:t> </w:t>
      </w:r>
      <w:r>
        <w:rPr/>
        <w:t>Mr</w:t>
      </w:r>
      <w:r>
        <w:rPr>
          <w:spacing w:val="-2"/>
        </w:rPr>
        <w:t> Lange</w:t>
      </w:r>
    </w:p>
    <w:p>
      <w:pPr>
        <w:pStyle w:val="BodyText"/>
        <w:spacing w:before="8"/>
        <w:rPr>
          <w:sz w:val="19"/>
        </w:rPr>
      </w:pPr>
    </w:p>
    <w:p>
      <w:pPr>
        <w:pStyle w:val="Title"/>
      </w:pPr>
      <w:r>
        <w:rPr/>
        <w:t>CERTIFICATION</w:t>
      </w:r>
      <w:r>
        <w:rPr>
          <w:spacing w:val="-4"/>
        </w:rPr>
        <w:t> </w:t>
      </w:r>
      <w:r>
        <w:rPr/>
        <w:t>OF</w:t>
      </w:r>
      <w:r>
        <w:rPr>
          <w:spacing w:val="-3"/>
        </w:rPr>
        <w:t> </w:t>
      </w:r>
      <w:r>
        <w:rPr/>
        <w:t>INDEPENDENT</w:t>
      </w:r>
      <w:r>
        <w:rPr>
          <w:spacing w:val="-3"/>
        </w:rPr>
        <w:t> </w:t>
      </w:r>
      <w:r>
        <w:rPr/>
        <w:t>REVIEW:</w:t>
      </w:r>
      <w:r>
        <w:rPr>
          <w:spacing w:val="-3"/>
        </w:rPr>
        <w:t> </w:t>
      </w:r>
      <w:r>
        <w:rPr/>
        <w:t>INQUIRY</w:t>
      </w:r>
      <w:r>
        <w:rPr>
          <w:spacing w:val="-4"/>
        </w:rPr>
        <w:t> </w:t>
      </w:r>
      <w:r>
        <w:rPr/>
        <w:t>INTO</w:t>
      </w:r>
      <w:r>
        <w:rPr>
          <w:spacing w:val="-4"/>
        </w:rPr>
        <w:t> </w:t>
      </w:r>
      <w:r>
        <w:rPr/>
        <w:t>FUTURE</w:t>
      </w:r>
      <w:r>
        <w:rPr>
          <w:spacing w:val="-4"/>
        </w:rPr>
        <w:t> </w:t>
      </w:r>
      <w:r>
        <w:rPr/>
        <w:t>DIRECTIONS</w:t>
      </w:r>
      <w:r>
        <w:rPr>
          <w:spacing w:val="-4"/>
        </w:rPr>
        <w:t> </w:t>
      </w:r>
      <w:r>
        <w:rPr/>
        <w:t>FOR</w:t>
      </w:r>
      <w:r>
        <w:rPr>
          <w:spacing w:val="-3"/>
        </w:rPr>
        <w:t> </w:t>
      </w:r>
      <w:r>
        <w:rPr/>
        <w:t>THE</w:t>
      </w:r>
      <w:r>
        <w:rPr>
          <w:spacing w:val="-4"/>
        </w:rPr>
        <w:t> </w:t>
      </w:r>
      <w:r>
        <w:rPr/>
        <w:t>CONSUMER DATA RIGHT</w:t>
      </w:r>
    </w:p>
    <w:p>
      <w:pPr>
        <w:pStyle w:val="BodyText"/>
        <w:spacing w:before="8"/>
        <w:rPr>
          <w:b/>
          <w:sz w:val="19"/>
        </w:rPr>
      </w:pPr>
    </w:p>
    <w:p>
      <w:pPr>
        <w:spacing w:before="0"/>
        <w:ind w:left="954" w:right="1021" w:firstLine="0"/>
        <w:jc w:val="left"/>
        <w:rPr>
          <w:sz w:val="22"/>
        </w:rPr>
      </w:pPr>
      <w:r>
        <w:rPr/>
        <w:pict>
          <v:shape style="position:absolute;margin-left:55.699001pt;margin-top:27.043627pt;width:478.5pt;height:28.1pt;mso-position-horizontal-relative:page;mso-position-vertical-relative:paragraph;z-index:-15855616" id="docshape1" coordorigin="1114,541" coordsize="9570,562" path="m10684,541l2854,541,2854,809,1114,809,1114,1103,8196,1103,8196,834,10684,834,10684,541xe" filled="true" fillcolor="#aaaaaa" stroked="false">
            <v:path arrowok="t"/>
            <v:fill type="solid"/>
            <w10:wrap type="none"/>
          </v:shape>
        </w:pict>
      </w:r>
      <w:r>
        <w:rPr>
          <w:sz w:val="22"/>
        </w:rPr>
        <w:t>On 23 December 2020, the Government announced the release of the Final Report of the </w:t>
      </w:r>
      <w:r>
        <w:rPr>
          <w:i/>
          <w:sz w:val="22"/>
        </w:rPr>
        <w:t>Inquiry into</w:t>
      </w:r>
      <w:r>
        <w:rPr>
          <w:i/>
          <w:sz w:val="22"/>
        </w:rPr>
        <w:t> Future</w:t>
      </w:r>
      <w:r>
        <w:rPr>
          <w:i/>
          <w:spacing w:val="-3"/>
          <w:sz w:val="22"/>
        </w:rPr>
        <w:t> </w:t>
      </w:r>
      <w:r>
        <w:rPr>
          <w:i/>
          <w:sz w:val="22"/>
        </w:rPr>
        <w:t>Directions</w:t>
      </w:r>
      <w:r>
        <w:rPr>
          <w:i/>
          <w:spacing w:val="-3"/>
          <w:sz w:val="22"/>
        </w:rPr>
        <w:t> </w:t>
      </w:r>
      <w:r>
        <w:rPr>
          <w:i/>
          <w:sz w:val="22"/>
        </w:rPr>
        <w:t>for</w:t>
      </w:r>
      <w:r>
        <w:rPr>
          <w:i/>
          <w:spacing w:val="-3"/>
          <w:sz w:val="22"/>
        </w:rPr>
        <w:t> </w:t>
      </w:r>
      <w:r>
        <w:rPr>
          <w:i/>
          <w:sz w:val="22"/>
        </w:rPr>
        <w:t>the</w:t>
      </w:r>
      <w:r>
        <w:rPr>
          <w:i/>
          <w:spacing w:val="-3"/>
          <w:sz w:val="22"/>
        </w:rPr>
        <w:t> </w:t>
      </w:r>
      <w:r>
        <w:rPr>
          <w:i/>
          <w:sz w:val="22"/>
        </w:rPr>
        <w:t>Consumer</w:t>
      </w:r>
      <w:r>
        <w:rPr>
          <w:i/>
          <w:spacing w:val="-3"/>
          <w:sz w:val="22"/>
        </w:rPr>
        <w:t> </w:t>
      </w:r>
      <w:r>
        <w:rPr>
          <w:i/>
          <w:sz w:val="22"/>
        </w:rPr>
        <w:t>Data</w:t>
      </w:r>
      <w:r>
        <w:rPr>
          <w:i/>
          <w:spacing w:val="-3"/>
          <w:sz w:val="22"/>
        </w:rPr>
        <w:t> </w:t>
      </w:r>
      <w:r>
        <w:rPr>
          <w:i/>
          <w:sz w:val="22"/>
        </w:rPr>
        <w:t>Right</w:t>
      </w:r>
      <w:r>
        <w:rPr>
          <w:i/>
          <w:spacing w:val="-3"/>
          <w:sz w:val="22"/>
        </w:rPr>
        <w:t> </w:t>
      </w:r>
      <w:r>
        <w:rPr>
          <w:sz w:val="22"/>
        </w:rPr>
        <w:t>(the</w:t>
      </w:r>
      <w:r>
        <w:rPr>
          <w:spacing w:val="-3"/>
          <w:sz w:val="22"/>
        </w:rPr>
        <w:t> </w:t>
      </w:r>
      <w:r>
        <w:rPr>
          <w:sz w:val="22"/>
        </w:rPr>
        <w:t>Inquiry)</w:t>
      </w:r>
      <w:r>
        <w:rPr>
          <w:spacing w:val="-2"/>
          <w:sz w:val="22"/>
        </w:rPr>
        <w:t> </w:t>
      </w:r>
      <w:r>
        <w:rPr>
          <w:sz w:val="22"/>
        </w:rPr>
        <w:t>led</w:t>
      </w:r>
      <w:r>
        <w:rPr>
          <w:spacing w:val="-3"/>
          <w:sz w:val="22"/>
        </w:rPr>
        <w:t> </w:t>
      </w:r>
      <w:r>
        <w:rPr>
          <w:sz w:val="22"/>
        </w:rPr>
        <w:t>by</w:t>
      </w:r>
      <w:r>
        <w:rPr>
          <w:spacing w:val="-3"/>
          <w:sz w:val="22"/>
        </w:rPr>
        <w:t> </w:t>
      </w:r>
      <w:r>
        <w:rPr>
          <w:sz w:val="22"/>
        </w:rPr>
        <w:t>Mr</w:t>
      </w:r>
      <w:r>
        <w:rPr>
          <w:spacing w:val="-2"/>
          <w:sz w:val="22"/>
        </w:rPr>
        <w:t> </w:t>
      </w:r>
      <w:r>
        <w:rPr>
          <w:sz w:val="22"/>
        </w:rPr>
        <w:t>Scott</w:t>
      </w:r>
      <w:r>
        <w:rPr>
          <w:spacing w:val="-2"/>
          <w:sz w:val="22"/>
        </w:rPr>
        <w:t> </w:t>
      </w:r>
      <w:r>
        <w:rPr>
          <w:sz w:val="22"/>
        </w:rPr>
        <w:t>Farrell.</w:t>
      </w:r>
      <w:r>
        <w:rPr>
          <w:spacing w:val="-3"/>
          <w:sz w:val="22"/>
        </w:rPr>
        <w:t> </w:t>
      </w:r>
      <w:r>
        <w:rPr>
          <w:sz w:val="22"/>
        </w:rPr>
        <w:t>The</w:t>
      </w:r>
      <w:r>
        <w:rPr>
          <w:spacing w:val="-3"/>
          <w:sz w:val="22"/>
        </w:rPr>
        <w:t> </w:t>
      </w:r>
      <w:r>
        <w:rPr>
          <w:sz w:val="22"/>
        </w:rPr>
        <w:t>Inquiry</w:t>
      </w:r>
      <w:r>
        <w:rPr>
          <w:spacing w:val="-3"/>
          <w:sz w:val="22"/>
        </w:rPr>
        <w:t> </w:t>
      </w:r>
      <w:r>
        <w:rPr>
          <w:sz w:val="22"/>
        </w:rPr>
        <w:t>made</w:t>
      </w:r>
      <w:r>
        <w:rPr>
          <w:spacing w:val="-2"/>
          <w:sz w:val="22"/>
        </w:rPr>
        <w:t> </w:t>
      </w:r>
      <w:r>
        <w:rPr>
          <w:sz w:val="22"/>
        </w:rPr>
        <w:t>100 </w:t>
      </w:r>
      <w:r>
        <w:rPr>
          <w:spacing w:val="-2"/>
          <w:sz w:val="22"/>
        </w:rPr>
        <w:t>recommendations.</w:t>
      </w:r>
    </w:p>
    <w:p>
      <w:pPr>
        <w:pStyle w:val="BodyText"/>
      </w:pPr>
    </w:p>
    <w:p>
      <w:pPr>
        <w:pStyle w:val="BodyText"/>
        <w:spacing w:before="8"/>
        <w:rPr>
          <w:sz w:val="19"/>
        </w:rPr>
      </w:pPr>
    </w:p>
    <w:p>
      <w:pPr>
        <w:pStyle w:val="BodyText"/>
        <w:ind w:left="954" w:right="1021"/>
      </w:pPr>
      <w:r>
        <w:rPr/>
        <w:t>I</w:t>
      </w:r>
      <w:r>
        <w:rPr>
          <w:spacing w:val="-2"/>
        </w:rPr>
        <w:t> </w:t>
      </w:r>
      <w:r>
        <w:rPr/>
        <w:t>am</w:t>
      </w:r>
      <w:r>
        <w:rPr>
          <w:spacing w:val="-3"/>
        </w:rPr>
        <w:t> </w:t>
      </w:r>
      <w:r>
        <w:rPr/>
        <w:t>writing</w:t>
      </w:r>
      <w:r>
        <w:rPr>
          <w:spacing w:val="-2"/>
        </w:rPr>
        <w:t> </w:t>
      </w:r>
      <w:r>
        <w:rPr/>
        <w:t>to</w:t>
      </w:r>
      <w:r>
        <w:rPr>
          <w:spacing w:val="-2"/>
        </w:rPr>
        <w:t> </w:t>
      </w:r>
      <w:r>
        <w:rPr/>
        <w:t>certify</w:t>
      </w:r>
      <w:r>
        <w:rPr>
          <w:spacing w:val="-3"/>
        </w:rPr>
        <w:t> </w:t>
      </w:r>
      <w:r>
        <w:rPr/>
        <w:t>that</w:t>
      </w:r>
      <w:r>
        <w:rPr>
          <w:spacing w:val="-3"/>
        </w:rPr>
        <w:t> </w:t>
      </w:r>
      <w:r>
        <w:rPr/>
        <w:t>the</w:t>
      </w:r>
      <w:r>
        <w:rPr>
          <w:spacing w:val="-2"/>
        </w:rPr>
        <w:t> </w:t>
      </w:r>
      <w:r>
        <w:rPr/>
        <w:t>following</w:t>
      </w:r>
      <w:r>
        <w:rPr>
          <w:spacing w:val="-3"/>
        </w:rPr>
        <w:t> </w:t>
      </w:r>
      <w:r>
        <w:rPr/>
        <w:t>attachments</w:t>
      </w:r>
      <w:r>
        <w:rPr>
          <w:spacing w:val="-3"/>
        </w:rPr>
        <w:t> </w:t>
      </w:r>
      <w:r>
        <w:rPr/>
        <w:t>have</w:t>
      </w:r>
      <w:r>
        <w:rPr>
          <w:spacing w:val="-3"/>
        </w:rPr>
        <w:t> </w:t>
      </w:r>
      <w:r>
        <w:rPr/>
        <w:t>undertaken</w:t>
      </w:r>
      <w:r>
        <w:rPr>
          <w:spacing w:val="-2"/>
        </w:rPr>
        <w:t> </w:t>
      </w:r>
      <w:r>
        <w:rPr/>
        <w:t>a</w:t>
      </w:r>
      <w:r>
        <w:rPr>
          <w:spacing w:val="-3"/>
        </w:rPr>
        <w:t> </w:t>
      </w:r>
      <w:r>
        <w:rPr/>
        <w:t>process</w:t>
      </w:r>
      <w:r>
        <w:rPr>
          <w:spacing w:val="-3"/>
        </w:rPr>
        <w:t> </w:t>
      </w:r>
      <w:r>
        <w:rPr/>
        <w:t>and</w:t>
      </w:r>
      <w:r>
        <w:rPr>
          <w:spacing w:val="-2"/>
        </w:rPr>
        <w:t> </w:t>
      </w:r>
      <w:r>
        <w:rPr/>
        <w:t>analysis</w:t>
      </w:r>
      <w:r>
        <w:rPr>
          <w:spacing w:val="-3"/>
        </w:rPr>
        <w:t> </w:t>
      </w:r>
      <w:r>
        <w:rPr/>
        <w:t>equivalent</w:t>
      </w:r>
      <w:r>
        <w:rPr>
          <w:spacing w:val="-3"/>
        </w:rPr>
        <w:t> </w:t>
      </w:r>
      <w:r>
        <w:rPr/>
        <w:t>to a Regulation Impact Statement (RIS) and meet best practice consistent with the </w:t>
      </w:r>
      <w:r>
        <w:rPr>
          <w:i/>
        </w:rPr>
        <w:t>Australian Government</w:t>
      </w:r>
      <w:r>
        <w:rPr>
          <w:i/>
        </w:rPr>
        <w:t> Guide to Regulation</w:t>
      </w:r>
      <w:r>
        <w:rPr/>
        <w:t>:</w:t>
      </w:r>
    </w:p>
    <w:p>
      <w:pPr>
        <w:pStyle w:val="BodyText"/>
        <w:spacing w:before="8"/>
        <w:rPr>
          <w:sz w:val="19"/>
        </w:rPr>
      </w:pPr>
    </w:p>
    <w:p>
      <w:pPr>
        <w:pStyle w:val="ListParagraph"/>
        <w:numPr>
          <w:ilvl w:val="0"/>
          <w:numId w:val="1"/>
        </w:numPr>
        <w:tabs>
          <w:tab w:pos="1473" w:val="left" w:leader="none"/>
          <w:tab w:pos="1475" w:val="left" w:leader="none"/>
        </w:tabs>
        <w:spacing w:line="240" w:lineRule="auto" w:before="0" w:after="0"/>
        <w:ind w:left="1474" w:right="0" w:hanging="521"/>
        <w:jc w:val="left"/>
        <w:rPr>
          <w:sz w:val="22"/>
        </w:rPr>
      </w:pPr>
      <w:r>
        <w:rPr>
          <w:sz w:val="22"/>
        </w:rPr>
        <w:t>Issues</w:t>
      </w:r>
      <w:r>
        <w:rPr>
          <w:spacing w:val="-2"/>
          <w:sz w:val="22"/>
        </w:rPr>
        <w:t> </w:t>
      </w:r>
      <w:r>
        <w:rPr>
          <w:sz w:val="22"/>
        </w:rPr>
        <w:t>Paper</w:t>
      </w:r>
      <w:r>
        <w:rPr>
          <w:spacing w:val="-2"/>
          <w:sz w:val="22"/>
        </w:rPr>
        <w:t> </w:t>
      </w:r>
      <w:r>
        <w:rPr>
          <w:sz w:val="22"/>
        </w:rPr>
        <w:t>of</w:t>
      </w:r>
      <w:r>
        <w:rPr>
          <w:spacing w:val="-3"/>
          <w:sz w:val="22"/>
        </w:rPr>
        <w:t> </w:t>
      </w:r>
      <w:r>
        <w:rPr>
          <w:sz w:val="22"/>
        </w:rPr>
        <w:t>the</w:t>
      </w:r>
      <w:r>
        <w:rPr>
          <w:spacing w:val="-1"/>
          <w:sz w:val="22"/>
        </w:rPr>
        <w:t> </w:t>
      </w:r>
      <w:r>
        <w:rPr>
          <w:i/>
          <w:sz w:val="22"/>
        </w:rPr>
        <w:t>Inquiry</w:t>
      </w:r>
      <w:r>
        <w:rPr>
          <w:i/>
          <w:spacing w:val="-2"/>
          <w:sz w:val="22"/>
        </w:rPr>
        <w:t> </w:t>
      </w:r>
      <w:r>
        <w:rPr>
          <w:i/>
          <w:sz w:val="22"/>
        </w:rPr>
        <w:t>into</w:t>
      </w:r>
      <w:r>
        <w:rPr>
          <w:i/>
          <w:spacing w:val="-1"/>
          <w:sz w:val="22"/>
        </w:rPr>
        <w:t> </w:t>
      </w:r>
      <w:r>
        <w:rPr>
          <w:i/>
          <w:sz w:val="22"/>
        </w:rPr>
        <w:t>Future</w:t>
      </w:r>
      <w:r>
        <w:rPr>
          <w:i/>
          <w:spacing w:val="-1"/>
          <w:sz w:val="22"/>
        </w:rPr>
        <w:t> </w:t>
      </w:r>
      <w:r>
        <w:rPr>
          <w:i/>
          <w:sz w:val="22"/>
        </w:rPr>
        <w:t>Directions</w:t>
      </w:r>
      <w:r>
        <w:rPr>
          <w:i/>
          <w:spacing w:val="-3"/>
          <w:sz w:val="22"/>
        </w:rPr>
        <w:t> </w:t>
      </w:r>
      <w:r>
        <w:rPr>
          <w:i/>
          <w:sz w:val="22"/>
        </w:rPr>
        <w:t>for</w:t>
      </w:r>
      <w:r>
        <w:rPr>
          <w:i/>
          <w:spacing w:val="-2"/>
          <w:sz w:val="22"/>
        </w:rPr>
        <w:t> </w:t>
      </w:r>
      <w:r>
        <w:rPr>
          <w:i/>
          <w:sz w:val="22"/>
        </w:rPr>
        <w:t>the</w:t>
      </w:r>
      <w:r>
        <w:rPr>
          <w:i/>
          <w:spacing w:val="-2"/>
          <w:sz w:val="22"/>
        </w:rPr>
        <w:t> </w:t>
      </w:r>
      <w:r>
        <w:rPr>
          <w:i/>
          <w:sz w:val="22"/>
        </w:rPr>
        <w:t>Consumer</w:t>
      </w:r>
      <w:r>
        <w:rPr>
          <w:i/>
          <w:spacing w:val="-2"/>
          <w:sz w:val="22"/>
        </w:rPr>
        <w:t> </w:t>
      </w:r>
      <w:r>
        <w:rPr>
          <w:i/>
          <w:sz w:val="22"/>
        </w:rPr>
        <w:t>Data</w:t>
      </w:r>
      <w:r>
        <w:rPr>
          <w:i/>
          <w:spacing w:val="-2"/>
          <w:sz w:val="22"/>
        </w:rPr>
        <w:t> Right</w:t>
      </w:r>
      <w:r>
        <w:rPr>
          <w:spacing w:val="-2"/>
          <w:sz w:val="22"/>
        </w:rPr>
        <w:t>;</w:t>
      </w:r>
    </w:p>
    <w:p>
      <w:pPr>
        <w:pStyle w:val="BodyText"/>
        <w:spacing w:before="8"/>
        <w:rPr>
          <w:sz w:val="19"/>
        </w:rPr>
      </w:pPr>
    </w:p>
    <w:p>
      <w:pPr>
        <w:pStyle w:val="ListParagraph"/>
        <w:numPr>
          <w:ilvl w:val="0"/>
          <w:numId w:val="1"/>
        </w:numPr>
        <w:tabs>
          <w:tab w:pos="1473" w:val="left" w:leader="none"/>
          <w:tab w:pos="1475" w:val="left" w:leader="none"/>
        </w:tabs>
        <w:spacing w:line="240" w:lineRule="auto" w:before="0" w:after="0"/>
        <w:ind w:left="1474" w:right="0" w:hanging="521"/>
        <w:jc w:val="left"/>
        <w:rPr>
          <w:sz w:val="22"/>
        </w:rPr>
      </w:pPr>
      <w:r>
        <w:rPr>
          <w:sz w:val="22"/>
        </w:rPr>
        <w:t>Final</w:t>
      </w:r>
      <w:r>
        <w:rPr>
          <w:spacing w:val="-5"/>
          <w:sz w:val="22"/>
        </w:rPr>
        <w:t> </w:t>
      </w:r>
      <w:r>
        <w:rPr>
          <w:sz w:val="22"/>
        </w:rPr>
        <w:t>Report</w:t>
      </w:r>
      <w:r>
        <w:rPr>
          <w:spacing w:val="-2"/>
          <w:sz w:val="22"/>
        </w:rPr>
        <w:t> </w:t>
      </w:r>
      <w:r>
        <w:rPr>
          <w:sz w:val="22"/>
        </w:rPr>
        <w:t>of</w:t>
      </w:r>
      <w:r>
        <w:rPr>
          <w:spacing w:val="-4"/>
          <w:sz w:val="22"/>
        </w:rPr>
        <w:t> </w:t>
      </w:r>
      <w:r>
        <w:rPr>
          <w:sz w:val="22"/>
        </w:rPr>
        <w:t>the</w:t>
      </w:r>
      <w:r>
        <w:rPr>
          <w:spacing w:val="-2"/>
          <w:sz w:val="22"/>
        </w:rPr>
        <w:t> </w:t>
      </w:r>
      <w:r>
        <w:rPr>
          <w:i/>
          <w:sz w:val="22"/>
        </w:rPr>
        <w:t>Inquiry</w:t>
      </w:r>
      <w:r>
        <w:rPr>
          <w:i/>
          <w:spacing w:val="-4"/>
          <w:sz w:val="22"/>
        </w:rPr>
        <w:t> </w:t>
      </w:r>
      <w:r>
        <w:rPr>
          <w:i/>
          <w:sz w:val="22"/>
        </w:rPr>
        <w:t>into</w:t>
      </w:r>
      <w:r>
        <w:rPr>
          <w:i/>
          <w:spacing w:val="-3"/>
          <w:sz w:val="22"/>
        </w:rPr>
        <w:t> </w:t>
      </w:r>
      <w:r>
        <w:rPr>
          <w:i/>
          <w:sz w:val="22"/>
        </w:rPr>
        <w:t>Future</w:t>
      </w:r>
      <w:r>
        <w:rPr>
          <w:i/>
          <w:spacing w:val="-3"/>
          <w:sz w:val="22"/>
        </w:rPr>
        <w:t> </w:t>
      </w:r>
      <w:r>
        <w:rPr>
          <w:i/>
          <w:sz w:val="22"/>
        </w:rPr>
        <w:t>Directions</w:t>
      </w:r>
      <w:r>
        <w:rPr>
          <w:i/>
          <w:spacing w:val="-4"/>
          <w:sz w:val="22"/>
        </w:rPr>
        <w:t> </w:t>
      </w:r>
      <w:r>
        <w:rPr>
          <w:i/>
          <w:sz w:val="22"/>
        </w:rPr>
        <w:t>for</w:t>
      </w:r>
      <w:r>
        <w:rPr>
          <w:i/>
          <w:spacing w:val="-3"/>
          <w:sz w:val="22"/>
        </w:rPr>
        <w:t> </w:t>
      </w:r>
      <w:r>
        <w:rPr>
          <w:i/>
          <w:sz w:val="22"/>
        </w:rPr>
        <w:t>the</w:t>
      </w:r>
      <w:r>
        <w:rPr>
          <w:i/>
          <w:spacing w:val="-4"/>
          <w:sz w:val="22"/>
        </w:rPr>
        <w:t> </w:t>
      </w:r>
      <w:r>
        <w:rPr>
          <w:i/>
          <w:sz w:val="22"/>
        </w:rPr>
        <w:t>Consumer</w:t>
      </w:r>
      <w:r>
        <w:rPr>
          <w:i/>
          <w:spacing w:val="-3"/>
          <w:sz w:val="22"/>
        </w:rPr>
        <w:t> </w:t>
      </w:r>
      <w:r>
        <w:rPr>
          <w:i/>
          <w:sz w:val="22"/>
        </w:rPr>
        <w:t>Data</w:t>
      </w:r>
      <w:r>
        <w:rPr>
          <w:i/>
          <w:spacing w:val="-3"/>
          <w:sz w:val="22"/>
        </w:rPr>
        <w:t> </w:t>
      </w:r>
      <w:r>
        <w:rPr>
          <w:i/>
          <w:spacing w:val="-2"/>
          <w:sz w:val="22"/>
        </w:rPr>
        <w:t>Right</w:t>
      </w:r>
      <w:r>
        <w:rPr>
          <w:spacing w:val="-2"/>
          <w:sz w:val="22"/>
        </w:rPr>
        <w:t>;</w:t>
      </w:r>
    </w:p>
    <w:p>
      <w:pPr>
        <w:pStyle w:val="BodyText"/>
        <w:spacing w:before="8"/>
        <w:rPr>
          <w:sz w:val="19"/>
        </w:rPr>
      </w:pPr>
    </w:p>
    <w:p>
      <w:pPr>
        <w:pStyle w:val="ListParagraph"/>
        <w:numPr>
          <w:ilvl w:val="0"/>
          <w:numId w:val="1"/>
        </w:numPr>
        <w:tabs>
          <w:tab w:pos="1473" w:val="left" w:leader="none"/>
          <w:tab w:pos="1475" w:val="left" w:leader="none"/>
        </w:tabs>
        <w:spacing w:line="240" w:lineRule="auto" w:before="0" w:after="0"/>
        <w:ind w:left="1474" w:right="0" w:hanging="521"/>
        <w:jc w:val="left"/>
        <w:rPr>
          <w:sz w:val="22"/>
        </w:rPr>
      </w:pPr>
      <w:r>
        <w:rPr>
          <w:sz w:val="22"/>
        </w:rPr>
        <w:t>supplementary</w:t>
      </w:r>
      <w:r>
        <w:rPr>
          <w:spacing w:val="-4"/>
          <w:sz w:val="22"/>
        </w:rPr>
        <w:t> </w:t>
      </w:r>
      <w:r>
        <w:rPr>
          <w:sz w:val="22"/>
        </w:rPr>
        <w:t>analysis;</w:t>
      </w:r>
      <w:r>
        <w:rPr>
          <w:spacing w:val="-4"/>
          <w:sz w:val="22"/>
        </w:rPr>
        <w:t> </w:t>
      </w:r>
      <w:r>
        <w:rPr>
          <w:spacing w:val="-5"/>
          <w:sz w:val="22"/>
        </w:rPr>
        <w:t>and</w:t>
      </w:r>
    </w:p>
    <w:p>
      <w:pPr>
        <w:pStyle w:val="BodyText"/>
        <w:spacing w:before="8"/>
        <w:rPr>
          <w:sz w:val="19"/>
        </w:rPr>
      </w:pPr>
    </w:p>
    <w:p>
      <w:pPr>
        <w:pStyle w:val="ListParagraph"/>
        <w:numPr>
          <w:ilvl w:val="0"/>
          <w:numId w:val="1"/>
        </w:numPr>
        <w:tabs>
          <w:tab w:pos="1473" w:val="left" w:leader="none"/>
          <w:tab w:pos="1475" w:val="left" w:leader="none"/>
        </w:tabs>
        <w:spacing w:line="240" w:lineRule="auto" w:before="0" w:after="0"/>
        <w:ind w:left="1474" w:right="0" w:hanging="521"/>
        <w:jc w:val="left"/>
        <w:rPr>
          <w:sz w:val="22"/>
        </w:rPr>
      </w:pPr>
      <w:r>
        <w:rPr>
          <w:sz w:val="22"/>
        </w:rPr>
        <w:t>the</w:t>
      </w:r>
      <w:r>
        <w:rPr>
          <w:spacing w:val="-3"/>
          <w:sz w:val="22"/>
        </w:rPr>
        <w:t> </w:t>
      </w:r>
      <w:r>
        <w:rPr>
          <w:sz w:val="22"/>
        </w:rPr>
        <w:t>decision</w:t>
      </w:r>
      <w:r>
        <w:rPr>
          <w:spacing w:val="-3"/>
          <w:sz w:val="22"/>
        </w:rPr>
        <w:t> </w:t>
      </w:r>
      <w:r>
        <w:rPr>
          <w:spacing w:val="-4"/>
          <w:sz w:val="22"/>
        </w:rPr>
        <w:t>map.</w:t>
      </w:r>
    </w:p>
    <w:p>
      <w:pPr>
        <w:pStyle w:val="BodyText"/>
        <w:spacing w:before="8"/>
        <w:rPr>
          <w:sz w:val="19"/>
        </w:rPr>
      </w:pPr>
    </w:p>
    <w:p>
      <w:pPr>
        <w:pStyle w:val="BodyText"/>
        <w:ind w:left="954" w:right="1021"/>
      </w:pPr>
      <w:r>
        <w:rPr/>
        <w:t>I certify that these documents adequately address all seven RIS questions outlined in the </w:t>
      </w:r>
      <w:r>
        <w:rPr>
          <w:i/>
        </w:rPr>
        <w:t>Guide to</w:t>
      </w:r>
      <w:r>
        <w:rPr>
          <w:i/>
        </w:rPr>
        <w:t> Regulatory</w:t>
      </w:r>
      <w:r>
        <w:rPr>
          <w:i/>
          <w:spacing w:val="-3"/>
        </w:rPr>
        <w:t> </w:t>
      </w:r>
      <w:r>
        <w:rPr>
          <w:i/>
        </w:rPr>
        <w:t>Impact</w:t>
      </w:r>
      <w:r>
        <w:rPr>
          <w:i/>
          <w:spacing w:val="-3"/>
        </w:rPr>
        <w:t> </w:t>
      </w:r>
      <w:r>
        <w:rPr>
          <w:i/>
        </w:rPr>
        <w:t>Analysis</w:t>
      </w:r>
      <w:r>
        <w:rPr>
          <w:i/>
          <w:spacing w:val="-4"/>
        </w:rPr>
        <w:t> </w:t>
      </w:r>
      <w:r>
        <w:rPr/>
        <w:t>for</w:t>
      </w:r>
      <w:r>
        <w:rPr>
          <w:spacing w:val="-4"/>
        </w:rPr>
        <w:t> </w:t>
      </w:r>
      <w:r>
        <w:rPr/>
        <w:t>the</w:t>
      </w:r>
      <w:r>
        <w:rPr>
          <w:spacing w:val="-3"/>
        </w:rPr>
        <w:t> </w:t>
      </w:r>
      <w:r>
        <w:rPr/>
        <w:t>matters</w:t>
      </w:r>
      <w:r>
        <w:rPr>
          <w:spacing w:val="-3"/>
        </w:rPr>
        <w:t> </w:t>
      </w:r>
      <w:r>
        <w:rPr/>
        <w:t>covered</w:t>
      </w:r>
      <w:r>
        <w:rPr>
          <w:spacing w:val="-3"/>
        </w:rPr>
        <w:t> </w:t>
      </w:r>
      <w:r>
        <w:rPr/>
        <w:t>by</w:t>
      </w:r>
      <w:r>
        <w:rPr>
          <w:spacing w:val="-4"/>
        </w:rPr>
        <w:t> </w:t>
      </w:r>
      <w:r>
        <w:rPr/>
        <w:t>the</w:t>
      </w:r>
      <w:r>
        <w:rPr>
          <w:spacing w:val="-4"/>
        </w:rPr>
        <w:t> </w:t>
      </w:r>
      <w:r>
        <w:rPr/>
        <w:t>Inquiry’s</w:t>
      </w:r>
      <w:r>
        <w:rPr>
          <w:spacing w:val="-3"/>
        </w:rPr>
        <w:t> </w:t>
      </w:r>
      <w:r>
        <w:rPr/>
        <w:t>recommendations,</w:t>
      </w:r>
      <w:r>
        <w:rPr>
          <w:spacing w:val="-4"/>
        </w:rPr>
        <w:t> </w:t>
      </w:r>
      <w:r>
        <w:rPr/>
        <w:t>and</w:t>
      </w:r>
      <w:r>
        <w:rPr>
          <w:spacing w:val="-4"/>
        </w:rPr>
        <w:t> </w:t>
      </w:r>
      <w:r>
        <w:rPr/>
        <w:t>are</w:t>
      </w:r>
      <w:r>
        <w:rPr>
          <w:spacing w:val="-4"/>
        </w:rPr>
        <w:t> </w:t>
      </w:r>
      <w:r>
        <w:rPr/>
        <w:t>submitted to the Office of Best Practice Regulation.</w:t>
      </w:r>
    </w:p>
    <w:p>
      <w:pPr>
        <w:pStyle w:val="BodyText"/>
        <w:spacing w:before="8"/>
        <w:rPr>
          <w:sz w:val="19"/>
        </w:rPr>
      </w:pPr>
    </w:p>
    <w:p>
      <w:pPr>
        <w:pStyle w:val="BodyText"/>
        <w:ind w:left="954" w:right="1021"/>
      </w:pPr>
      <w:r>
        <w:rPr/>
        <w:t>During the course of the Inquiry, including consultation on its Issues Paper and preparation of its Final Report, views of affected stakeholder groups were considered. The Inquiry received 73 submissions with public consultation, and consulted with over 300 representatives from a wide range of interested organisations and groups, including the banking and energy sectors, consumer interest groups, payment systems and service providers, fintechs, mortgage and finance providers, financial service providers and overseas counterparts. Following the release of the Inquiry’s Final Report in December 2020, Treasury conducted</w:t>
      </w:r>
      <w:r>
        <w:rPr>
          <w:spacing w:val="-4"/>
        </w:rPr>
        <w:t> </w:t>
      </w:r>
      <w:r>
        <w:rPr/>
        <w:t>further</w:t>
      </w:r>
      <w:r>
        <w:rPr>
          <w:spacing w:val="-3"/>
        </w:rPr>
        <w:t> </w:t>
      </w:r>
      <w:r>
        <w:rPr/>
        <w:t>targeted</w:t>
      </w:r>
      <w:r>
        <w:rPr>
          <w:spacing w:val="-3"/>
        </w:rPr>
        <w:t> </w:t>
      </w:r>
      <w:r>
        <w:rPr/>
        <w:t>and</w:t>
      </w:r>
      <w:r>
        <w:rPr>
          <w:spacing w:val="-3"/>
        </w:rPr>
        <w:t> </w:t>
      </w:r>
      <w:r>
        <w:rPr/>
        <w:t>public</w:t>
      </w:r>
      <w:r>
        <w:rPr>
          <w:spacing w:val="-3"/>
        </w:rPr>
        <w:t> </w:t>
      </w:r>
      <w:r>
        <w:rPr/>
        <w:t>consultation</w:t>
      </w:r>
      <w:r>
        <w:rPr>
          <w:spacing w:val="-3"/>
        </w:rPr>
        <w:t> </w:t>
      </w:r>
      <w:r>
        <w:rPr/>
        <w:t>to</w:t>
      </w:r>
      <w:r>
        <w:rPr>
          <w:spacing w:val="-3"/>
        </w:rPr>
        <w:t> </w:t>
      </w:r>
      <w:r>
        <w:rPr/>
        <w:t>inform</w:t>
      </w:r>
      <w:r>
        <w:rPr>
          <w:spacing w:val="-4"/>
        </w:rPr>
        <w:t> </w:t>
      </w:r>
      <w:r>
        <w:rPr/>
        <w:t>the</w:t>
      </w:r>
      <w:r>
        <w:rPr>
          <w:spacing w:val="-3"/>
        </w:rPr>
        <w:t> </w:t>
      </w:r>
      <w:r>
        <w:rPr/>
        <w:t>Government’s</w:t>
      </w:r>
      <w:r>
        <w:rPr>
          <w:spacing w:val="-3"/>
        </w:rPr>
        <w:t> </w:t>
      </w:r>
      <w:r>
        <w:rPr/>
        <w:t>response</w:t>
      </w:r>
      <w:r>
        <w:rPr>
          <w:spacing w:val="-4"/>
        </w:rPr>
        <w:t> </w:t>
      </w:r>
      <w:r>
        <w:rPr/>
        <w:t>over</w:t>
      </w:r>
      <w:r>
        <w:rPr>
          <w:spacing w:val="-4"/>
        </w:rPr>
        <w:t> </w:t>
      </w:r>
      <w:r>
        <w:rPr/>
        <w:t>a</w:t>
      </w:r>
      <w:r>
        <w:rPr>
          <w:spacing w:val="-4"/>
        </w:rPr>
        <w:t> </w:t>
      </w:r>
      <w:r>
        <w:rPr/>
        <w:t>six</w:t>
      </w:r>
      <w:r>
        <w:rPr>
          <w:spacing w:val="-4"/>
        </w:rPr>
        <w:t> </w:t>
      </w:r>
      <w:r>
        <w:rPr/>
        <w:t>month period (February 2021- August 2021) engaging with 75 stakeholders over the course of 35 consultations and receiving 63 submissions, in addition to hosting two large workshops and receiving ongoing informal feedback on Inquiry proposals via engagement fora.</w:t>
      </w:r>
    </w:p>
    <w:p>
      <w:pPr>
        <w:pStyle w:val="BodyText"/>
        <w:spacing w:before="11"/>
        <w:rPr>
          <w:sz w:val="25"/>
        </w:rPr>
      </w:pPr>
      <w:r>
        <w:rPr/>
        <w:pict>
          <v:group style="position:absolute;margin-left:14.175pt;margin-top:17.008789pt;width:566.950pt;height:90.65pt;mso-position-horizontal-relative:page;mso-position-vertical-relative:paragraph;z-index:-15728640;mso-wrap-distance-left:0;mso-wrap-distance-right:0" id="docshapegroup2" coordorigin="284,340" coordsize="11339,1813">
            <v:shape style="position:absolute;left:283;top:340;width:11339;height:1813" type="#_x0000_t75" id="docshape3" stroked="false">
              <v:imagedata r:id="rId7" o:title=""/>
            </v:shape>
            <v:shapetype id="_x0000_t202" o:spt="202" coordsize="21600,21600" path="m,l,21600r21600,l21600,xe">
              <v:stroke joinstyle="miter"/>
              <v:path gradientshapeok="t" o:connecttype="rect"/>
            </v:shapetype>
            <v:shape style="position:absolute;left:283;top:340;width:11339;height:1813" type="#_x0000_t202" id="docshape4" filled="false" stroked="false">
              <v:textbox inset="0,0,0,0">
                <w:txbxContent>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0"/>
                      <w:rPr>
                        <w:sz w:val="16"/>
                      </w:rPr>
                    </w:pPr>
                  </w:p>
                  <w:p>
                    <w:pPr>
                      <w:spacing w:line="240" w:lineRule="auto" w:before="12"/>
                      <w:rPr>
                        <w:sz w:val="19"/>
                      </w:rPr>
                    </w:pPr>
                  </w:p>
                  <w:p>
                    <w:pPr>
                      <w:spacing w:before="0"/>
                      <w:ind w:left="850" w:right="7263" w:firstLine="0"/>
                      <w:jc w:val="left"/>
                      <w:rPr>
                        <w:sz w:val="16"/>
                      </w:rPr>
                    </w:pPr>
                    <w:r>
                      <w:rPr>
                        <w:color w:val="FFFFFF"/>
                        <w:sz w:val="16"/>
                      </w:rPr>
                      <w:t>Langton</w:t>
                    </w:r>
                    <w:r>
                      <w:rPr>
                        <w:color w:val="FFFFFF"/>
                        <w:spacing w:val="-8"/>
                        <w:sz w:val="16"/>
                      </w:rPr>
                      <w:t> </w:t>
                    </w:r>
                    <w:r>
                      <w:rPr>
                        <w:color w:val="FFFFFF"/>
                        <w:sz w:val="16"/>
                      </w:rPr>
                      <w:t>Crescent,</w:t>
                    </w:r>
                    <w:r>
                      <w:rPr>
                        <w:color w:val="FFFFFF"/>
                        <w:spacing w:val="-8"/>
                        <w:sz w:val="16"/>
                      </w:rPr>
                      <w:t> </w:t>
                    </w:r>
                    <w:r>
                      <w:rPr>
                        <w:color w:val="FFFFFF"/>
                        <w:sz w:val="16"/>
                      </w:rPr>
                      <w:t>PARKES</w:t>
                    </w:r>
                    <w:r>
                      <w:rPr>
                        <w:color w:val="FFFFFF"/>
                        <w:spacing w:val="-7"/>
                        <w:sz w:val="16"/>
                      </w:rPr>
                      <w:t> </w:t>
                    </w:r>
                    <w:r>
                      <w:rPr>
                        <w:color w:val="FFFFFF"/>
                        <w:sz w:val="16"/>
                      </w:rPr>
                      <w:t>ACT</w:t>
                    </w:r>
                    <w:r>
                      <w:rPr>
                        <w:color w:val="FFFFFF"/>
                        <w:spacing w:val="-8"/>
                        <w:sz w:val="16"/>
                      </w:rPr>
                      <w:t> </w:t>
                    </w:r>
                    <w:r>
                      <w:rPr>
                        <w:color w:val="FFFFFF"/>
                        <w:sz w:val="16"/>
                      </w:rPr>
                      <w:t>2600,</w:t>
                    </w:r>
                    <w:r>
                      <w:rPr>
                        <w:color w:val="FFFFFF"/>
                        <w:spacing w:val="-7"/>
                        <w:sz w:val="16"/>
                      </w:rPr>
                      <w:t> </w:t>
                    </w:r>
                    <w:r>
                      <w:rPr>
                        <w:color w:val="FFFFFF"/>
                        <w:sz w:val="16"/>
                      </w:rPr>
                      <w:t>AUSTRALIA</w:t>
                    </w:r>
                    <w:r>
                      <w:rPr>
                        <w:color w:val="FFFFFF"/>
                        <w:spacing w:val="40"/>
                        <w:sz w:val="16"/>
                      </w:rPr>
                      <w:t> </w:t>
                    </w:r>
                    <w:r>
                      <w:rPr>
                        <w:color w:val="FFFFFF"/>
                        <w:sz w:val="16"/>
                      </w:rPr>
                      <w:t>P:</w:t>
                    </w:r>
                    <w:r>
                      <w:rPr>
                        <w:color w:val="FFFFFF"/>
                        <w:spacing w:val="40"/>
                        <w:sz w:val="16"/>
                      </w:rPr>
                      <w:t> </w:t>
                    </w:r>
                    <w:r>
                      <w:rPr>
                        <w:color w:val="FFFFFF"/>
                        <w:sz w:val="16"/>
                      </w:rPr>
                      <w:t>02 6263 2111</w:t>
                    </w:r>
                  </w:p>
                  <w:p>
                    <w:pPr>
                      <w:spacing w:before="0"/>
                      <w:ind w:left="850" w:right="0" w:firstLine="0"/>
                      <w:jc w:val="left"/>
                      <w:rPr>
                        <w:sz w:val="16"/>
                      </w:rPr>
                    </w:pPr>
                    <w:hyperlink r:id="rId8">
                      <w:r>
                        <w:rPr>
                          <w:color w:val="FFFFFF"/>
                          <w:spacing w:val="-2"/>
                          <w:sz w:val="16"/>
                        </w:rPr>
                        <w:t>www.treasury.gov.au</w:t>
                      </w:r>
                    </w:hyperlink>
                  </w:p>
                </w:txbxContent>
              </v:textbox>
              <w10:wrap type="none"/>
            </v:shape>
            <w10:wrap type="topAndBottom"/>
          </v:group>
        </w:pict>
      </w:r>
    </w:p>
    <w:p>
      <w:pPr>
        <w:spacing w:after="0"/>
        <w:rPr>
          <w:sz w:val="25"/>
        </w:rPr>
        <w:sectPr>
          <w:type w:val="continuous"/>
          <w:pgSz w:w="11910" w:h="16840"/>
          <w:pgMar w:top="420" w:bottom="0" w:left="180" w:right="180"/>
        </w:sectPr>
      </w:pPr>
    </w:p>
    <w:p>
      <w:pPr>
        <w:pStyle w:val="BodyText"/>
        <w:spacing w:before="34"/>
        <w:ind w:left="954" w:right="969"/>
      </w:pPr>
      <w:r>
        <w:rPr/>
        <w:pict>
          <v:shape style="position:absolute;margin-left:55.699001pt;margin-top:81.027588pt;width:450.8pt;height:28.1pt;mso-position-horizontal-relative:page;mso-position-vertical-relative:paragraph;z-index:-15855104" id="docshape6" coordorigin="1114,1621" coordsize="9016,562" path="m10129,1621l1114,1621,1114,1889,1114,1914,1114,2182,4153,2182,4153,1914,10129,1914,10129,1621xe" filled="true" fillcolor="#aaaaaa" stroked="false">
            <v:path arrowok="t"/>
            <v:fill type="solid"/>
            <w10:wrap type="none"/>
          </v:shape>
        </w:pict>
      </w:r>
      <w:r>
        <w:rPr/>
        <w:t>The scope of the policy problems that the Government’s proposed response seeks to address are the same as</w:t>
      </w:r>
      <w:r>
        <w:rPr>
          <w:spacing w:val="-3"/>
        </w:rPr>
        <w:t> </w:t>
      </w:r>
      <w:r>
        <w:rPr/>
        <w:t>the</w:t>
      </w:r>
      <w:r>
        <w:rPr>
          <w:spacing w:val="-3"/>
        </w:rPr>
        <w:t> </w:t>
      </w:r>
      <w:r>
        <w:rPr/>
        <w:t>scope</w:t>
      </w:r>
      <w:r>
        <w:rPr>
          <w:spacing w:val="-2"/>
        </w:rPr>
        <w:t> </w:t>
      </w:r>
      <w:r>
        <w:rPr/>
        <w:t>of</w:t>
      </w:r>
      <w:r>
        <w:rPr>
          <w:spacing w:val="-3"/>
        </w:rPr>
        <w:t> </w:t>
      </w:r>
      <w:r>
        <w:rPr/>
        <w:t>the</w:t>
      </w:r>
      <w:r>
        <w:rPr>
          <w:spacing w:val="-3"/>
        </w:rPr>
        <w:t> </w:t>
      </w:r>
      <w:r>
        <w:rPr/>
        <w:t>policy</w:t>
      </w:r>
      <w:r>
        <w:rPr>
          <w:spacing w:val="-3"/>
        </w:rPr>
        <w:t> </w:t>
      </w:r>
      <w:r>
        <w:rPr/>
        <w:t>problems</w:t>
      </w:r>
      <w:r>
        <w:rPr>
          <w:spacing w:val="-2"/>
        </w:rPr>
        <w:t> </w:t>
      </w:r>
      <w:r>
        <w:rPr/>
        <w:t>addressed</w:t>
      </w:r>
      <w:r>
        <w:rPr>
          <w:spacing w:val="-2"/>
        </w:rPr>
        <w:t> </w:t>
      </w:r>
      <w:r>
        <w:rPr/>
        <w:t>in</w:t>
      </w:r>
      <w:r>
        <w:rPr>
          <w:spacing w:val="-3"/>
        </w:rPr>
        <w:t> </w:t>
      </w:r>
      <w:r>
        <w:rPr/>
        <w:t>the</w:t>
      </w:r>
      <w:r>
        <w:rPr>
          <w:spacing w:val="-2"/>
        </w:rPr>
        <w:t> </w:t>
      </w:r>
      <w:r>
        <w:rPr/>
        <w:t>Inquiry.</w:t>
      </w:r>
      <w:r>
        <w:rPr>
          <w:spacing w:val="-2"/>
        </w:rPr>
        <w:t> </w:t>
      </w:r>
      <w:r>
        <w:rPr/>
        <w:t>The</w:t>
      </w:r>
      <w:r>
        <w:rPr>
          <w:spacing w:val="-3"/>
        </w:rPr>
        <w:t> </w:t>
      </w:r>
      <w:r>
        <w:rPr/>
        <w:t>proposed</w:t>
      </w:r>
      <w:r>
        <w:rPr>
          <w:spacing w:val="-2"/>
        </w:rPr>
        <w:t> </w:t>
      </w:r>
      <w:r>
        <w:rPr/>
        <w:t>Government</w:t>
      </w:r>
      <w:r>
        <w:rPr>
          <w:spacing w:val="-2"/>
        </w:rPr>
        <w:t> </w:t>
      </w:r>
      <w:r>
        <w:rPr/>
        <w:t>response</w:t>
      </w:r>
      <w:r>
        <w:rPr>
          <w:spacing w:val="-3"/>
        </w:rPr>
        <w:t> </w:t>
      </w:r>
      <w:r>
        <w:rPr/>
        <w:t>(with</w:t>
      </w:r>
      <w:r>
        <w:rPr>
          <w:spacing w:val="-2"/>
        </w:rPr>
        <w:t> </w:t>
      </w:r>
      <w:r>
        <w:rPr/>
        <w:t>the exceptions of ‘noted’ and ‘disagree’ responses) is substantially the same as the recommendations of the Inquiry with the benefit of more detailed analysis and feedback addressing particular aspects of </w:t>
      </w:r>
      <w:r>
        <w:rPr>
          <w:spacing w:val="-2"/>
        </w:rPr>
        <w:t>implementation.</w:t>
      </w:r>
    </w:p>
    <w:p>
      <w:pPr>
        <w:pStyle w:val="BodyText"/>
      </w:pPr>
    </w:p>
    <w:p>
      <w:pPr>
        <w:pStyle w:val="BodyText"/>
        <w:spacing w:before="8"/>
        <w:rPr>
          <w:sz w:val="19"/>
        </w:rPr>
      </w:pPr>
    </w:p>
    <w:p>
      <w:pPr>
        <w:pStyle w:val="BodyText"/>
        <w:ind w:left="953" w:right="969" w:firstLine="3088"/>
      </w:pPr>
      <w:r>
        <w:rPr/>
        <w:t>To</w:t>
      </w:r>
      <w:r>
        <w:rPr>
          <w:spacing w:val="-5"/>
        </w:rPr>
        <w:t> </w:t>
      </w:r>
      <w:r>
        <w:rPr/>
        <w:t>address</w:t>
      </w:r>
      <w:r>
        <w:rPr>
          <w:spacing w:val="-4"/>
        </w:rPr>
        <w:t> </w:t>
      </w:r>
      <w:r>
        <w:rPr/>
        <w:t>the</w:t>
      </w:r>
      <w:r>
        <w:rPr>
          <w:spacing w:val="-4"/>
        </w:rPr>
        <w:t> </w:t>
      </w:r>
      <w:r>
        <w:rPr/>
        <w:t>differences</w:t>
      </w:r>
      <w:r>
        <w:rPr>
          <w:spacing w:val="-4"/>
        </w:rPr>
        <w:t> </w:t>
      </w:r>
      <w:r>
        <w:rPr/>
        <w:t>between</w:t>
      </w:r>
      <w:r>
        <w:rPr>
          <w:spacing w:val="-4"/>
        </w:rPr>
        <w:t> </w:t>
      </w:r>
      <w:r>
        <w:rPr/>
        <w:t>recommendations</w:t>
      </w:r>
      <w:r>
        <w:rPr>
          <w:spacing w:val="-4"/>
        </w:rPr>
        <w:t> </w:t>
      </w:r>
      <w:r>
        <w:rPr/>
        <w:t>6.9,</w:t>
      </w:r>
      <w:r>
        <w:rPr>
          <w:spacing w:val="-5"/>
        </w:rPr>
        <w:t> </w:t>
      </w:r>
      <w:r>
        <w:rPr/>
        <w:t>6.10</w:t>
      </w:r>
      <w:r>
        <w:rPr>
          <w:spacing w:val="-5"/>
        </w:rPr>
        <w:t> </w:t>
      </w:r>
      <w:r>
        <w:rPr/>
        <w:t>and</w:t>
      </w:r>
      <w:r>
        <w:rPr>
          <w:spacing w:val="-5"/>
        </w:rPr>
        <w:t> </w:t>
      </w:r>
      <w:r>
        <w:rPr/>
        <w:t>6.11 related to reciprocity, and the Government’s proposed ‘disagree’ response to those recommendations, I also certify the attached supplementary analysis. I am satisfied that with this addition, the scope of the recommendations match the Government’s response.</w:t>
      </w:r>
    </w:p>
    <w:p>
      <w:pPr>
        <w:pStyle w:val="BodyText"/>
        <w:spacing w:before="8"/>
        <w:rPr>
          <w:sz w:val="19"/>
        </w:rPr>
      </w:pPr>
    </w:p>
    <w:p>
      <w:pPr>
        <w:pStyle w:val="Heading1"/>
        <w:rPr>
          <w:i/>
        </w:rPr>
      </w:pPr>
      <w:r>
        <w:rPr>
          <w:i/>
        </w:rPr>
        <w:t>Regulatory</w:t>
      </w:r>
      <w:r>
        <w:rPr>
          <w:i/>
          <w:spacing w:val="-2"/>
        </w:rPr>
        <w:t> </w:t>
      </w:r>
      <w:r>
        <w:rPr>
          <w:i/>
        </w:rPr>
        <w:t>Burden</w:t>
      </w:r>
      <w:r>
        <w:rPr>
          <w:i/>
          <w:spacing w:val="-1"/>
        </w:rPr>
        <w:t> </w:t>
      </w:r>
      <w:r>
        <w:rPr>
          <w:i/>
          <w:spacing w:val="-2"/>
        </w:rPr>
        <w:t>Estimate</w:t>
      </w:r>
    </w:p>
    <w:p>
      <w:pPr>
        <w:pStyle w:val="BodyText"/>
        <w:spacing w:before="8"/>
        <w:rPr>
          <w:b/>
          <w:i/>
          <w:sz w:val="19"/>
        </w:rPr>
      </w:pPr>
    </w:p>
    <w:p>
      <w:pPr>
        <w:pStyle w:val="BodyText"/>
        <w:ind w:left="953" w:right="1021"/>
      </w:pPr>
      <w:r>
        <w:rPr/>
        <w:t>The</w:t>
      </w:r>
      <w:r>
        <w:rPr>
          <w:spacing w:val="-4"/>
        </w:rPr>
        <w:t> </w:t>
      </w:r>
      <w:r>
        <w:rPr/>
        <w:t>Regulatory</w:t>
      </w:r>
      <w:r>
        <w:rPr>
          <w:spacing w:val="-3"/>
        </w:rPr>
        <w:t> </w:t>
      </w:r>
      <w:r>
        <w:rPr/>
        <w:t>Burden</w:t>
      </w:r>
      <w:r>
        <w:rPr>
          <w:spacing w:val="-3"/>
        </w:rPr>
        <w:t> </w:t>
      </w:r>
      <w:r>
        <w:rPr/>
        <w:t>Estimate</w:t>
      </w:r>
      <w:r>
        <w:rPr>
          <w:spacing w:val="-4"/>
        </w:rPr>
        <w:t> </w:t>
      </w:r>
      <w:r>
        <w:rPr/>
        <w:t>relates</w:t>
      </w:r>
      <w:r>
        <w:rPr>
          <w:spacing w:val="-3"/>
        </w:rPr>
        <w:t> </w:t>
      </w:r>
      <w:r>
        <w:rPr/>
        <w:t>to</w:t>
      </w:r>
      <w:r>
        <w:rPr>
          <w:spacing w:val="-3"/>
        </w:rPr>
        <w:t> </w:t>
      </w:r>
      <w:r>
        <w:rPr/>
        <w:t>the</w:t>
      </w:r>
      <w:r>
        <w:rPr>
          <w:spacing w:val="-3"/>
        </w:rPr>
        <w:t> </w:t>
      </w:r>
      <w:r>
        <w:rPr/>
        <w:t>following</w:t>
      </w:r>
      <w:r>
        <w:rPr>
          <w:spacing w:val="-4"/>
        </w:rPr>
        <w:t> </w:t>
      </w:r>
      <w:r>
        <w:rPr/>
        <w:t>11</w:t>
      </w:r>
      <w:r>
        <w:rPr>
          <w:spacing w:val="-3"/>
        </w:rPr>
        <w:t> </w:t>
      </w:r>
      <w:r>
        <w:rPr/>
        <w:t>recommendations</w:t>
      </w:r>
      <w:r>
        <w:rPr>
          <w:spacing w:val="-3"/>
        </w:rPr>
        <w:t> </w:t>
      </w:r>
      <w:r>
        <w:rPr/>
        <w:t>(that</w:t>
      </w:r>
      <w:r>
        <w:rPr>
          <w:spacing w:val="-4"/>
        </w:rPr>
        <w:t> </w:t>
      </w:r>
      <w:r>
        <w:rPr/>
        <w:t>the</w:t>
      </w:r>
      <w:r>
        <w:rPr>
          <w:spacing w:val="-4"/>
        </w:rPr>
        <w:t> </w:t>
      </w:r>
      <w:r>
        <w:rPr/>
        <w:t>Government</w:t>
      </w:r>
      <w:r>
        <w:rPr>
          <w:spacing w:val="-3"/>
        </w:rPr>
        <w:t> </w:t>
      </w:r>
      <w:r>
        <w:rPr/>
        <w:t>has agreed or agreed-in-principle to) that entail immediate regulatory benefits or costs for businesses, community organisations and individuals:</w:t>
      </w:r>
    </w:p>
    <w:p>
      <w:pPr>
        <w:pStyle w:val="BodyText"/>
        <w:spacing w:before="8"/>
        <w:rPr>
          <w:sz w:val="19"/>
        </w:rPr>
      </w:pPr>
    </w:p>
    <w:p>
      <w:pPr>
        <w:pStyle w:val="ListParagraph"/>
        <w:numPr>
          <w:ilvl w:val="0"/>
          <w:numId w:val="1"/>
        </w:numPr>
        <w:tabs>
          <w:tab w:pos="1473" w:val="left" w:leader="none"/>
          <w:tab w:pos="1475" w:val="left" w:leader="none"/>
        </w:tabs>
        <w:spacing w:line="240" w:lineRule="auto" w:before="0" w:after="0"/>
        <w:ind w:left="1474" w:right="0" w:hanging="522"/>
        <w:jc w:val="left"/>
        <w:rPr>
          <w:sz w:val="22"/>
        </w:rPr>
      </w:pPr>
      <w:r>
        <w:rPr>
          <w:sz w:val="22"/>
        </w:rPr>
        <w:t>identity</w:t>
      </w:r>
      <w:r>
        <w:rPr>
          <w:spacing w:val="-6"/>
          <w:sz w:val="22"/>
        </w:rPr>
        <w:t> </w:t>
      </w:r>
      <w:r>
        <w:rPr>
          <w:sz w:val="22"/>
        </w:rPr>
        <w:t>verification</w:t>
      </w:r>
      <w:r>
        <w:rPr>
          <w:spacing w:val="-4"/>
          <w:sz w:val="22"/>
        </w:rPr>
        <w:t> </w:t>
      </w:r>
      <w:r>
        <w:rPr>
          <w:sz w:val="22"/>
        </w:rPr>
        <w:t>assessments</w:t>
      </w:r>
      <w:r>
        <w:rPr>
          <w:spacing w:val="-4"/>
          <w:sz w:val="22"/>
        </w:rPr>
        <w:t> </w:t>
      </w:r>
      <w:r>
        <w:rPr>
          <w:sz w:val="22"/>
        </w:rPr>
        <w:t>(Recommendation</w:t>
      </w:r>
      <w:r>
        <w:rPr>
          <w:spacing w:val="-4"/>
          <w:sz w:val="22"/>
        </w:rPr>
        <w:t> </w:t>
      </w:r>
      <w:r>
        <w:rPr>
          <w:spacing w:val="-2"/>
          <w:sz w:val="22"/>
        </w:rPr>
        <w:t>5.21);</w:t>
      </w:r>
    </w:p>
    <w:p>
      <w:pPr>
        <w:pStyle w:val="BodyText"/>
        <w:spacing w:before="8"/>
        <w:rPr>
          <w:sz w:val="19"/>
        </w:rPr>
      </w:pPr>
    </w:p>
    <w:p>
      <w:pPr>
        <w:pStyle w:val="ListParagraph"/>
        <w:numPr>
          <w:ilvl w:val="0"/>
          <w:numId w:val="1"/>
        </w:numPr>
        <w:tabs>
          <w:tab w:pos="1473" w:val="left" w:leader="none"/>
          <w:tab w:pos="1475" w:val="left" w:leader="none"/>
        </w:tabs>
        <w:spacing w:line="240" w:lineRule="auto" w:before="0" w:after="0"/>
        <w:ind w:left="1474" w:right="0" w:hanging="522"/>
        <w:jc w:val="left"/>
        <w:rPr>
          <w:sz w:val="22"/>
        </w:rPr>
      </w:pPr>
      <w:r>
        <w:rPr>
          <w:sz w:val="22"/>
        </w:rPr>
        <w:t>inclusion</w:t>
      </w:r>
      <w:r>
        <w:rPr>
          <w:spacing w:val="-3"/>
          <w:sz w:val="22"/>
        </w:rPr>
        <w:t> </w:t>
      </w:r>
      <w:r>
        <w:rPr>
          <w:sz w:val="22"/>
        </w:rPr>
        <w:t>of</w:t>
      </w:r>
      <w:r>
        <w:rPr>
          <w:spacing w:val="-4"/>
          <w:sz w:val="22"/>
        </w:rPr>
        <w:t> </w:t>
      </w:r>
      <w:r>
        <w:rPr>
          <w:sz w:val="22"/>
        </w:rPr>
        <w:t>data</w:t>
      </w:r>
      <w:r>
        <w:rPr>
          <w:spacing w:val="-4"/>
          <w:sz w:val="22"/>
        </w:rPr>
        <w:t> </w:t>
      </w:r>
      <w:r>
        <w:rPr>
          <w:sz w:val="22"/>
        </w:rPr>
        <w:t>(Recommendation</w:t>
      </w:r>
      <w:r>
        <w:rPr>
          <w:spacing w:val="-3"/>
          <w:sz w:val="22"/>
        </w:rPr>
        <w:t> </w:t>
      </w:r>
      <w:r>
        <w:rPr>
          <w:spacing w:val="-2"/>
          <w:sz w:val="22"/>
        </w:rPr>
        <w:t>6.14);</w:t>
      </w:r>
    </w:p>
    <w:p>
      <w:pPr>
        <w:pStyle w:val="BodyText"/>
        <w:spacing w:before="8"/>
        <w:rPr>
          <w:sz w:val="19"/>
        </w:rPr>
      </w:pPr>
    </w:p>
    <w:p>
      <w:pPr>
        <w:pStyle w:val="ListParagraph"/>
        <w:numPr>
          <w:ilvl w:val="0"/>
          <w:numId w:val="1"/>
        </w:numPr>
        <w:tabs>
          <w:tab w:pos="1473" w:val="left" w:leader="none"/>
          <w:tab w:pos="1475" w:val="left" w:leader="none"/>
        </w:tabs>
        <w:spacing w:line="240" w:lineRule="auto" w:before="0" w:after="0"/>
        <w:ind w:left="1474" w:right="0" w:hanging="522"/>
        <w:jc w:val="left"/>
        <w:rPr>
          <w:sz w:val="22"/>
        </w:rPr>
      </w:pPr>
      <w:r>
        <w:rPr>
          <w:sz w:val="22"/>
        </w:rPr>
        <w:t>process</w:t>
      </w:r>
      <w:r>
        <w:rPr>
          <w:spacing w:val="-6"/>
          <w:sz w:val="22"/>
        </w:rPr>
        <w:t> </w:t>
      </w:r>
      <w:r>
        <w:rPr>
          <w:sz w:val="22"/>
        </w:rPr>
        <w:t>for</w:t>
      </w:r>
      <w:r>
        <w:rPr>
          <w:spacing w:val="-6"/>
          <w:sz w:val="22"/>
        </w:rPr>
        <w:t> </w:t>
      </w:r>
      <w:r>
        <w:rPr>
          <w:sz w:val="22"/>
        </w:rPr>
        <w:t>introducing</w:t>
      </w:r>
      <w:r>
        <w:rPr>
          <w:spacing w:val="-6"/>
          <w:sz w:val="22"/>
        </w:rPr>
        <w:t> </w:t>
      </w:r>
      <w:r>
        <w:rPr>
          <w:sz w:val="22"/>
        </w:rPr>
        <w:t>voluntary</w:t>
      </w:r>
      <w:r>
        <w:rPr>
          <w:spacing w:val="-6"/>
          <w:sz w:val="22"/>
        </w:rPr>
        <w:t> </w:t>
      </w:r>
      <w:r>
        <w:rPr>
          <w:sz w:val="22"/>
        </w:rPr>
        <w:t>data</w:t>
      </w:r>
      <w:r>
        <w:rPr>
          <w:spacing w:val="-6"/>
          <w:sz w:val="22"/>
        </w:rPr>
        <w:t> </w:t>
      </w:r>
      <w:r>
        <w:rPr>
          <w:sz w:val="22"/>
        </w:rPr>
        <w:t>sets</w:t>
      </w:r>
      <w:r>
        <w:rPr>
          <w:spacing w:val="-6"/>
          <w:sz w:val="22"/>
        </w:rPr>
        <w:t> </w:t>
      </w:r>
      <w:r>
        <w:rPr>
          <w:sz w:val="22"/>
        </w:rPr>
        <w:t>(Recommendation</w:t>
      </w:r>
      <w:r>
        <w:rPr>
          <w:spacing w:val="-6"/>
          <w:sz w:val="22"/>
        </w:rPr>
        <w:t> </w:t>
      </w:r>
      <w:r>
        <w:rPr>
          <w:spacing w:val="-2"/>
          <w:sz w:val="22"/>
        </w:rPr>
        <w:t>6.15);</w:t>
      </w:r>
    </w:p>
    <w:p>
      <w:pPr>
        <w:pStyle w:val="BodyText"/>
        <w:spacing w:before="8"/>
        <w:rPr>
          <w:sz w:val="19"/>
        </w:rPr>
      </w:pPr>
    </w:p>
    <w:p>
      <w:pPr>
        <w:pStyle w:val="ListParagraph"/>
        <w:numPr>
          <w:ilvl w:val="0"/>
          <w:numId w:val="1"/>
        </w:numPr>
        <w:tabs>
          <w:tab w:pos="1473" w:val="left" w:leader="none"/>
          <w:tab w:pos="1475" w:val="left" w:leader="none"/>
        </w:tabs>
        <w:spacing w:line="240" w:lineRule="auto" w:before="0" w:after="0"/>
        <w:ind w:left="1474" w:right="0" w:hanging="522"/>
        <w:jc w:val="left"/>
        <w:rPr>
          <w:sz w:val="22"/>
        </w:rPr>
      </w:pPr>
      <w:r>
        <w:rPr>
          <w:sz w:val="22"/>
        </w:rPr>
        <w:t>guidelines</w:t>
      </w:r>
      <w:r>
        <w:rPr>
          <w:spacing w:val="-6"/>
          <w:sz w:val="22"/>
        </w:rPr>
        <w:t> </w:t>
      </w:r>
      <w:r>
        <w:rPr>
          <w:sz w:val="22"/>
        </w:rPr>
        <w:t>for</w:t>
      </w:r>
      <w:r>
        <w:rPr>
          <w:spacing w:val="-2"/>
          <w:sz w:val="22"/>
        </w:rPr>
        <w:t> </w:t>
      </w:r>
      <w:r>
        <w:rPr>
          <w:sz w:val="22"/>
        </w:rPr>
        <w:t>voluntary</w:t>
      </w:r>
      <w:r>
        <w:rPr>
          <w:spacing w:val="-2"/>
          <w:sz w:val="22"/>
        </w:rPr>
        <w:t> </w:t>
      </w:r>
      <w:r>
        <w:rPr>
          <w:sz w:val="22"/>
        </w:rPr>
        <w:t>data</w:t>
      </w:r>
      <w:r>
        <w:rPr>
          <w:spacing w:val="-4"/>
          <w:sz w:val="22"/>
        </w:rPr>
        <w:t> </w:t>
      </w:r>
      <w:r>
        <w:rPr>
          <w:sz w:val="22"/>
        </w:rPr>
        <w:t>sets</w:t>
      </w:r>
      <w:r>
        <w:rPr>
          <w:spacing w:val="-2"/>
          <w:sz w:val="22"/>
        </w:rPr>
        <w:t> </w:t>
      </w:r>
      <w:r>
        <w:rPr>
          <w:sz w:val="22"/>
        </w:rPr>
        <w:t>(Recommendation</w:t>
      </w:r>
      <w:r>
        <w:rPr>
          <w:spacing w:val="-2"/>
          <w:sz w:val="22"/>
        </w:rPr>
        <w:t> 6.16);</w:t>
      </w:r>
    </w:p>
    <w:p>
      <w:pPr>
        <w:pStyle w:val="BodyText"/>
        <w:spacing w:before="8"/>
        <w:rPr>
          <w:sz w:val="19"/>
        </w:rPr>
      </w:pPr>
    </w:p>
    <w:p>
      <w:pPr>
        <w:pStyle w:val="ListParagraph"/>
        <w:numPr>
          <w:ilvl w:val="0"/>
          <w:numId w:val="1"/>
        </w:numPr>
        <w:tabs>
          <w:tab w:pos="1473" w:val="left" w:leader="none"/>
          <w:tab w:pos="1475" w:val="left" w:leader="none"/>
        </w:tabs>
        <w:spacing w:line="240" w:lineRule="auto" w:before="0" w:after="0"/>
        <w:ind w:left="1474" w:right="0" w:hanging="522"/>
        <w:jc w:val="left"/>
        <w:rPr>
          <w:sz w:val="22"/>
        </w:rPr>
      </w:pPr>
      <w:r>
        <w:rPr>
          <w:sz w:val="22"/>
        </w:rPr>
        <w:t>maintenance</w:t>
      </w:r>
      <w:r>
        <w:rPr>
          <w:spacing w:val="-8"/>
          <w:sz w:val="22"/>
        </w:rPr>
        <w:t> </w:t>
      </w:r>
      <w:r>
        <w:rPr>
          <w:sz w:val="22"/>
        </w:rPr>
        <w:t>of</w:t>
      </w:r>
      <w:r>
        <w:rPr>
          <w:spacing w:val="-5"/>
          <w:sz w:val="22"/>
        </w:rPr>
        <w:t> </w:t>
      </w:r>
      <w:r>
        <w:rPr>
          <w:sz w:val="22"/>
        </w:rPr>
        <w:t>industry</w:t>
      </w:r>
      <w:r>
        <w:rPr>
          <w:spacing w:val="-4"/>
          <w:sz w:val="22"/>
        </w:rPr>
        <w:t> </w:t>
      </w:r>
      <w:r>
        <w:rPr>
          <w:sz w:val="22"/>
        </w:rPr>
        <w:t>designed</w:t>
      </w:r>
      <w:r>
        <w:rPr>
          <w:spacing w:val="-5"/>
          <w:sz w:val="22"/>
        </w:rPr>
        <w:t> </w:t>
      </w:r>
      <w:r>
        <w:rPr>
          <w:sz w:val="22"/>
        </w:rPr>
        <w:t>standards</w:t>
      </w:r>
      <w:r>
        <w:rPr>
          <w:spacing w:val="-5"/>
          <w:sz w:val="22"/>
        </w:rPr>
        <w:t> </w:t>
      </w:r>
      <w:r>
        <w:rPr>
          <w:sz w:val="22"/>
        </w:rPr>
        <w:t>(Recommendation</w:t>
      </w:r>
      <w:r>
        <w:rPr>
          <w:spacing w:val="-4"/>
          <w:sz w:val="22"/>
        </w:rPr>
        <w:t> </w:t>
      </w:r>
      <w:r>
        <w:rPr>
          <w:spacing w:val="-2"/>
          <w:sz w:val="22"/>
        </w:rPr>
        <w:t>6.17);</w:t>
      </w:r>
    </w:p>
    <w:p>
      <w:pPr>
        <w:pStyle w:val="BodyText"/>
        <w:spacing w:before="8"/>
        <w:rPr>
          <w:sz w:val="19"/>
        </w:rPr>
      </w:pPr>
    </w:p>
    <w:p>
      <w:pPr>
        <w:pStyle w:val="ListParagraph"/>
        <w:numPr>
          <w:ilvl w:val="0"/>
          <w:numId w:val="1"/>
        </w:numPr>
        <w:tabs>
          <w:tab w:pos="1473" w:val="left" w:leader="none"/>
          <w:tab w:pos="1475" w:val="left" w:leader="none"/>
        </w:tabs>
        <w:spacing w:line="240" w:lineRule="auto" w:before="0" w:after="0"/>
        <w:ind w:left="1474" w:right="0" w:hanging="522"/>
        <w:jc w:val="left"/>
        <w:rPr>
          <w:sz w:val="22"/>
        </w:rPr>
      </w:pPr>
      <w:r>
        <w:rPr>
          <w:sz w:val="22"/>
        </w:rPr>
        <w:t>Consumer</w:t>
      </w:r>
      <w:r>
        <w:rPr>
          <w:spacing w:val="-4"/>
          <w:sz w:val="22"/>
        </w:rPr>
        <w:t> </w:t>
      </w:r>
      <w:r>
        <w:rPr>
          <w:sz w:val="22"/>
        </w:rPr>
        <w:t>Data</w:t>
      </w:r>
      <w:r>
        <w:rPr>
          <w:spacing w:val="-3"/>
          <w:sz w:val="22"/>
        </w:rPr>
        <w:t> </w:t>
      </w:r>
      <w:r>
        <w:rPr>
          <w:sz w:val="22"/>
        </w:rPr>
        <w:t>Right</w:t>
      </w:r>
      <w:r>
        <w:rPr>
          <w:spacing w:val="-4"/>
          <w:sz w:val="22"/>
        </w:rPr>
        <w:t> </w:t>
      </w:r>
      <w:r>
        <w:rPr>
          <w:sz w:val="22"/>
        </w:rPr>
        <w:t>dictionary</w:t>
      </w:r>
      <w:r>
        <w:rPr>
          <w:spacing w:val="-3"/>
          <w:sz w:val="22"/>
        </w:rPr>
        <w:t> </w:t>
      </w:r>
      <w:r>
        <w:rPr>
          <w:sz w:val="22"/>
        </w:rPr>
        <w:t>(Recommendation</w:t>
      </w:r>
      <w:r>
        <w:rPr>
          <w:spacing w:val="-3"/>
          <w:sz w:val="22"/>
        </w:rPr>
        <w:t> </w:t>
      </w:r>
      <w:r>
        <w:rPr>
          <w:spacing w:val="-2"/>
          <w:sz w:val="22"/>
        </w:rPr>
        <w:t>6.19);</w:t>
      </w:r>
    </w:p>
    <w:p>
      <w:pPr>
        <w:pStyle w:val="BodyText"/>
        <w:spacing w:before="8"/>
        <w:rPr>
          <w:sz w:val="19"/>
        </w:rPr>
      </w:pPr>
    </w:p>
    <w:p>
      <w:pPr>
        <w:pStyle w:val="ListParagraph"/>
        <w:numPr>
          <w:ilvl w:val="0"/>
          <w:numId w:val="1"/>
        </w:numPr>
        <w:tabs>
          <w:tab w:pos="1473" w:val="left" w:leader="none"/>
          <w:tab w:pos="1475" w:val="left" w:leader="none"/>
        </w:tabs>
        <w:spacing w:line="240" w:lineRule="auto" w:before="0" w:after="0"/>
        <w:ind w:left="1474" w:right="0" w:hanging="522"/>
        <w:jc w:val="left"/>
        <w:rPr>
          <w:sz w:val="22"/>
        </w:rPr>
      </w:pPr>
      <w:r>
        <w:rPr>
          <w:sz w:val="22"/>
        </w:rPr>
        <w:t>industry</w:t>
      </w:r>
      <w:r>
        <w:rPr>
          <w:spacing w:val="-7"/>
          <w:sz w:val="22"/>
        </w:rPr>
        <w:t> </w:t>
      </w:r>
      <w:r>
        <w:rPr>
          <w:sz w:val="22"/>
        </w:rPr>
        <w:t>recommended</w:t>
      </w:r>
      <w:r>
        <w:rPr>
          <w:spacing w:val="-4"/>
          <w:sz w:val="22"/>
        </w:rPr>
        <w:t> </w:t>
      </w:r>
      <w:r>
        <w:rPr>
          <w:sz w:val="22"/>
        </w:rPr>
        <w:t>and</w:t>
      </w:r>
      <w:r>
        <w:rPr>
          <w:spacing w:val="-4"/>
          <w:sz w:val="22"/>
        </w:rPr>
        <w:t> </w:t>
      </w:r>
      <w:r>
        <w:rPr>
          <w:sz w:val="22"/>
        </w:rPr>
        <w:t>endorsed</w:t>
      </w:r>
      <w:r>
        <w:rPr>
          <w:spacing w:val="-4"/>
          <w:sz w:val="22"/>
        </w:rPr>
        <w:t> </w:t>
      </w:r>
      <w:r>
        <w:rPr>
          <w:sz w:val="22"/>
        </w:rPr>
        <w:t>consents</w:t>
      </w:r>
      <w:r>
        <w:rPr>
          <w:spacing w:val="-4"/>
          <w:sz w:val="22"/>
        </w:rPr>
        <w:t> </w:t>
      </w:r>
      <w:r>
        <w:rPr>
          <w:sz w:val="22"/>
        </w:rPr>
        <w:t>(Recommendation</w:t>
      </w:r>
      <w:r>
        <w:rPr>
          <w:spacing w:val="-3"/>
          <w:sz w:val="22"/>
        </w:rPr>
        <w:t> </w:t>
      </w:r>
      <w:r>
        <w:rPr>
          <w:spacing w:val="-2"/>
          <w:sz w:val="22"/>
        </w:rPr>
        <w:t>6.20);</w:t>
      </w:r>
    </w:p>
    <w:p>
      <w:pPr>
        <w:pStyle w:val="BodyText"/>
        <w:spacing w:before="8"/>
        <w:rPr>
          <w:sz w:val="19"/>
        </w:rPr>
      </w:pPr>
    </w:p>
    <w:p>
      <w:pPr>
        <w:pStyle w:val="ListParagraph"/>
        <w:numPr>
          <w:ilvl w:val="0"/>
          <w:numId w:val="1"/>
        </w:numPr>
        <w:tabs>
          <w:tab w:pos="1473" w:val="left" w:leader="none"/>
          <w:tab w:pos="1475" w:val="left" w:leader="none"/>
        </w:tabs>
        <w:spacing w:line="240" w:lineRule="auto" w:before="1" w:after="0"/>
        <w:ind w:left="1474" w:right="0" w:hanging="522"/>
        <w:jc w:val="left"/>
        <w:rPr>
          <w:sz w:val="22"/>
        </w:rPr>
      </w:pPr>
      <w:r>
        <w:rPr>
          <w:sz w:val="22"/>
        </w:rPr>
        <w:t>sharable</w:t>
      </w:r>
      <w:r>
        <w:rPr>
          <w:spacing w:val="-7"/>
          <w:sz w:val="22"/>
        </w:rPr>
        <w:t> </w:t>
      </w:r>
      <w:r>
        <w:rPr>
          <w:sz w:val="22"/>
        </w:rPr>
        <w:t>consent</w:t>
      </w:r>
      <w:r>
        <w:rPr>
          <w:spacing w:val="-7"/>
          <w:sz w:val="22"/>
        </w:rPr>
        <w:t> </w:t>
      </w:r>
      <w:r>
        <w:rPr>
          <w:sz w:val="22"/>
        </w:rPr>
        <w:t>information</w:t>
      </w:r>
      <w:r>
        <w:rPr>
          <w:spacing w:val="-7"/>
          <w:sz w:val="22"/>
        </w:rPr>
        <w:t> </w:t>
      </w:r>
      <w:r>
        <w:rPr>
          <w:sz w:val="22"/>
        </w:rPr>
        <w:t>(Recommendation</w:t>
      </w:r>
      <w:r>
        <w:rPr>
          <w:spacing w:val="-7"/>
          <w:sz w:val="22"/>
        </w:rPr>
        <w:t> </w:t>
      </w:r>
      <w:r>
        <w:rPr>
          <w:sz w:val="22"/>
        </w:rPr>
        <w:t>6.22);</w:t>
      </w:r>
      <w:r>
        <w:rPr>
          <w:spacing w:val="-7"/>
          <w:sz w:val="22"/>
        </w:rPr>
        <w:t> </w:t>
      </w:r>
      <w:r>
        <w:rPr>
          <w:spacing w:val="-5"/>
          <w:sz w:val="22"/>
        </w:rPr>
        <w:t>and</w:t>
      </w:r>
    </w:p>
    <w:p>
      <w:pPr>
        <w:pStyle w:val="BodyText"/>
        <w:spacing w:before="7"/>
        <w:rPr>
          <w:sz w:val="19"/>
        </w:rPr>
      </w:pPr>
    </w:p>
    <w:p>
      <w:pPr>
        <w:pStyle w:val="ListParagraph"/>
        <w:numPr>
          <w:ilvl w:val="0"/>
          <w:numId w:val="1"/>
        </w:numPr>
        <w:tabs>
          <w:tab w:pos="1473" w:val="left" w:leader="none"/>
          <w:tab w:pos="1475" w:val="left" w:leader="none"/>
        </w:tabs>
        <w:spacing w:line="240" w:lineRule="auto" w:before="1" w:after="0"/>
        <w:ind w:left="1474" w:right="0" w:hanging="522"/>
        <w:jc w:val="left"/>
        <w:rPr>
          <w:sz w:val="22"/>
        </w:rPr>
      </w:pPr>
      <w:r>
        <w:rPr>
          <w:sz w:val="22"/>
        </w:rPr>
        <w:t>limited</w:t>
      </w:r>
      <w:r>
        <w:rPr>
          <w:spacing w:val="-3"/>
          <w:sz w:val="22"/>
        </w:rPr>
        <w:t> </w:t>
      </w:r>
      <w:r>
        <w:rPr>
          <w:sz w:val="22"/>
        </w:rPr>
        <w:t>action</w:t>
      </w:r>
      <w:r>
        <w:rPr>
          <w:spacing w:val="-2"/>
          <w:sz w:val="22"/>
        </w:rPr>
        <w:t> </w:t>
      </w:r>
      <w:r>
        <w:rPr>
          <w:sz w:val="22"/>
        </w:rPr>
        <w:t>initiation</w:t>
      </w:r>
      <w:r>
        <w:rPr>
          <w:spacing w:val="-3"/>
          <w:sz w:val="22"/>
        </w:rPr>
        <w:t> </w:t>
      </w:r>
      <w:r>
        <w:rPr>
          <w:sz w:val="22"/>
        </w:rPr>
        <w:t>for</w:t>
      </w:r>
      <w:r>
        <w:rPr>
          <w:spacing w:val="-3"/>
          <w:sz w:val="22"/>
        </w:rPr>
        <w:t> </w:t>
      </w:r>
      <w:r>
        <w:rPr>
          <w:sz w:val="22"/>
        </w:rPr>
        <w:t>consent</w:t>
      </w:r>
      <w:r>
        <w:rPr>
          <w:spacing w:val="-3"/>
          <w:sz w:val="22"/>
        </w:rPr>
        <w:t> </w:t>
      </w:r>
      <w:r>
        <w:rPr>
          <w:sz w:val="22"/>
        </w:rPr>
        <w:t>management</w:t>
      </w:r>
      <w:r>
        <w:rPr>
          <w:spacing w:val="-2"/>
          <w:sz w:val="22"/>
        </w:rPr>
        <w:t> </w:t>
      </w:r>
      <w:r>
        <w:rPr>
          <w:sz w:val="22"/>
        </w:rPr>
        <w:t>(Recommendation</w:t>
      </w:r>
      <w:r>
        <w:rPr>
          <w:spacing w:val="-2"/>
          <w:sz w:val="22"/>
        </w:rPr>
        <w:t> 6.23).</w:t>
      </w:r>
    </w:p>
    <w:p>
      <w:pPr>
        <w:pStyle w:val="BodyText"/>
        <w:spacing w:before="8"/>
        <w:rPr>
          <w:sz w:val="19"/>
        </w:rPr>
      </w:pPr>
    </w:p>
    <w:p>
      <w:pPr>
        <w:pStyle w:val="BodyText"/>
        <w:ind w:left="953" w:right="1090"/>
        <w:jc w:val="both"/>
      </w:pPr>
      <w:r>
        <w:rPr/>
        <w:t>Some</w:t>
      </w:r>
      <w:r>
        <w:rPr>
          <w:spacing w:val="-4"/>
        </w:rPr>
        <w:t> </w:t>
      </w:r>
      <w:r>
        <w:rPr/>
        <w:t>of</w:t>
      </w:r>
      <w:r>
        <w:rPr>
          <w:spacing w:val="-4"/>
        </w:rPr>
        <w:t> </w:t>
      </w:r>
      <w:r>
        <w:rPr/>
        <w:t>these</w:t>
      </w:r>
      <w:r>
        <w:rPr>
          <w:spacing w:val="-3"/>
        </w:rPr>
        <w:t> </w:t>
      </w:r>
      <w:r>
        <w:rPr/>
        <w:t>11</w:t>
      </w:r>
      <w:r>
        <w:rPr>
          <w:spacing w:val="-3"/>
        </w:rPr>
        <w:t> </w:t>
      </w:r>
      <w:r>
        <w:rPr/>
        <w:t>recommendations</w:t>
      </w:r>
      <w:r>
        <w:rPr>
          <w:spacing w:val="-4"/>
        </w:rPr>
        <w:t> </w:t>
      </w:r>
      <w:r>
        <w:rPr/>
        <w:t>also</w:t>
      </w:r>
      <w:r>
        <w:rPr>
          <w:spacing w:val="-4"/>
        </w:rPr>
        <w:t> </w:t>
      </w:r>
      <w:r>
        <w:rPr/>
        <w:t>have</w:t>
      </w:r>
      <w:r>
        <w:rPr>
          <w:spacing w:val="-4"/>
        </w:rPr>
        <w:t> </w:t>
      </w:r>
      <w:r>
        <w:rPr/>
        <w:t>deregulatory</w:t>
      </w:r>
      <w:r>
        <w:rPr>
          <w:spacing w:val="-3"/>
        </w:rPr>
        <w:t> </w:t>
      </w:r>
      <w:r>
        <w:rPr/>
        <w:t>benefits</w:t>
      </w:r>
      <w:r>
        <w:rPr>
          <w:spacing w:val="-3"/>
        </w:rPr>
        <w:t> </w:t>
      </w:r>
      <w:r>
        <w:rPr/>
        <w:t>to</w:t>
      </w:r>
      <w:r>
        <w:rPr>
          <w:spacing w:val="-3"/>
        </w:rPr>
        <w:t> </w:t>
      </w:r>
      <w:r>
        <w:rPr/>
        <w:t>businesses</w:t>
      </w:r>
      <w:r>
        <w:rPr>
          <w:spacing w:val="-3"/>
        </w:rPr>
        <w:t> </w:t>
      </w:r>
      <w:r>
        <w:rPr/>
        <w:t>and</w:t>
      </w:r>
      <w:r>
        <w:rPr>
          <w:spacing w:val="-3"/>
        </w:rPr>
        <w:t> </w:t>
      </w:r>
      <w:r>
        <w:rPr/>
        <w:t>individuals</w:t>
      </w:r>
      <w:r>
        <w:rPr>
          <w:spacing w:val="-4"/>
        </w:rPr>
        <w:t> </w:t>
      </w:r>
      <w:r>
        <w:rPr/>
        <w:t>that</w:t>
      </w:r>
      <w:r>
        <w:rPr>
          <w:spacing w:val="-3"/>
        </w:rPr>
        <w:t> </w:t>
      </w:r>
      <w:r>
        <w:rPr/>
        <w:t>are unable</w:t>
      </w:r>
      <w:r>
        <w:rPr>
          <w:spacing w:val="-1"/>
        </w:rPr>
        <w:t> </w:t>
      </w:r>
      <w:r>
        <w:rPr/>
        <w:t>to be</w:t>
      </w:r>
      <w:r>
        <w:rPr>
          <w:spacing w:val="-1"/>
        </w:rPr>
        <w:t> </w:t>
      </w:r>
      <w:r>
        <w:rPr/>
        <w:t>quantified at</w:t>
      </w:r>
      <w:r>
        <w:rPr>
          <w:spacing w:val="-1"/>
        </w:rPr>
        <w:t> </w:t>
      </w:r>
      <w:r>
        <w:rPr/>
        <w:t>this</w:t>
      </w:r>
      <w:r>
        <w:rPr>
          <w:spacing w:val="-1"/>
        </w:rPr>
        <w:t> </w:t>
      </w:r>
      <w:r>
        <w:rPr/>
        <w:t>point in time and have</w:t>
      </w:r>
      <w:r>
        <w:rPr>
          <w:spacing w:val="-1"/>
        </w:rPr>
        <w:t> </w:t>
      </w:r>
      <w:r>
        <w:rPr/>
        <w:t>not</w:t>
      </w:r>
      <w:r>
        <w:rPr>
          <w:spacing w:val="-1"/>
        </w:rPr>
        <w:t> </w:t>
      </w:r>
      <w:r>
        <w:rPr/>
        <w:t>been included</w:t>
      </w:r>
      <w:r>
        <w:rPr>
          <w:spacing w:val="-1"/>
        </w:rPr>
        <w:t> </w:t>
      </w:r>
      <w:r>
        <w:rPr/>
        <w:t>in</w:t>
      </w:r>
      <w:r>
        <w:rPr>
          <w:spacing w:val="-1"/>
        </w:rPr>
        <w:t> </w:t>
      </w:r>
      <w:r>
        <w:rPr/>
        <w:t>the</w:t>
      </w:r>
      <w:r>
        <w:rPr>
          <w:spacing w:val="-1"/>
        </w:rPr>
        <w:t> </w:t>
      </w:r>
      <w:r>
        <w:rPr/>
        <w:t>regulatory</w:t>
      </w:r>
      <w:r>
        <w:rPr>
          <w:spacing w:val="-1"/>
        </w:rPr>
        <w:t> </w:t>
      </w:r>
      <w:r>
        <w:rPr/>
        <w:t>burden and</w:t>
      </w:r>
      <w:r>
        <w:rPr>
          <w:spacing w:val="-1"/>
        </w:rPr>
        <w:t> </w:t>
      </w:r>
      <w:r>
        <w:rPr/>
        <w:t>cost offset estimate table.</w:t>
      </w:r>
    </w:p>
    <w:p>
      <w:pPr>
        <w:pStyle w:val="BodyText"/>
        <w:spacing w:before="8"/>
        <w:rPr>
          <w:sz w:val="19"/>
        </w:rPr>
      </w:pPr>
    </w:p>
    <w:p>
      <w:pPr>
        <w:pStyle w:val="BodyText"/>
        <w:ind w:left="953" w:right="1021"/>
      </w:pPr>
      <w:r>
        <w:rPr/>
        <w:t>I am satisfied that the benefits and costs of all the proposed options for businesses, community organisations</w:t>
      </w:r>
      <w:r>
        <w:rPr>
          <w:spacing w:val="-3"/>
        </w:rPr>
        <w:t> </w:t>
      </w:r>
      <w:r>
        <w:rPr/>
        <w:t>and</w:t>
      </w:r>
      <w:r>
        <w:rPr>
          <w:spacing w:val="-2"/>
        </w:rPr>
        <w:t> </w:t>
      </w:r>
      <w:r>
        <w:rPr/>
        <w:t>individuals</w:t>
      </w:r>
      <w:r>
        <w:rPr>
          <w:spacing w:val="-3"/>
        </w:rPr>
        <w:t> </w:t>
      </w:r>
      <w:r>
        <w:rPr/>
        <w:t>have</w:t>
      </w:r>
      <w:r>
        <w:rPr>
          <w:spacing w:val="-2"/>
        </w:rPr>
        <w:t> </w:t>
      </w:r>
      <w:r>
        <w:rPr/>
        <w:t>been</w:t>
      </w:r>
      <w:r>
        <w:rPr>
          <w:spacing w:val="-3"/>
        </w:rPr>
        <w:t> </w:t>
      </w:r>
      <w:r>
        <w:rPr/>
        <w:t>clearly</w:t>
      </w:r>
      <w:r>
        <w:rPr>
          <w:spacing w:val="-2"/>
        </w:rPr>
        <w:t> </w:t>
      </w:r>
      <w:r>
        <w:rPr/>
        <w:t>analysed</w:t>
      </w:r>
      <w:r>
        <w:rPr>
          <w:spacing w:val="-3"/>
        </w:rPr>
        <w:t> </w:t>
      </w:r>
      <w:r>
        <w:rPr/>
        <w:t>in</w:t>
      </w:r>
      <w:r>
        <w:rPr>
          <w:spacing w:val="-3"/>
        </w:rPr>
        <w:t> </w:t>
      </w:r>
      <w:r>
        <w:rPr/>
        <w:t>a</w:t>
      </w:r>
      <w:r>
        <w:rPr>
          <w:spacing w:val="-2"/>
        </w:rPr>
        <w:t> </w:t>
      </w:r>
      <w:r>
        <w:rPr/>
        <w:t>balanced</w:t>
      </w:r>
      <w:r>
        <w:rPr>
          <w:spacing w:val="-2"/>
        </w:rPr>
        <w:t> </w:t>
      </w:r>
      <w:r>
        <w:rPr/>
        <w:t>and</w:t>
      </w:r>
      <w:r>
        <w:rPr>
          <w:spacing w:val="-2"/>
        </w:rPr>
        <w:t> </w:t>
      </w:r>
      <w:r>
        <w:rPr/>
        <w:t>objective</w:t>
      </w:r>
      <w:r>
        <w:rPr>
          <w:spacing w:val="-2"/>
        </w:rPr>
        <w:t> </w:t>
      </w:r>
      <w:r>
        <w:rPr/>
        <w:t>manner,</w:t>
      </w:r>
      <w:r>
        <w:rPr>
          <w:spacing w:val="-3"/>
        </w:rPr>
        <w:t> </w:t>
      </w:r>
      <w:r>
        <w:rPr/>
        <w:t>with</w:t>
      </w:r>
      <w:r>
        <w:rPr>
          <w:spacing w:val="-2"/>
        </w:rPr>
        <w:t> </w:t>
      </w:r>
      <w:r>
        <w:rPr/>
        <w:t>the regulatory costs quantified in accordance with the Australian Government’s </w:t>
      </w:r>
      <w:r>
        <w:rPr>
          <w:i/>
        </w:rPr>
        <w:t>Regulatory Burden</w:t>
      </w:r>
      <w:r>
        <w:rPr>
          <w:i/>
        </w:rPr>
        <w:t> Measurement </w:t>
      </w:r>
      <w:r>
        <w:rPr/>
        <w:t>framework and is provided below.</w:t>
      </w:r>
    </w:p>
    <w:p>
      <w:pPr>
        <w:pStyle w:val="BodyText"/>
        <w:spacing w:before="8"/>
        <w:rPr>
          <w:sz w:val="19"/>
        </w:rPr>
      </w:pPr>
    </w:p>
    <w:tbl>
      <w:tblPr>
        <w:tblW w:w="0" w:type="auto"/>
        <w:jc w:val="left"/>
        <w:tblInd w:w="108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top w:w="0" w:type="dxa"/>
          <w:left w:w="0" w:type="dxa"/>
          <w:bottom w:w="0" w:type="dxa"/>
          <w:right w:w="0" w:type="dxa"/>
        </w:tblCellMar>
        <w:tblLook w:val="01E0"/>
      </w:tblPr>
      <w:tblGrid>
        <w:gridCol w:w="1871"/>
        <w:gridCol w:w="1871"/>
        <w:gridCol w:w="1871"/>
        <w:gridCol w:w="1871"/>
        <w:gridCol w:w="1872"/>
      </w:tblGrid>
      <w:tr>
        <w:trPr>
          <w:trHeight w:val="962" w:hRule="atLeast"/>
        </w:trPr>
        <w:tc>
          <w:tcPr>
            <w:tcW w:w="9356" w:type="dxa"/>
            <w:gridSpan w:val="5"/>
            <w:shd w:val="clear" w:color="auto" w:fill="CD081F"/>
          </w:tcPr>
          <w:p>
            <w:pPr>
              <w:pStyle w:val="TableParagraph"/>
              <w:rPr>
                <w:b/>
                <w:sz w:val="22"/>
              </w:rPr>
            </w:pPr>
            <w:r>
              <w:rPr>
                <w:b/>
                <w:sz w:val="22"/>
                <w:u w:val="single"/>
              </w:rPr>
              <w:t>Regulatory</w:t>
            </w:r>
            <w:r>
              <w:rPr>
                <w:b/>
                <w:spacing w:val="-6"/>
                <w:sz w:val="22"/>
                <w:u w:val="single"/>
              </w:rPr>
              <w:t> </w:t>
            </w:r>
            <w:r>
              <w:rPr>
                <w:b/>
                <w:sz w:val="22"/>
                <w:u w:val="single"/>
              </w:rPr>
              <w:t>burden</w:t>
            </w:r>
            <w:r>
              <w:rPr>
                <w:b/>
                <w:spacing w:val="-6"/>
                <w:sz w:val="22"/>
                <w:u w:val="single"/>
              </w:rPr>
              <w:t> </w:t>
            </w:r>
            <w:r>
              <w:rPr>
                <w:b/>
                <w:sz w:val="22"/>
                <w:u w:val="single"/>
              </w:rPr>
              <w:t>estimate</w:t>
            </w:r>
            <w:r>
              <w:rPr>
                <w:b/>
                <w:spacing w:val="-6"/>
                <w:sz w:val="22"/>
                <w:u w:val="single"/>
              </w:rPr>
              <w:t> </w:t>
            </w:r>
            <w:r>
              <w:rPr>
                <w:b/>
                <w:spacing w:val="-2"/>
                <w:sz w:val="22"/>
                <w:u w:val="single"/>
              </w:rPr>
              <w:t>table</w:t>
            </w:r>
          </w:p>
          <w:p>
            <w:pPr>
              <w:pStyle w:val="TableParagraph"/>
              <w:spacing w:before="8"/>
              <w:ind w:left="0"/>
              <w:rPr>
                <w:rFonts w:ascii="Calibri"/>
                <w:sz w:val="19"/>
              </w:rPr>
            </w:pPr>
          </w:p>
          <w:p>
            <w:pPr>
              <w:pStyle w:val="TableParagraph"/>
              <w:spacing w:before="0"/>
              <w:rPr>
                <w:b/>
                <w:sz w:val="20"/>
              </w:rPr>
            </w:pPr>
            <w:r>
              <w:rPr>
                <w:b/>
                <w:sz w:val="20"/>
              </w:rPr>
              <w:t>Average</w:t>
            </w:r>
            <w:r>
              <w:rPr>
                <w:b/>
                <w:spacing w:val="-7"/>
                <w:sz w:val="20"/>
              </w:rPr>
              <w:t> </w:t>
            </w:r>
            <w:r>
              <w:rPr>
                <w:b/>
                <w:sz w:val="20"/>
              </w:rPr>
              <w:t>annual</w:t>
            </w:r>
            <w:r>
              <w:rPr>
                <w:b/>
                <w:spacing w:val="-3"/>
                <w:sz w:val="20"/>
              </w:rPr>
              <w:t> </w:t>
            </w:r>
            <w:r>
              <w:rPr>
                <w:b/>
                <w:sz w:val="20"/>
              </w:rPr>
              <w:t>regulatory</w:t>
            </w:r>
            <w:r>
              <w:rPr>
                <w:b/>
                <w:spacing w:val="-4"/>
                <w:sz w:val="20"/>
              </w:rPr>
              <w:t> </w:t>
            </w:r>
            <w:r>
              <w:rPr>
                <w:b/>
                <w:sz w:val="20"/>
              </w:rPr>
              <w:t>costs</w:t>
            </w:r>
            <w:r>
              <w:rPr>
                <w:b/>
                <w:spacing w:val="-4"/>
                <w:sz w:val="20"/>
              </w:rPr>
              <w:t> </w:t>
            </w:r>
            <w:r>
              <w:rPr>
                <w:b/>
                <w:sz w:val="20"/>
              </w:rPr>
              <w:t>(from</w:t>
            </w:r>
            <w:r>
              <w:rPr>
                <w:b/>
                <w:spacing w:val="-3"/>
                <w:sz w:val="20"/>
              </w:rPr>
              <w:t> </w:t>
            </w:r>
            <w:r>
              <w:rPr>
                <w:b/>
                <w:sz w:val="20"/>
              </w:rPr>
              <w:t>business</w:t>
            </w:r>
            <w:r>
              <w:rPr>
                <w:b/>
                <w:spacing w:val="-3"/>
                <w:sz w:val="20"/>
              </w:rPr>
              <w:t> </w:t>
            </w:r>
            <w:r>
              <w:rPr>
                <w:b/>
                <w:sz w:val="20"/>
              </w:rPr>
              <w:t>as</w:t>
            </w:r>
            <w:r>
              <w:rPr>
                <w:b/>
                <w:spacing w:val="-4"/>
                <w:sz w:val="20"/>
              </w:rPr>
              <w:t> </w:t>
            </w:r>
            <w:r>
              <w:rPr>
                <w:b/>
                <w:spacing w:val="-2"/>
                <w:sz w:val="20"/>
              </w:rPr>
              <w:t>usual)</w:t>
            </w:r>
          </w:p>
        </w:tc>
      </w:tr>
      <w:tr>
        <w:trPr>
          <w:trHeight w:val="699" w:hRule="atLeast"/>
        </w:trPr>
        <w:tc>
          <w:tcPr>
            <w:tcW w:w="1871" w:type="dxa"/>
          </w:tcPr>
          <w:p>
            <w:pPr>
              <w:pStyle w:val="TableParagraph"/>
              <w:ind w:right="179"/>
              <w:rPr>
                <w:sz w:val="20"/>
              </w:rPr>
            </w:pPr>
            <w:r>
              <w:rPr>
                <w:sz w:val="20"/>
              </w:rPr>
              <w:t>Change</w:t>
            </w:r>
            <w:r>
              <w:rPr>
                <w:spacing w:val="-14"/>
                <w:sz w:val="20"/>
              </w:rPr>
              <w:t> </w:t>
            </w:r>
            <w:r>
              <w:rPr>
                <w:sz w:val="20"/>
              </w:rPr>
              <w:t>in</w:t>
            </w:r>
            <w:r>
              <w:rPr>
                <w:spacing w:val="-14"/>
                <w:sz w:val="20"/>
              </w:rPr>
              <w:t> </w:t>
            </w:r>
            <w:r>
              <w:rPr>
                <w:sz w:val="20"/>
              </w:rPr>
              <w:t>costs ($ million)</w:t>
            </w:r>
          </w:p>
        </w:tc>
        <w:tc>
          <w:tcPr>
            <w:tcW w:w="1871" w:type="dxa"/>
          </w:tcPr>
          <w:p>
            <w:pPr>
              <w:pStyle w:val="TableParagraph"/>
              <w:rPr>
                <w:sz w:val="20"/>
              </w:rPr>
            </w:pPr>
            <w:r>
              <w:rPr>
                <w:spacing w:val="-2"/>
                <w:sz w:val="20"/>
              </w:rPr>
              <w:t>Business</w:t>
            </w:r>
          </w:p>
        </w:tc>
        <w:tc>
          <w:tcPr>
            <w:tcW w:w="1871" w:type="dxa"/>
          </w:tcPr>
          <w:p>
            <w:pPr>
              <w:pStyle w:val="TableParagraph"/>
              <w:ind w:right="179"/>
              <w:rPr>
                <w:sz w:val="20"/>
              </w:rPr>
            </w:pPr>
            <w:r>
              <w:rPr>
                <w:spacing w:val="-2"/>
                <w:sz w:val="20"/>
              </w:rPr>
              <w:t>Community organisations</w:t>
            </w:r>
          </w:p>
        </w:tc>
        <w:tc>
          <w:tcPr>
            <w:tcW w:w="1871" w:type="dxa"/>
          </w:tcPr>
          <w:p>
            <w:pPr>
              <w:pStyle w:val="TableParagraph"/>
              <w:rPr>
                <w:sz w:val="20"/>
              </w:rPr>
            </w:pPr>
            <w:r>
              <w:rPr>
                <w:spacing w:val="-2"/>
                <w:sz w:val="20"/>
              </w:rPr>
              <w:t>Individuals</w:t>
            </w:r>
          </w:p>
        </w:tc>
        <w:tc>
          <w:tcPr>
            <w:tcW w:w="1872" w:type="dxa"/>
          </w:tcPr>
          <w:p>
            <w:pPr>
              <w:pStyle w:val="TableParagraph"/>
              <w:rPr>
                <w:sz w:val="20"/>
              </w:rPr>
            </w:pPr>
            <w:r>
              <w:rPr>
                <w:sz w:val="20"/>
              </w:rPr>
              <w:t>Total</w:t>
            </w:r>
            <w:r>
              <w:rPr>
                <w:spacing w:val="-14"/>
                <w:sz w:val="20"/>
              </w:rPr>
              <w:t> </w:t>
            </w:r>
            <w:r>
              <w:rPr>
                <w:sz w:val="20"/>
              </w:rPr>
              <w:t>change</w:t>
            </w:r>
            <w:r>
              <w:rPr>
                <w:spacing w:val="-14"/>
                <w:sz w:val="20"/>
              </w:rPr>
              <w:t> </w:t>
            </w:r>
            <w:r>
              <w:rPr>
                <w:sz w:val="20"/>
              </w:rPr>
              <w:t>in </w:t>
            </w:r>
            <w:r>
              <w:rPr>
                <w:spacing w:val="-2"/>
                <w:sz w:val="20"/>
              </w:rPr>
              <w:t>costs</w:t>
            </w:r>
          </w:p>
        </w:tc>
      </w:tr>
      <w:tr>
        <w:trPr>
          <w:trHeight w:val="469" w:hRule="atLeast"/>
        </w:trPr>
        <w:tc>
          <w:tcPr>
            <w:tcW w:w="1871" w:type="dxa"/>
          </w:tcPr>
          <w:p>
            <w:pPr>
              <w:pStyle w:val="TableParagraph"/>
              <w:rPr>
                <w:sz w:val="20"/>
              </w:rPr>
            </w:pPr>
            <w:r>
              <w:rPr>
                <w:sz w:val="20"/>
              </w:rPr>
              <w:t>Total,</w:t>
            </w:r>
            <w:r>
              <w:rPr>
                <w:spacing w:val="-1"/>
                <w:sz w:val="20"/>
              </w:rPr>
              <w:t> </w:t>
            </w:r>
            <w:r>
              <w:rPr>
                <w:sz w:val="20"/>
              </w:rPr>
              <w:t>by</w:t>
            </w:r>
            <w:r>
              <w:rPr>
                <w:spacing w:val="-1"/>
                <w:sz w:val="20"/>
              </w:rPr>
              <w:t> </w:t>
            </w:r>
            <w:r>
              <w:rPr>
                <w:spacing w:val="-2"/>
                <w:sz w:val="20"/>
              </w:rPr>
              <w:t>sector</w:t>
            </w:r>
          </w:p>
        </w:tc>
        <w:tc>
          <w:tcPr>
            <w:tcW w:w="1871" w:type="dxa"/>
          </w:tcPr>
          <w:p>
            <w:pPr>
              <w:pStyle w:val="TableParagraph"/>
              <w:rPr>
                <w:sz w:val="20"/>
              </w:rPr>
            </w:pPr>
            <w:r>
              <w:rPr>
                <w:spacing w:val="-2"/>
                <w:sz w:val="20"/>
              </w:rPr>
              <w:t>$15.3m</w:t>
            </w:r>
          </w:p>
        </w:tc>
        <w:tc>
          <w:tcPr>
            <w:tcW w:w="1871" w:type="dxa"/>
          </w:tcPr>
          <w:p>
            <w:pPr>
              <w:pStyle w:val="TableParagraph"/>
              <w:rPr>
                <w:sz w:val="20"/>
              </w:rPr>
            </w:pPr>
            <w:r>
              <w:rPr>
                <w:spacing w:val="-2"/>
                <w:sz w:val="20"/>
              </w:rPr>
              <w:t>$0.0m</w:t>
            </w:r>
          </w:p>
        </w:tc>
        <w:tc>
          <w:tcPr>
            <w:tcW w:w="1871" w:type="dxa"/>
          </w:tcPr>
          <w:p>
            <w:pPr>
              <w:pStyle w:val="TableParagraph"/>
              <w:rPr>
                <w:sz w:val="20"/>
              </w:rPr>
            </w:pPr>
            <w:r>
              <w:rPr>
                <w:spacing w:val="-2"/>
                <w:sz w:val="20"/>
              </w:rPr>
              <w:t>$0.0m</w:t>
            </w:r>
          </w:p>
        </w:tc>
        <w:tc>
          <w:tcPr>
            <w:tcW w:w="1872" w:type="dxa"/>
          </w:tcPr>
          <w:p>
            <w:pPr>
              <w:pStyle w:val="TableParagraph"/>
              <w:rPr>
                <w:sz w:val="20"/>
              </w:rPr>
            </w:pPr>
            <w:r>
              <w:rPr>
                <w:spacing w:val="-2"/>
                <w:sz w:val="20"/>
              </w:rPr>
              <w:t>$15.3m</w:t>
            </w:r>
          </w:p>
        </w:tc>
      </w:tr>
    </w:tbl>
    <w:p>
      <w:pPr>
        <w:spacing w:after="0"/>
        <w:rPr>
          <w:sz w:val="20"/>
        </w:rPr>
        <w:sectPr>
          <w:footerReference w:type="default" r:id="rId9"/>
          <w:pgSz w:w="11910" w:h="16840"/>
          <w:pgMar w:footer="774" w:header="0" w:top="1100" w:bottom="960" w:left="180" w:right="180"/>
          <w:pgNumType w:start="2"/>
        </w:sectPr>
      </w:pPr>
    </w:p>
    <w:p>
      <w:pPr>
        <w:pStyle w:val="BodyText"/>
        <w:spacing w:before="34"/>
        <w:ind w:left="954" w:right="969"/>
      </w:pPr>
      <w:r>
        <w:rPr/>
        <w:t>I note that the implementation of this proposal will increase the regulatory burden. No offset measure has been</w:t>
      </w:r>
      <w:r>
        <w:rPr>
          <w:spacing w:val="-2"/>
        </w:rPr>
        <w:t> </w:t>
      </w:r>
      <w:r>
        <w:rPr/>
        <w:t>identified,</w:t>
      </w:r>
      <w:r>
        <w:rPr>
          <w:spacing w:val="-1"/>
        </w:rPr>
        <w:t> </w:t>
      </w:r>
      <w:r>
        <w:rPr/>
        <w:t>but</w:t>
      </w:r>
      <w:r>
        <w:rPr>
          <w:spacing w:val="-2"/>
        </w:rPr>
        <w:t> </w:t>
      </w:r>
      <w:r>
        <w:rPr/>
        <w:t>Treasury</w:t>
      </w:r>
      <w:r>
        <w:rPr>
          <w:spacing w:val="-1"/>
        </w:rPr>
        <w:t> </w:t>
      </w:r>
      <w:r>
        <w:rPr/>
        <w:t>is</w:t>
      </w:r>
      <w:r>
        <w:rPr>
          <w:spacing w:val="-2"/>
        </w:rPr>
        <w:t> </w:t>
      </w:r>
      <w:r>
        <w:rPr/>
        <w:t>reviewing</w:t>
      </w:r>
      <w:r>
        <w:rPr>
          <w:spacing w:val="-2"/>
        </w:rPr>
        <w:t> </w:t>
      </w:r>
      <w:r>
        <w:rPr/>
        <w:t>whether</w:t>
      </w:r>
      <w:r>
        <w:rPr>
          <w:spacing w:val="-2"/>
        </w:rPr>
        <w:t> </w:t>
      </w:r>
      <w:r>
        <w:rPr/>
        <w:t>there</w:t>
      </w:r>
      <w:r>
        <w:rPr>
          <w:spacing w:val="-1"/>
        </w:rPr>
        <w:t> </w:t>
      </w:r>
      <w:r>
        <w:rPr/>
        <w:t>are</w:t>
      </w:r>
      <w:r>
        <w:rPr>
          <w:spacing w:val="-1"/>
        </w:rPr>
        <w:t> </w:t>
      </w:r>
      <w:r>
        <w:rPr/>
        <w:t>regulatory</w:t>
      </w:r>
      <w:r>
        <w:rPr>
          <w:spacing w:val="-2"/>
        </w:rPr>
        <w:t> </w:t>
      </w:r>
      <w:r>
        <w:rPr/>
        <w:t>burden</w:t>
      </w:r>
      <w:r>
        <w:rPr>
          <w:spacing w:val="-2"/>
        </w:rPr>
        <w:t> </w:t>
      </w:r>
      <w:r>
        <w:rPr/>
        <w:t>reductions</w:t>
      </w:r>
      <w:r>
        <w:rPr>
          <w:spacing w:val="-2"/>
        </w:rPr>
        <w:t> </w:t>
      </w:r>
      <w:r>
        <w:rPr/>
        <w:t>elsewhere</w:t>
      </w:r>
      <w:r>
        <w:rPr>
          <w:spacing w:val="-1"/>
        </w:rPr>
        <w:t> </w:t>
      </w:r>
      <w:r>
        <w:rPr/>
        <w:t>in</w:t>
      </w:r>
      <w:r>
        <w:rPr>
          <w:spacing w:val="-2"/>
        </w:rPr>
        <w:t> </w:t>
      </w:r>
      <w:r>
        <w:rPr/>
        <w:t>the Mid-Year Economic and Fiscal Outlook process to identify offset measures. Treasury is also seeking to pursue</w:t>
      </w:r>
      <w:r>
        <w:rPr>
          <w:spacing w:val="-3"/>
        </w:rPr>
        <w:t> </w:t>
      </w:r>
      <w:r>
        <w:rPr/>
        <w:t>net</w:t>
      </w:r>
      <w:r>
        <w:rPr>
          <w:spacing w:val="-2"/>
        </w:rPr>
        <w:t> </w:t>
      </w:r>
      <w:r>
        <w:rPr/>
        <w:t>reductions</w:t>
      </w:r>
      <w:r>
        <w:rPr>
          <w:spacing w:val="-3"/>
        </w:rPr>
        <w:t> </w:t>
      </w:r>
      <w:r>
        <w:rPr/>
        <w:t>in</w:t>
      </w:r>
      <w:r>
        <w:rPr>
          <w:spacing w:val="-2"/>
        </w:rPr>
        <w:t> </w:t>
      </w:r>
      <w:r>
        <w:rPr/>
        <w:t>compliance</w:t>
      </w:r>
      <w:r>
        <w:rPr>
          <w:spacing w:val="-2"/>
        </w:rPr>
        <w:t> </w:t>
      </w:r>
      <w:r>
        <w:rPr/>
        <w:t>costs</w:t>
      </w:r>
      <w:r>
        <w:rPr>
          <w:spacing w:val="-2"/>
        </w:rPr>
        <w:t> </w:t>
      </w:r>
      <w:r>
        <w:rPr/>
        <w:t>and</w:t>
      </w:r>
      <w:r>
        <w:rPr>
          <w:spacing w:val="-3"/>
        </w:rPr>
        <w:t> </w:t>
      </w:r>
      <w:r>
        <w:rPr/>
        <w:t>will</w:t>
      </w:r>
      <w:r>
        <w:rPr>
          <w:spacing w:val="-2"/>
        </w:rPr>
        <w:t> </w:t>
      </w:r>
      <w:r>
        <w:rPr/>
        <w:t>work</w:t>
      </w:r>
      <w:r>
        <w:rPr>
          <w:spacing w:val="-3"/>
        </w:rPr>
        <w:t> </w:t>
      </w:r>
      <w:r>
        <w:rPr/>
        <w:t>with</w:t>
      </w:r>
      <w:r>
        <w:rPr>
          <w:spacing w:val="-2"/>
        </w:rPr>
        <w:t> </w:t>
      </w:r>
      <w:r>
        <w:rPr/>
        <w:t>affected</w:t>
      </w:r>
      <w:r>
        <w:rPr>
          <w:spacing w:val="-2"/>
        </w:rPr>
        <w:t> </w:t>
      </w:r>
      <w:r>
        <w:rPr/>
        <w:t>stakeholders</w:t>
      </w:r>
      <w:r>
        <w:rPr>
          <w:spacing w:val="-2"/>
        </w:rPr>
        <w:t> </w:t>
      </w:r>
      <w:r>
        <w:rPr/>
        <w:t>and</w:t>
      </w:r>
      <w:r>
        <w:rPr>
          <w:spacing w:val="-3"/>
        </w:rPr>
        <w:t> </w:t>
      </w:r>
      <w:r>
        <w:rPr/>
        <w:t>across</w:t>
      </w:r>
      <w:r>
        <w:rPr>
          <w:spacing w:val="-3"/>
        </w:rPr>
        <w:t> </w:t>
      </w:r>
      <w:r>
        <w:rPr/>
        <w:t>Government to identify regulatory burden reductions where appropriate.</w:t>
      </w:r>
    </w:p>
    <w:p>
      <w:pPr>
        <w:pStyle w:val="BodyText"/>
        <w:spacing w:before="8"/>
        <w:rPr>
          <w:sz w:val="19"/>
        </w:rPr>
      </w:pPr>
    </w:p>
    <w:p>
      <w:pPr>
        <w:pStyle w:val="Heading1"/>
        <w:ind w:left="954"/>
        <w:rPr>
          <w:i/>
        </w:rPr>
      </w:pPr>
      <w:r>
        <w:rPr>
          <w:i/>
        </w:rPr>
        <w:t>Recommendations</w:t>
      </w:r>
      <w:r>
        <w:rPr>
          <w:i/>
          <w:spacing w:val="-5"/>
        </w:rPr>
        <w:t> </w:t>
      </w:r>
      <w:r>
        <w:rPr>
          <w:i/>
        </w:rPr>
        <w:t>that</w:t>
      </w:r>
      <w:r>
        <w:rPr>
          <w:i/>
          <w:spacing w:val="-1"/>
        </w:rPr>
        <w:t> </w:t>
      </w:r>
      <w:r>
        <w:rPr>
          <w:i/>
        </w:rPr>
        <w:t>have</w:t>
      </w:r>
      <w:r>
        <w:rPr>
          <w:i/>
          <w:spacing w:val="-3"/>
        </w:rPr>
        <w:t> </w:t>
      </w:r>
      <w:r>
        <w:rPr>
          <w:i/>
        </w:rPr>
        <w:t>no</w:t>
      </w:r>
      <w:r>
        <w:rPr>
          <w:i/>
          <w:spacing w:val="-2"/>
        </w:rPr>
        <w:t> </w:t>
      </w:r>
      <w:r>
        <w:rPr>
          <w:i/>
        </w:rPr>
        <w:t>quantified</w:t>
      </w:r>
      <w:r>
        <w:rPr>
          <w:i/>
          <w:spacing w:val="-1"/>
        </w:rPr>
        <w:t> </w:t>
      </w:r>
      <w:r>
        <w:rPr>
          <w:i/>
        </w:rPr>
        <w:t>impacts</w:t>
      </w:r>
      <w:r>
        <w:rPr>
          <w:i/>
          <w:spacing w:val="-3"/>
        </w:rPr>
        <w:t> </w:t>
      </w:r>
      <w:r>
        <w:rPr>
          <w:i/>
        </w:rPr>
        <w:t>or</w:t>
      </w:r>
      <w:r>
        <w:rPr>
          <w:i/>
          <w:spacing w:val="-2"/>
        </w:rPr>
        <w:t> </w:t>
      </w:r>
      <w:r>
        <w:rPr>
          <w:i/>
        </w:rPr>
        <w:t>for</w:t>
      </w:r>
      <w:r>
        <w:rPr>
          <w:i/>
          <w:spacing w:val="-3"/>
        </w:rPr>
        <w:t> </w:t>
      </w:r>
      <w:r>
        <w:rPr>
          <w:i/>
        </w:rPr>
        <w:t>which</w:t>
      </w:r>
      <w:r>
        <w:rPr>
          <w:i/>
          <w:spacing w:val="-1"/>
        </w:rPr>
        <w:t> </w:t>
      </w:r>
      <w:r>
        <w:rPr>
          <w:i/>
        </w:rPr>
        <w:t>costings</w:t>
      </w:r>
      <w:r>
        <w:rPr>
          <w:i/>
          <w:spacing w:val="-2"/>
        </w:rPr>
        <w:t> </w:t>
      </w:r>
      <w:r>
        <w:rPr>
          <w:i/>
        </w:rPr>
        <w:t>have</w:t>
      </w:r>
      <w:r>
        <w:rPr>
          <w:i/>
          <w:spacing w:val="-2"/>
        </w:rPr>
        <w:t> </w:t>
      </w:r>
      <w:r>
        <w:rPr>
          <w:i/>
        </w:rPr>
        <w:t>not</w:t>
      </w:r>
      <w:r>
        <w:rPr>
          <w:i/>
          <w:spacing w:val="-2"/>
        </w:rPr>
        <w:t> </w:t>
      </w:r>
      <w:r>
        <w:rPr>
          <w:i/>
        </w:rPr>
        <w:t>been</w:t>
      </w:r>
      <w:r>
        <w:rPr>
          <w:i/>
          <w:spacing w:val="-2"/>
        </w:rPr>
        <w:t> prepared</w:t>
      </w:r>
    </w:p>
    <w:p>
      <w:pPr>
        <w:pStyle w:val="BodyText"/>
        <w:spacing w:before="120"/>
        <w:ind w:left="954"/>
      </w:pPr>
      <w:r>
        <w:rPr/>
        <w:t>Regulatory</w:t>
      </w:r>
      <w:r>
        <w:rPr>
          <w:spacing w:val="-6"/>
        </w:rPr>
        <w:t> </w:t>
      </w:r>
      <w:r>
        <w:rPr/>
        <w:t>costings</w:t>
      </w:r>
      <w:r>
        <w:rPr>
          <w:spacing w:val="-3"/>
        </w:rPr>
        <w:t> </w:t>
      </w:r>
      <w:r>
        <w:rPr/>
        <w:t>have</w:t>
      </w:r>
      <w:r>
        <w:rPr>
          <w:spacing w:val="-3"/>
        </w:rPr>
        <w:t> </w:t>
      </w:r>
      <w:r>
        <w:rPr/>
        <w:t>not</w:t>
      </w:r>
      <w:r>
        <w:rPr>
          <w:spacing w:val="-3"/>
        </w:rPr>
        <w:t> </w:t>
      </w:r>
      <w:r>
        <w:rPr/>
        <w:t>been</w:t>
      </w:r>
      <w:r>
        <w:rPr>
          <w:spacing w:val="-2"/>
        </w:rPr>
        <w:t> </w:t>
      </w:r>
      <w:r>
        <w:rPr/>
        <w:t>prepared</w:t>
      </w:r>
      <w:r>
        <w:rPr>
          <w:spacing w:val="-2"/>
        </w:rPr>
        <w:t> </w:t>
      </w:r>
      <w:r>
        <w:rPr/>
        <w:t>for</w:t>
      </w:r>
      <w:r>
        <w:rPr>
          <w:spacing w:val="-4"/>
        </w:rPr>
        <w:t> </w:t>
      </w:r>
      <w:r>
        <w:rPr/>
        <w:t>certain</w:t>
      </w:r>
      <w:r>
        <w:rPr>
          <w:spacing w:val="-3"/>
        </w:rPr>
        <w:t> </w:t>
      </w:r>
      <w:r>
        <w:rPr/>
        <w:t>Inquiry</w:t>
      </w:r>
      <w:r>
        <w:rPr>
          <w:spacing w:val="-3"/>
        </w:rPr>
        <w:t> </w:t>
      </w:r>
      <w:r>
        <w:rPr/>
        <w:t>recommendations</w:t>
      </w:r>
      <w:r>
        <w:rPr>
          <w:spacing w:val="-3"/>
        </w:rPr>
        <w:t> </w:t>
      </w:r>
      <w:r>
        <w:rPr/>
        <w:t>for</w:t>
      </w:r>
      <w:r>
        <w:rPr>
          <w:spacing w:val="-3"/>
        </w:rPr>
        <w:t> </w:t>
      </w:r>
      <w:r>
        <w:rPr/>
        <w:t>the</w:t>
      </w:r>
      <w:r>
        <w:rPr>
          <w:spacing w:val="-3"/>
        </w:rPr>
        <w:t> </w:t>
      </w:r>
      <w:r>
        <w:rPr/>
        <w:t>following</w:t>
      </w:r>
      <w:r>
        <w:rPr>
          <w:spacing w:val="-3"/>
        </w:rPr>
        <w:t> </w:t>
      </w:r>
      <w:r>
        <w:rPr>
          <w:spacing w:val="-2"/>
        </w:rPr>
        <w:t>reasons:</w:t>
      </w:r>
    </w:p>
    <w:p>
      <w:pPr>
        <w:pStyle w:val="BodyText"/>
        <w:spacing w:before="8"/>
        <w:rPr>
          <w:sz w:val="19"/>
        </w:rPr>
      </w:pPr>
    </w:p>
    <w:p>
      <w:pPr>
        <w:pStyle w:val="ListParagraph"/>
        <w:numPr>
          <w:ilvl w:val="0"/>
          <w:numId w:val="2"/>
        </w:numPr>
        <w:tabs>
          <w:tab w:pos="1379" w:val="left" w:leader="none"/>
          <w:tab w:pos="1381" w:val="left" w:leader="none"/>
        </w:tabs>
        <w:spacing w:line="240" w:lineRule="auto" w:before="0" w:after="0"/>
        <w:ind w:left="1380" w:right="1045" w:hanging="426"/>
        <w:jc w:val="left"/>
        <w:rPr>
          <w:sz w:val="22"/>
        </w:rPr>
      </w:pPr>
      <w:r>
        <w:rPr>
          <w:sz w:val="22"/>
        </w:rPr>
        <w:t>Where Inquiry recommendations have no expected regulatory impacts on stakeholders, regulatory costings are not quantified. I am satisfied that this first tranche of recommendations</w:t>
      </w:r>
      <w:r>
        <w:rPr>
          <w:sz w:val="22"/>
          <w:vertAlign w:val="superscript"/>
        </w:rPr>
        <w:t>1</w:t>
      </w:r>
      <w:r>
        <w:rPr>
          <w:sz w:val="22"/>
          <w:vertAlign w:val="baseline"/>
        </w:rPr>
        <w:t> has no regulatory burden impact. These recommendations broadly relate to maintaining the status quo, suggestions</w:t>
      </w:r>
      <w:r>
        <w:rPr>
          <w:spacing w:val="-3"/>
          <w:sz w:val="22"/>
          <w:vertAlign w:val="baseline"/>
        </w:rPr>
        <w:t> </w:t>
      </w:r>
      <w:r>
        <w:rPr>
          <w:sz w:val="22"/>
          <w:vertAlign w:val="baseline"/>
        </w:rPr>
        <w:t>of</w:t>
      </w:r>
      <w:r>
        <w:rPr>
          <w:spacing w:val="-2"/>
          <w:sz w:val="22"/>
          <w:vertAlign w:val="baseline"/>
        </w:rPr>
        <w:t> </w:t>
      </w:r>
      <w:r>
        <w:rPr>
          <w:sz w:val="22"/>
          <w:vertAlign w:val="baseline"/>
        </w:rPr>
        <w:t>principles</w:t>
      </w:r>
      <w:r>
        <w:rPr>
          <w:spacing w:val="-2"/>
          <w:sz w:val="22"/>
          <w:vertAlign w:val="baseline"/>
        </w:rPr>
        <w:t> </w:t>
      </w:r>
      <w:r>
        <w:rPr>
          <w:sz w:val="22"/>
          <w:vertAlign w:val="baseline"/>
        </w:rPr>
        <w:t>to</w:t>
      </w:r>
      <w:r>
        <w:rPr>
          <w:spacing w:val="-2"/>
          <w:sz w:val="22"/>
          <w:vertAlign w:val="baseline"/>
        </w:rPr>
        <w:t> </w:t>
      </w:r>
      <w:r>
        <w:rPr>
          <w:sz w:val="22"/>
          <w:vertAlign w:val="baseline"/>
        </w:rPr>
        <w:t>be</w:t>
      </w:r>
      <w:r>
        <w:rPr>
          <w:spacing w:val="-3"/>
          <w:sz w:val="22"/>
          <w:vertAlign w:val="baseline"/>
        </w:rPr>
        <w:t> </w:t>
      </w:r>
      <w:r>
        <w:rPr>
          <w:sz w:val="22"/>
          <w:vertAlign w:val="baseline"/>
        </w:rPr>
        <w:t>applied</w:t>
      </w:r>
      <w:r>
        <w:rPr>
          <w:spacing w:val="-2"/>
          <w:sz w:val="22"/>
          <w:vertAlign w:val="baseline"/>
        </w:rPr>
        <w:t> </w:t>
      </w:r>
      <w:r>
        <w:rPr>
          <w:sz w:val="22"/>
          <w:vertAlign w:val="baseline"/>
        </w:rPr>
        <w:t>and</w:t>
      </w:r>
      <w:r>
        <w:rPr>
          <w:spacing w:val="-2"/>
          <w:sz w:val="22"/>
          <w:vertAlign w:val="baseline"/>
        </w:rPr>
        <w:t> </w:t>
      </w:r>
      <w:r>
        <w:rPr>
          <w:sz w:val="22"/>
          <w:vertAlign w:val="baseline"/>
        </w:rPr>
        <w:t>processes</w:t>
      </w:r>
      <w:r>
        <w:rPr>
          <w:spacing w:val="-3"/>
          <w:sz w:val="22"/>
          <w:vertAlign w:val="baseline"/>
        </w:rPr>
        <w:t> </w:t>
      </w:r>
      <w:r>
        <w:rPr>
          <w:sz w:val="22"/>
          <w:vertAlign w:val="baseline"/>
        </w:rPr>
        <w:t>for</w:t>
      </w:r>
      <w:r>
        <w:rPr>
          <w:spacing w:val="-3"/>
          <w:sz w:val="22"/>
          <w:vertAlign w:val="baseline"/>
        </w:rPr>
        <w:t> </w:t>
      </w:r>
      <w:r>
        <w:rPr>
          <w:sz w:val="22"/>
          <w:vertAlign w:val="baseline"/>
        </w:rPr>
        <w:t>regulators</w:t>
      </w:r>
      <w:r>
        <w:rPr>
          <w:spacing w:val="-2"/>
          <w:sz w:val="22"/>
          <w:vertAlign w:val="baseline"/>
        </w:rPr>
        <w:t> </w:t>
      </w:r>
      <w:r>
        <w:rPr>
          <w:sz w:val="22"/>
          <w:vertAlign w:val="baseline"/>
        </w:rPr>
        <w:t>to</w:t>
      </w:r>
      <w:r>
        <w:rPr>
          <w:spacing w:val="-2"/>
          <w:sz w:val="22"/>
          <w:vertAlign w:val="baseline"/>
        </w:rPr>
        <w:t> </w:t>
      </w:r>
      <w:r>
        <w:rPr>
          <w:sz w:val="22"/>
          <w:vertAlign w:val="baseline"/>
        </w:rPr>
        <w:t>follow,</w:t>
      </w:r>
      <w:r>
        <w:rPr>
          <w:spacing w:val="-3"/>
          <w:sz w:val="22"/>
          <w:vertAlign w:val="baseline"/>
        </w:rPr>
        <w:t> </w:t>
      </w:r>
      <w:r>
        <w:rPr>
          <w:sz w:val="22"/>
          <w:vertAlign w:val="baseline"/>
        </w:rPr>
        <w:t>that</w:t>
      </w:r>
      <w:r>
        <w:rPr>
          <w:spacing w:val="-3"/>
          <w:sz w:val="22"/>
          <w:vertAlign w:val="baseline"/>
        </w:rPr>
        <w:t> </w:t>
      </w:r>
      <w:r>
        <w:rPr>
          <w:sz w:val="22"/>
          <w:vertAlign w:val="baseline"/>
        </w:rPr>
        <w:t>are</w:t>
      </w:r>
      <w:r>
        <w:rPr>
          <w:spacing w:val="-2"/>
          <w:sz w:val="22"/>
          <w:vertAlign w:val="baseline"/>
        </w:rPr>
        <w:t> </w:t>
      </w:r>
      <w:r>
        <w:rPr>
          <w:sz w:val="22"/>
          <w:vertAlign w:val="baseline"/>
        </w:rPr>
        <w:t>directed</w:t>
      </w:r>
      <w:r>
        <w:rPr>
          <w:spacing w:val="-2"/>
          <w:sz w:val="22"/>
          <w:vertAlign w:val="baseline"/>
        </w:rPr>
        <w:t> </w:t>
      </w:r>
      <w:r>
        <w:rPr>
          <w:sz w:val="22"/>
          <w:vertAlign w:val="baseline"/>
        </w:rPr>
        <w:t>for</w:t>
      </w:r>
      <w:r>
        <w:rPr>
          <w:spacing w:val="-3"/>
          <w:sz w:val="22"/>
          <w:vertAlign w:val="baseline"/>
        </w:rPr>
        <w:t> </w:t>
      </w:r>
      <w:r>
        <w:rPr>
          <w:sz w:val="22"/>
          <w:vertAlign w:val="baseline"/>
        </w:rPr>
        <w:t>the attention of a regulator or private sector body, the manner in which to prioritise Inquiry recommendations,</w:t>
      </w:r>
      <w:r>
        <w:rPr>
          <w:spacing w:val="-3"/>
          <w:sz w:val="22"/>
          <w:vertAlign w:val="baseline"/>
        </w:rPr>
        <w:t> </w:t>
      </w:r>
      <w:r>
        <w:rPr>
          <w:sz w:val="22"/>
          <w:vertAlign w:val="baseline"/>
        </w:rPr>
        <w:t>and</w:t>
      </w:r>
      <w:r>
        <w:rPr>
          <w:spacing w:val="-3"/>
          <w:sz w:val="22"/>
          <w:vertAlign w:val="baseline"/>
        </w:rPr>
        <w:t> </w:t>
      </w:r>
      <w:r>
        <w:rPr>
          <w:sz w:val="22"/>
          <w:vertAlign w:val="baseline"/>
        </w:rPr>
        <w:t>items</w:t>
      </w:r>
      <w:r>
        <w:rPr>
          <w:spacing w:val="-2"/>
          <w:sz w:val="22"/>
          <w:vertAlign w:val="baseline"/>
        </w:rPr>
        <w:t> </w:t>
      </w:r>
      <w:r>
        <w:rPr>
          <w:sz w:val="22"/>
          <w:vertAlign w:val="baseline"/>
        </w:rPr>
        <w:t>for</w:t>
      </w:r>
      <w:r>
        <w:rPr>
          <w:spacing w:val="-3"/>
          <w:sz w:val="22"/>
          <w:vertAlign w:val="baseline"/>
        </w:rPr>
        <w:t> </w:t>
      </w:r>
      <w:r>
        <w:rPr>
          <w:sz w:val="22"/>
          <w:vertAlign w:val="baseline"/>
        </w:rPr>
        <w:t>consideration</w:t>
      </w:r>
      <w:r>
        <w:rPr>
          <w:spacing w:val="-2"/>
          <w:sz w:val="22"/>
          <w:vertAlign w:val="baseline"/>
        </w:rPr>
        <w:t> </w:t>
      </w:r>
      <w:r>
        <w:rPr>
          <w:sz w:val="22"/>
          <w:vertAlign w:val="baseline"/>
        </w:rPr>
        <w:t>in</w:t>
      </w:r>
      <w:r>
        <w:rPr>
          <w:spacing w:val="-3"/>
          <w:sz w:val="22"/>
          <w:vertAlign w:val="baseline"/>
        </w:rPr>
        <w:t> </w:t>
      </w:r>
      <w:r>
        <w:rPr>
          <w:sz w:val="22"/>
          <w:vertAlign w:val="baseline"/>
        </w:rPr>
        <w:t>post-implementation</w:t>
      </w:r>
      <w:r>
        <w:rPr>
          <w:spacing w:val="-3"/>
          <w:sz w:val="22"/>
          <w:vertAlign w:val="baseline"/>
        </w:rPr>
        <w:t> </w:t>
      </w:r>
      <w:r>
        <w:rPr>
          <w:sz w:val="22"/>
          <w:vertAlign w:val="baseline"/>
        </w:rPr>
        <w:t>reviews</w:t>
      </w:r>
      <w:r>
        <w:rPr>
          <w:spacing w:val="-2"/>
          <w:sz w:val="22"/>
          <w:vertAlign w:val="baseline"/>
        </w:rPr>
        <w:t> </w:t>
      </w:r>
      <w:r>
        <w:rPr>
          <w:sz w:val="22"/>
          <w:vertAlign w:val="baseline"/>
        </w:rPr>
        <w:t>and</w:t>
      </w:r>
      <w:r>
        <w:rPr>
          <w:spacing w:val="-3"/>
          <w:sz w:val="22"/>
          <w:vertAlign w:val="baseline"/>
        </w:rPr>
        <w:t> </w:t>
      </w:r>
      <w:r>
        <w:rPr>
          <w:sz w:val="22"/>
          <w:vertAlign w:val="baseline"/>
        </w:rPr>
        <w:t>for</w:t>
      </w:r>
      <w:r>
        <w:rPr>
          <w:spacing w:val="-3"/>
          <w:sz w:val="22"/>
          <w:vertAlign w:val="baseline"/>
        </w:rPr>
        <w:t> </w:t>
      </w:r>
      <w:r>
        <w:rPr>
          <w:sz w:val="22"/>
          <w:vertAlign w:val="baseline"/>
        </w:rPr>
        <w:t>engaging</w:t>
      </w:r>
      <w:r>
        <w:rPr>
          <w:spacing w:val="-3"/>
          <w:sz w:val="22"/>
          <w:vertAlign w:val="baseline"/>
        </w:rPr>
        <w:t> </w:t>
      </w:r>
      <w:r>
        <w:rPr>
          <w:sz w:val="22"/>
          <w:vertAlign w:val="baseline"/>
        </w:rPr>
        <w:t>with international jurisdictions.</w:t>
      </w:r>
    </w:p>
    <w:p>
      <w:pPr>
        <w:pStyle w:val="BodyText"/>
        <w:spacing w:before="8"/>
        <w:rPr>
          <w:sz w:val="19"/>
        </w:rPr>
      </w:pPr>
    </w:p>
    <w:p>
      <w:pPr>
        <w:pStyle w:val="ListParagraph"/>
        <w:numPr>
          <w:ilvl w:val="0"/>
          <w:numId w:val="2"/>
        </w:numPr>
        <w:tabs>
          <w:tab w:pos="1379" w:val="left" w:leader="none"/>
          <w:tab w:pos="1381" w:val="left" w:leader="none"/>
        </w:tabs>
        <w:spacing w:line="240" w:lineRule="auto" w:before="0" w:after="0"/>
        <w:ind w:left="1380" w:right="1676" w:hanging="426"/>
        <w:jc w:val="left"/>
        <w:rPr>
          <w:sz w:val="22"/>
        </w:rPr>
      </w:pPr>
      <w:r>
        <w:rPr>
          <w:sz w:val="22"/>
        </w:rPr>
        <w:t>Certification</w:t>
      </w:r>
      <w:r>
        <w:rPr>
          <w:spacing w:val="-4"/>
          <w:sz w:val="22"/>
        </w:rPr>
        <w:t> </w:t>
      </w:r>
      <w:r>
        <w:rPr>
          <w:sz w:val="22"/>
        </w:rPr>
        <w:t>of</w:t>
      </w:r>
      <w:r>
        <w:rPr>
          <w:spacing w:val="-3"/>
          <w:sz w:val="22"/>
        </w:rPr>
        <w:t> </w:t>
      </w:r>
      <w:r>
        <w:rPr>
          <w:sz w:val="22"/>
        </w:rPr>
        <w:t>independent</w:t>
      </w:r>
      <w:r>
        <w:rPr>
          <w:spacing w:val="-4"/>
          <w:sz w:val="22"/>
        </w:rPr>
        <w:t> </w:t>
      </w:r>
      <w:r>
        <w:rPr>
          <w:sz w:val="22"/>
        </w:rPr>
        <w:t>reviews</w:t>
      </w:r>
      <w:r>
        <w:rPr>
          <w:spacing w:val="-3"/>
          <w:sz w:val="22"/>
        </w:rPr>
        <w:t> </w:t>
      </w:r>
      <w:r>
        <w:rPr>
          <w:sz w:val="22"/>
        </w:rPr>
        <w:t>has</w:t>
      </w:r>
      <w:r>
        <w:rPr>
          <w:spacing w:val="-3"/>
          <w:sz w:val="22"/>
        </w:rPr>
        <w:t> </w:t>
      </w:r>
      <w:r>
        <w:rPr>
          <w:sz w:val="22"/>
        </w:rPr>
        <w:t>previously</w:t>
      </w:r>
      <w:r>
        <w:rPr>
          <w:spacing w:val="-3"/>
          <w:sz w:val="22"/>
        </w:rPr>
        <w:t> </w:t>
      </w:r>
      <w:r>
        <w:rPr>
          <w:sz w:val="22"/>
        </w:rPr>
        <w:t>been</w:t>
      </w:r>
      <w:r>
        <w:rPr>
          <w:spacing w:val="-3"/>
          <w:sz w:val="22"/>
        </w:rPr>
        <w:t> </w:t>
      </w:r>
      <w:r>
        <w:rPr>
          <w:sz w:val="22"/>
        </w:rPr>
        <w:t>undertaken</w:t>
      </w:r>
      <w:r>
        <w:rPr>
          <w:spacing w:val="-3"/>
          <w:sz w:val="22"/>
        </w:rPr>
        <w:t> </w:t>
      </w:r>
      <w:r>
        <w:rPr>
          <w:sz w:val="22"/>
        </w:rPr>
        <w:t>in</w:t>
      </w:r>
      <w:r>
        <w:rPr>
          <w:spacing w:val="-4"/>
          <w:sz w:val="22"/>
        </w:rPr>
        <w:t> </w:t>
      </w:r>
      <w:r>
        <w:rPr>
          <w:sz w:val="22"/>
        </w:rPr>
        <w:t>respect</w:t>
      </w:r>
      <w:r>
        <w:rPr>
          <w:spacing w:val="-3"/>
          <w:sz w:val="22"/>
        </w:rPr>
        <w:t> </w:t>
      </w:r>
      <w:r>
        <w:rPr>
          <w:sz w:val="22"/>
        </w:rPr>
        <w:t>of</w:t>
      </w:r>
      <w:r>
        <w:rPr>
          <w:spacing w:val="-4"/>
          <w:sz w:val="22"/>
        </w:rPr>
        <w:t> </w:t>
      </w:r>
      <w:r>
        <w:rPr>
          <w:sz w:val="22"/>
        </w:rPr>
        <w:t>a</w:t>
      </w:r>
      <w:r>
        <w:rPr>
          <w:spacing w:val="-4"/>
          <w:sz w:val="22"/>
        </w:rPr>
        <w:t> </w:t>
      </w:r>
      <w:r>
        <w:rPr>
          <w:sz w:val="22"/>
        </w:rPr>
        <w:t>number</w:t>
      </w:r>
      <w:r>
        <w:rPr>
          <w:spacing w:val="-4"/>
          <w:sz w:val="22"/>
        </w:rPr>
        <w:t> </w:t>
      </w:r>
      <w:r>
        <w:rPr>
          <w:sz w:val="22"/>
        </w:rPr>
        <w:t>of matters that are part of the Inquiry and the Government’s response. This second tranche of recommendations</w:t>
      </w:r>
      <w:r>
        <w:rPr>
          <w:sz w:val="22"/>
          <w:vertAlign w:val="superscript"/>
        </w:rPr>
        <w:t>2</w:t>
      </w:r>
      <w:r>
        <w:rPr>
          <w:sz w:val="22"/>
          <w:vertAlign w:val="baseline"/>
        </w:rPr>
        <w:t> effectively restate:</w:t>
      </w:r>
    </w:p>
    <w:p>
      <w:pPr>
        <w:pStyle w:val="BodyText"/>
        <w:spacing w:before="8"/>
        <w:rPr>
          <w:sz w:val="19"/>
        </w:rPr>
      </w:pPr>
    </w:p>
    <w:p>
      <w:pPr>
        <w:pStyle w:val="ListParagraph"/>
        <w:numPr>
          <w:ilvl w:val="1"/>
          <w:numId w:val="2"/>
        </w:numPr>
        <w:tabs>
          <w:tab w:pos="1806" w:val="left" w:leader="none"/>
        </w:tabs>
        <w:spacing w:line="240" w:lineRule="auto" w:before="0" w:after="0"/>
        <w:ind w:left="1805" w:right="960" w:hanging="236"/>
        <w:jc w:val="left"/>
        <w:rPr>
          <w:sz w:val="22"/>
        </w:rPr>
      </w:pPr>
      <w:r>
        <w:rPr>
          <w:sz w:val="22"/>
        </w:rPr>
        <w:t>recommendations</w:t>
      </w:r>
      <w:r>
        <w:rPr>
          <w:spacing w:val="-3"/>
          <w:sz w:val="22"/>
        </w:rPr>
        <w:t> </w:t>
      </w:r>
      <w:r>
        <w:rPr>
          <w:sz w:val="22"/>
        </w:rPr>
        <w:t>and</w:t>
      </w:r>
      <w:r>
        <w:rPr>
          <w:spacing w:val="-4"/>
          <w:sz w:val="22"/>
        </w:rPr>
        <w:t> </w:t>
      </w:r>
      <w:r>
        <w:rPr>
          <w:sz w:val="22"/>
        </w:rPr>
        <w:t>options</w:t>
      </w:r>
      <w:r>
        <w:rPr>
          <w:spacing w:val="-3"/>
          <w:sz w:val="22"/>
        </w:rPr>
        <w:t> </w:t>
      </w:r>
      <w:r>
        <w:rPr>
          <w:sz w:val="22"/>
        </w:rPr>
        <w:t>from</w:t>
      </w:r>
      <w:r>
        <w:rPr>
          <w:spacing w:val="-3"/>
          <w:sz w:val="22"/>
        </w:rPr>
        <w:t> </w:t>
      </w:r>
      <w:r>
        <w:rPr>
          <w:sz w:val="22"/>
        </w:rPr>
        <w:t>the</w:t>
      </w:r>
      <w:r>
        <w:rPr>
          <w:spacing w:val="-3"/>
          <w:sz w:val="22"/>
        </w:rPr>
        <w:t> </w:t>
      </w:r>
      <w:r>
        <w:rPr>
          <w:i/>
          <w:sz w:val="22"/>
        </w:rPr>
        <w:t>Data</w:t>
      </w:r>
      <w:r>
        <w:rPr>
          <w:i/>
          <w:spacing w:val="-4"/>
          <w:sz w:val="22"/>
        </w:rPr>
        <w:t> </w:t>
      </w:r>
      <w:r>
        <w:rPr>
          <w:i/>
          <w:sz w:val="22"/>
        </w:rPr>
        <w:t>Availability</w:t>
      </w:r>
      <w:r>
        <w:rPr>
          <w:i/>
          <w:spacing w:val="-3"/>
          <w:sz w:val="22"/>
        </w:rPr>
        <w:t> </w:t>
      </w:r>
      <w:r>
        <w:rPr>
          <w:i/>
          <w:sz w:val="22"/>
        </w:rPr>
        <w:t>and</w:t>
      </w:r>
      <w:r>
        <w:rPr>
          <w:i/>
          <w:spacing w:val="-4"/>
          <w:sz w:val="22"/>
        </w:rPr>
        <w:t> </w:t>
      </w:r>
      <w:r>
        <w:rPr>
          <w:i/>
          <w:sz w:val="22"/>
        </w:rPr>
        <w:t>Use</w:t>
      </w:r>
      <w:r>
        <w:rPr>
          <w:i/>
          <w:spacing w:val="-3"/>
          <w:sz w:val="22"/>
        </w:rPr>
        <w:t> </w:t>
      </w:r>
      <w:r>
        <w:rPr>
          <w:i/>
          <w:sz w:val="22"/>
        </w:rPr>
        <w:t>Productivity</w:t>
      </w:r>
      <w:r>
        <w:rPr>
          <w:i/>
          <w:spacing w:val="-3"/>
          <w:sz w:val="22"/>
        </w:rPr>
        <w:t> </w:t>
      </w:r>
      <w:r>
        <w:rPr>
          <w:i/>
          <w:sz w:val="22"/>
        </w:rPr>
        <w:t>Commission</w:t>
      </w:r>
      <w:r>
        <w:rPr>
          <w:i/>
          <w:spacing w:val="-4"/>
          <w:sz w:val="22"/>
        </w:rPr>
        <w:t> </w:t>
      </w:r>
      <w:r>
        <w:rPr>
          <w:i/>
          <w:sz w:val="22"/>
        </w:rPr>
        <w:t>Inquiry</w:t>
      </w:r>
      <w:r>
        <w:rPr>
          <w:i/>
          <w:sz w:val="22"/>
        </w:rPr>
        <w:t> Report </w:t>
      </w:r>
      <w:r>
        <w:rPr>
          <w:sz w:val="22"/>
        </w:rPr>
        <w:t>(8 May 2017);</w:t>
      </w:r>
    </w:p>
    <w:p>
      <w:pPr>
        <w:pStyle w:val="BodyText"/>
        <w:spacing w:before="8"/>
        <w:rPr>
          <w:sz w:val="19"/>
        </w:rPr>
      </w:pPr>
    </w:p>
    <w:p>
      <w:pPr>
        <w:pStyle w:val="ListParagraph"/>
        <w:numPr>
          <w:ilvl w:val="1"/>
          <w:numId w:val="2"/>
        </w:numPr>
        <w:tabs>
          <w:tab w:pos="1806" w:val="left" w:leader="none"/>
        </w:tabs>
        <w:spacing w:line="240" w:lineRule="auto" w:before="0" w:after="0"/>
        <w:ind w:left="1805" w:right="990" w:hanging="236"/>
        <w:jc w:val="left"/>
        <w:rPr>
          <w:sz w:val="22"/>
        </w:rPr>
      </w:pPr>
      <w:r>
        <w:rPr>
          <w:sz w:val="22"/>
        </w:rPr>
        <w:t>recommendations</w:t>
      </w:r>
      <w:r>
        <w:rPr>
          <w:spacing w:val="-3"/>
          <w:sz w:val="22"/>
        </w:rPr>
        <w:t> </w:t>
      </w:r>
      <w:r>
        <w:rPr>
          <w:sz w:val="22"/>
        </w:rPr>
        <w:t>and</w:t>
      </w:r>
      <w:r>
        <w:rPr>
          <w:spacing w:val="-4"/>
          <w:sz w:val="22"/>
        </w:rPr>
        <w:t> </w:t>
      </w:r>
      <w:r>
        <w:rPr>
          <w:sz w:val="22"/>
        </w:rPr>
        <w:t>options</w:t>
      </w:r>
      <w:r>
        <w:rPr>
          <w:spacing w:val="-3"/>
          <w:sz w:val="22"/>
        </w:rPr>
        <w:t> </w:t>
      </w:r>
      <w:r>
        <w:rPr>
          <w:sz w:val="22"/>
        </w:rPr>
        <w:t>from</w:t>
      </w:r>
      <w:r>
        <w:rPr>
          <w:spacing w:val="-3"/>
          <w:sz w:val="22"/>
        </w:rPr>
        <w:t> </w:t>
      </w:r>
      <w:r>
        <w:rPr>
          <w:sz w:val="22"/>
        </w:rPr>
        <w:t>the</w:t>
      </w:r>
      <w:r>
        <w:rPr>
          <w:spacing w:val="-3"/>
          <w:sz w:val="22"/>
        </w:rPr>
        <w:t> </w:t>
      </w:r>
      <w:r>
        <w:rPr>
          <w:i/>
          <w:sz w:val="22"/>
        </w:rPr>
        <w:t>Review</w:t>
      </w:r>
      <w:r>
        <w:rPr>
          <w:i/>
          <w:spacing w:val="-3"/>
          <w:sz w:val="22"/>
        </w:rPr>
        <w:t> </w:t>
      </w:r>
      <w:r>
        <w:rPr>
          <w:i/>
          <w:sz w:val="22"/>
        </w:rPr>
        <w:t>into</w:t>
      </w:r>
      <w:r>
        <w:rPr>
          <w:i/>
          <w:spacing w:val="-3"/>
          <w:sz w:val="22"/>
        </w:rPr>
        <w:t> </w:t>
      </w:r>
      <w:r>
        <w:rPr>
          <w:i/>
          <w:sz w:val="22"/>
        </w:rPr>
        <w:t>Open</w:t>
      </w:r>
      <w:r>
        <w:rPr>
          <w:i/>
          <w:spacing w:val="-4"/>
          <w:sz w:val="22"/>
        </w:rPr>
        <w:t> </w:t>
      </w:r>
      <w:r>
        <w:rPr>
          <w:i/>
          <w:sz w:val="22"/>
        </w:rPr>
        <w:t>Banking</w:t>
      </w:r>
      <w:r>
        <w:rPr>
          <w:i/>
          <w:spacing w:val="-4"/>
          <w:sz w:val="22"/>
        </w:rPr>
        <w:t> </w:t>
      </w:r>
      <w:r>
        <w:rPr>
          <w:i/>
          <w:sz w:val="22"/>
        </w:rPr>
        <w:t>Final</w:t>
      </w:r>
      <w:r>
        <w:rPr>
          <w:i/>
          <w:spacing w:val="-3"/>
          <w:sz w:val="22"/>
        </w:rPr>
        <w:t> </w:t>
      </w:r>
      <w:r>
        <w:rPr>
          <w:i/>
          <w:sz w:val="22"/>
        </w:rPr>
        <w:t>Report</w:t>
      </w:r>
      <w:r>
        <w:rPr>
          <w:i/>
          <w:spacing w:val="-3"/>
          <w:sz w:val="22"/>
        </w:rPr>
        <w:t> </w:t>
      </w:r>
      <w:r>
        <w:rPr>
          <w:sz w:val="22"/>
        </w:rPr>
        <w:t>(December</w:t>
      </w:r>
      <w:r>
        <w:rPr>
          <w:spacing w:val="-4"/>
          <w:sz w:val="22"/>
        </w:rPr>
        <w:t> </w:t>
      </w:r>
      <w:r>
        <w:rPr>
          <w:sz w:val="22"/>
        </w:rPr>
        <w:t>2017); </w:t>
      </w:r>
      <w:r>
        <w:rPr>
          <w:spacing w:val="-4"/>
          <w:sz w:val="22"/>
        </w:rPr>
        <w:t>and</w:t>
      </w:r>
    </w:p>
    <w:p>
      <w:pPr>
        <w:pStyle w:val="BodyText"/>
        <w:spacing w:before="8"/>
        <w:rPr>
          <w:sz w:val="19"/>
        </w:rPr>
      </w:pPr>
    </w:p>
    <w:p>
      <w:pPr>
        <w:pStyle w:val="ListParagraph"/>
        <w:numPr>
          <w:ilvl w:val="1"/>
          <w:numId w:val="2"/>
        </w:numPr>
        <w:tabs>
          <w:tab w:pos="1806" w:val="left" w:leader="none"/>
        </w:tabs>
        <w:spacing w:line="240" w:lineRule="auto" w:before="0" w:after="0"/>
        <w:ind w:left="1805" w:right="0" w:hanging="237"/>
        <w:jc w:val="left"/>
        <w:rPr>
          <w:sz w:val="22"/>
        </w:rPr>
      </w:pPr>
      <w:r>
        <w:rPr>
          <w:sz w:val="22"/>
        </w:rPr>
        <w:t>ACCC’s</w:t>
      </w:r>
      <w:r>
        <w:rPr>
          <w:spacing w:val="-5"/>
          <w:sz w:val="22"/>
        </w:rPr>
        <w:t> </w:t>
      </w:r>
      <w:r>
        <w:rPr>
          <w:sz w:val="22"/>
        </w:rPr>
        <w:t>rules</w:t>
      </w:r>
      <w:r>
        <w:rPr>
          <w:spacing w:val="-3"/>
          <w:sz w:val="22"/>
        </w:rPr>
        <w:t> </w:t>
      </w:r>
      <w:r>
        <w:rPr>
          <w:sz w:val="22"/>
        </w:rPr>
        <w:t>made</w:t>
      </w:r>
      <w:r>
        <w:rPr>
          <w:spacing w:val="-3"/>
          <w:sz w:val="22"/>
        </w:rPr>
        <w:t> </w:t>
      </w:r>
      <w:r>
        <w:rPr>
          <w:sz w:val="22"/>
        </w:rPr>
        <w:t>in</w:t>
      </w:r>
      <w:r>
        <w:rPr>
          <w:spacing w:val="-2"/>
          <w:sz w:val="22"/>
        </w:rPr>
        <w:t> </w:t>
      </w:r>
      <w:r>
        <w:rPr>
          <w:sz w:val="22"/>
        </w:rPr>
        <w:t>the</w:t>
      </w:r>
      <w:r>
        <w:rPr>
          <w:spacing w:val="-3"/>
          <w:sz w:val="22"/>
        </w:rPr>
        <w:t> </w:t>
      </w:r>
      <w:r>
        <w:rPr>
          <w:sz w:val="22"/>
        </w:rPr>
        <w:t>Competition</w:t>
      </w:r>
      <w:r>
        <w:rPr>
          <w:spacing w:val="-2"/>
          <w:sz w:val="22"/>
        </w:rPr>
        <w:t> </w:t>
      </w:r>
      <w:r>
        <w:rPr>
          <w:sz w:val="22"/>
        </w:rPr>
        <w:t>and</w:t>
      </w:r>
      <w:r>
        <w:rPr>
          <w:spacing w:val="-2"/>
          <w:sz w:val="22"/>
        </w:rPr>
        <w:t> </w:t>
      </w:r>
      <w:r>
        <w:rPr>
          <w:sz w:val="22"/>
        </w:rPr>
        <w:t>Consumer</w:t>
      </w:r>
      <w:r>
        <w:rPr>
          <w:spacing w:val="-4"/>
          <w:sz w:val="22"/>
        </w:rPr>
        <w:t> </w:t>
      </w:r>
      <w:r>
        <w:rPr>
          <w:sz w:val="22"/>
        </w:rPr>
        <w:t>(Consumer</w:t>
      </w:r>
      <w:r>
        <w:rPr>
          <w:spacing w:val="-2"/>
          <w:sz w:val="22"/>
        </w:rPr>
        <w:t> </w:t>
      </w:r>
      <w:r>
        <w:rPr>
          <w:sz w:val="22"/>
        </w:rPr>
        <w:t>Data</w:t>
      </w:r>
      <w:r>
        <w:rPr>
          <w:spacing w:val="-4"/>
          <w:sz w:val="22"/>
        </w:rPr>
        <w:t> </w:t>
      </w:r>
      <w:r>
        <w:rPr>
          <w:sz w:val="22"/>
        </w:rPr>
        <w:t>Right)</w:t>
      </w:r>
      <w:r>
        <w:rPr>
          <w:spacing w:val="-2"/>
          <w:sz w:val="22"/>
        </w:rPr>
        <w:t> </w:t>
      </w:r>
      <w:r>
        <w:rPr>
          <w:sz w:val="22"/>
        </w:rPr>
        <w:t>Rules</w:t>
      </w:r>
      <w:r>
        <w:rPr>
          <w:spacing w:val="-3"/>
          <w:sz w:val="22"/>
        </w:rPr>
        <w:t> </w:t>
      </w:r>
      <w:r>
        <w:rPr>
          <w:spacing w:val="-2"/>
          <w:sz w:val="22"/>
        </w:rPr>
        <w:t>2019.</w:t>
      </w:r>
    </w:p>
    <w:p>
      <w:pPr>
        <w:pStyle w:val="BodyText"/>
        <w:spacing w:before="8"/>
        <w:rPr>
          <w:sz w:val="19"/>
        </w:rPr>
      </w:pPr>
    </w:p>
    <w:p>
      <w:pPr>
        <w:pStyle w:val="BodyText"/>
        <w:ind w:left="1473" w:right="969"/>
      </w:pPr>
      <w:r>
        <w:rPr/>
        <w:t>Treasury</w:t>
      </w:r>
      <w:r>
        <w:rPr>
          <w:spacing w:val="-1"/>
        </w:rPr>
        <w:t> </w:t>
      </w:r>
      <w:r>
        <w:rPr/>
        <w:t>certified the reports’ compliance with the regulatory</w:t>
      </w:r>
      <w:r>
        <w:rPr>
          <w:spacing w:val="-1"/>
        </w:rPr>
        <w:t> </w:t>
      </w:r>
      <w:r>
        <w:rPr/>
        <w:t>impact requirements and OBPR agreed to</w:t>
      </w:r>
      <w:r>
        <w:rPr>
          <w:spacing w:val="-3"/>
        </w:rPr>
        <w:t> </w:t>
      </w:r>
      <w:r>
        <w:rPr/>
        <w:t>regulatory</w:t>
      </w:r>
      <w:r>
        <w:rPr>
          <w:spacing w:val="-4"/>
        </w:rPr>
        <w:t> </w:t>
      </w:r>
      <w:r>
        <w:rPr/>
        <w:t>cost</w:t>
      </w:r>
      <w:r>
        <w:rPr>
          <w:spacing w:val="-3"/>
        </w:rPr>
        <w:t> </w:t>
      </w:r>
      <w:r>
        <w:rPr/>
        <w:t>estimates</w:t>
      </w:r>
      <w:r>
        <w:rPr>
          <w:spacing w:val="-3"/>
        </w:rPr>
        <w:t> </w:t>
      </w:r>
      <w:r>
        <w:rPr/>
        <w:t>on</w:t>
      </w:r>
      <w:r>
        <w:rPr>
          <w:spacing w:val="-3"/>
        </w:rPr>
        <w:t> </w:t>
      </w:r>
      <w:r>
        <w:rPr/>
        <w:t>31</w:t>
      </w:r>
      <w:r>
        <w:rPr>
          <w:spacing w:val="-3"/>
        </w:rPr>
        <w:t> </w:t>
      </w:r>
      <w:r>
        <w:rPr/>
        <w:t>October</w:t>
      </w:r>
      <w:r>
        <w:rPr>
          <w:spacing w:val="-4"/>
        </w:rPr>
        <w:t> </w:t>
      </w:r>
      <w:r>
        <w:rPr/>
        <w:t>2018</w:t>
      </w:r>
      <w:r>
        <w:rPr>
          <w:spacing w:val="-3"/>
        </w:rPr>
        <w:t> </w:t>
      </w:r>
      <w:r>
        <w:rPr/>
        <w:t>(OBPR</w:t>
      </w:r>
      <w:r>
        <w:rPr>
          <w:spacing w:val="-4"/>
        </w:rPr>
        <w:t> </w:t>
      </w:r>
      <w:r>
        <w:rPr/>
        <w:t>reference</w:t>
      </w:r>
      <w:r>
        <w:rPr>
          <w:spacing w:val="-3"/>
        </w:rPr>
        <w:t> </w:t>
      </w:r>
      <w:r>
        <w:rPr/>
        <w:t>numbers:</w:t>
      </w:r>
      <w:r>
        <w:rPr>
          <w:spacing w:val="-3"/>
        </w:rPr>
        <w:t> </w:t>
      </w:r>
      <w:r>
        <w:rPr/>
        <w:t>22394</w:t>
      </w:r>
      <w:r>
        <w:rPr>
          <w:spacing w:val="-3"/>
        </w:rPr>
        <w:t> </w:t>
      </w:r>
      <w:r>
        <w:rPr/>
        <w:t>and</w:t>
      </w:r>
      <w:r>
        <w:rPr>
          <w:spacing w:val="-3"/>
        </w:rPr>
        <w:t> </w:t>
      </w:r>
      <w:r>
        <w:rPr/>
        <w:t>22280).</w:t>
      </w:r>
      <w:r>
        <w:rPr>
          <w:vertAlign w:val="superscript"/>
        </w:rPr>
        <w:t>3</w:t>
      </w:r>
      <w:r>
        <w:rPr>
          <w:spacing w:val="-4"/>
          <w:vertAlign w:val="baseline"/>
        </w:rPr>
        <w:t> </w:t>
      </w:r>
      <w:r>
        <w:rPr>
          <w:vertAlign w:val="baseline"/>
        </w:rPr>
        <w:t>ACCC certified the Rules compliance with the regulatory impact requirements and OBPR agreed to the revised regulatory cost estimate on 5 December 2019 (OBPR reference number: 24996).</w:t>
      </w:r>
      <w:r>
        <w:rPr>
          <w:vertAlign w:val="superscript"/>
        </w:rPr>
        <w:t>4</w:t>
      </w:r>
      <w:r>
        <w:rPr>
          <w:vertAlign w:val="baseline"/>
        </w:rPr>
        <w:t> No further regulatory burden costings are being undertaken for Inquiry recommendations and Government responses which remain within scope of the previously certified reports and rules.</w:t>
      </w:r>
    </w:p>
    <w:p>
      <w:pPr>
        <w:pStyle w:val="BodyText"/>
        <w:spacing w:before="8"/>
        <w:rPr>
          <w:sz w:val="19"/>
        </w:rPr>
      </w:pPr>
    </w:p>
    <w:p>
      <w:pPr>
        <w:pStyle w:val="ListParagraph"/>
        <w:numPr>
          <w:ilvl w:val="0"/>
          <w:numId w:val="2"/>
        </w:numPr>
        <w:tabs>
          <w:tab w:pos="1474" w:val="left" w:leader="none"/>
          <w:tab w:pos="1475" w:val="left" w:leader="none"/>
        </w:tabs>
        <w:spacing w:line="240" w:lineRule="auto" w:before="0" w:after="0"/>
        <w:ind w:left="1473" w:right="1148" w:hanging="520"/>
        <w:jc w:val="left"/>
        <w:rPr>
          <w:sz w:val="22"/>
        </w:rPr>
      </w:pPr>
      <w:r>
        <w:rPr>
          <w:sz w:val="22"/>
        </w:rPr>
        <w:t>Implementation</w:t>
      </w:r>
      <w:r>
        <w:rPr>
          <w:spacing w:val="-2"/>
          <w:sz w:val="22"/>
        </w:rPr>
        <w:t> </w:t>
      </w:r>
      <w:r>
        <w:rPr>
          <w:sz w:val="22"/>
        </w:rPr>
        <w:t>of</w:t>
      </w:r>
      <w:r>
        <w:rPr>
          <w:spacing w:val="-2"/>
          <w:sz w:val="22"/>
        </w:rPr>
        <w:t> </w:t>
      </w:r>
      <w:r>
        <w:rPr>
          <w:sz w:val="22"/>
        </w:rPr>
        <w:t>the</w:t>
      </w:r>
      <w:r>
        <w:rPr>
          <w:spacing w:val="-2"/>
          <w:sz w:val="22"/>
        </w:rPr>
        <w:t> </w:t>
      </w:r>
      <w:r>
        <w:rPr>
          <w:sz w:val="22"/>
        </w:rPr>
        <w:t>Government’s</w:t>
      </w:r>
      <w:r>
        <w:rPr>
          <w:spacing w:val="-3"/>
          <w:sz w:val="22"/>
        </w:rPr>
        <w:t> </w:t>
      </w:r>
      <w:r>
        <w:rPr>
          <w:sz w:val="22"/>
        </w:rPr>
        <w:t>response</w:t>
      </w:r>
      <w:r>
        <w:rPr>
          <w:spacing w:val="-3"/>
          <w:sz w:val="22"/>
        </w:rPr>
        <w:t> </w:t>
      </w:r>
      <w:r>
        <w:rPr>
          <w:sz w:val="22"/>
        </w:rPr>
        <w:t>will</w:t>
      </w:r>
      <w:r>
        <w:rPr>
          <w:spacing w:val="-2"/>
          <w:sz w:val="22"/>
        </w:rPr>
        <w:t> </w:t>
      </w:r>
      <w:r>
        <w:rPr>
          <w:sz w:val="22"/>
        </w:rPr>
        <w:t>take</w:t>
      </w:r>
      <w:r>
        <w:rPr>
          <w:spacing w:val="-3"/>
          <w:sz w:val="22"/>
        </w:rPr>
        <w:t> </w:t>
      </w:r>
      <w:r>
        <w:rPr>
          <w:sz w:val="22"/>
        </w:rPr>
        <w:t>place</w:t>
      </w:r>
      <w:r>
        <w:rPr>
          <w:spacing w:val="-3"/>
          <w:sz w:val="22"/>
        </w:rPr>
        <w:t> </w:t>
      </w:r>
      <w:r>
        <w:rPr>
          <w:sz w:val="22"/>
        </w:rPr>
        <w:t>over</w:t>
      </w:r>
      <w:r>
        <w:rPr>
          <w:spacing w:val="-2"/>
          <w:sz w:val="22"/>
        </w:rPr>
        <w:t> </w:t>
      </w:r>
      <w:r>
        <w:rPr>
          <w:sz w:val="22"/>
        </w:rPr>
        <w:t>a</w:t>
      </w:r>
      <w:r>
        <w:rPr>
          <w:spacing w:val="-3"/>
          <w:sz w:val="22"/>
        </w:rPr>
        <w:t> </w:t>
      </w:r>
      <w:r>
        <w:rPr>
          <w:sz w:val="22"/>
        </w:rPr>
        <w:t>number</w:t>
      </w:r>
      <w:r>
        <w:rPr>
          <w:spacing w:val="-3"/>
          <w:sz w:val="22"/>
        </w:rPr>
        <w:t> </w:t>
      </w:r>
      <w:r>
        <w:rPr>
          <w:sz w:val="22"/>
        </w:rPr>
        <w:t>of</w:t>
      </w:r>
      <w:r>
        <w:rPr>
          <w:spacing w:val="-3"/>
          <w:sz w:val="22"/>
        </w:rPr>
        <w:t> </w:t>
      </w:r>
      <w:r>
        <w:rPr>
          <w:sz w:val="22"/>
        </w:rPr>
        <w:t>years,</w:t>
      </w:r>
      <w:r>
        <w:rPr>
          <w:spacing w:val="-3"/>
          <w:sz w:val="22"/>
        </w:rPr>
        <w:t> </w:t>
      </w:r>
      <w:r>
        <w:rPr>
          <w:sz w:val="22"/>
        </w:rPr>
        <w:t>which</w:t>
      </w:r>
      <w:r>
        <w:rPr>
          <w:spacing w:val="-3"/>
          <w:sz w:val="22"/>
        </w:rPr>
        <w:t> </w:t>
      </w:r>
      <w:r>
        <w:rPr>
          <w:sz w:val="22"/>
        </w:rPr>
        <w:t>will</w:t>
      </w:r>
      <w:r>
        <w:rPr>
          <w:spacing w:val="-2"/>
          <w:sz w:val="22"/>
        </w:rPr>
        <w:t> </w:t>
      </w:r>
      <w:r>
        <w:rPr>
          <w:sz w:val="22"/>
        </w:rPr>
        <w:t>be implemented in a phased manner and informed by continuous industry engagement and feedback processes. The Government will address RIS requirements at a later date for the third tranche of </w:t>
      </w:r>
      <w:r>
        <w:rPr>
          <w:spacing w:val="-2"/>
          <w:sz w:val="22"/>
        </w:rPr>
        <w:t>recommendations:</w:t>
      </w:r>
    </w:p>
    <w:p>
      <w:pPr>
        <w:pStyle w:val="BodyText"/>
        <w:spacing w:before="8"/>
        <w:rPr>
          <w:sz w:val="19"/>
        </w:rPr>
      </w:pPr>
    </w:p>
    <w:p>
      <w:pPr>
        <w:pStyle w:val="ListParagraph"/>
        <w:numPr>
          <w:ilvl w:val="1"/>
          <w:numId w:val="2"/>
        </w:numPr>
        <w:tabs>
          <w:tab w:pos="1806" w:val="left" w:leader="none"/>
        </w:tabs>
        <w:spacing w:line="240" w:lineRule="auto" w:before="0" w:after="0"/>
        <w:ind w:left="1805" w:right="0" w:hanging="238"/>
        <w:jc w:val="left"/>
        <w:rPr>
          <w:sz w:val="22"/>
        </w:rPr>
      </w:pPr>
      <w:r>
        <w:rPr>
          <w:sz w:val="22"/>
        </w:rPr>
        <w:t>requiring</w:t>
      </w:r>
      <w:r>
        <w:rPr>
          <w:spacing w:val="-4"/>
          <w:sz w:val="22"/>
        </w:rPr>
        <w:t> </w:t>
      </w:r>
      <w:r>
        <w:rPr>
          <w:sz w:val="22"/>
        </w:rPr>
        <w:t>further</w:t>
      </w:r>
      <w:r>
        <w:rPr>
          <w:spacing w:val="-4"/>
          <w:sz w:val="22"/>
        </w:rPr>
        <w:t> </w:t>
      </w:r>
      <w:r>
        <w:rPr>
          <w:sz w:val="22"/>
        </w:rPr>
        <w:t>consultation</w:t>
      </w:r>
      <w:r>
        <w:rPr>
          <w:spacing w:val="-4"/>
          <w:sz w:val="22"/>
        </w:rPr>
        <w:t> </w:t>
      </w:r>
      <w:r>
        <w:rPr>
          <w:sz w:val="22"/>
        </w:rPr>
        <w:t>before</w:t>
      </w:r>
      <w:r>
        <w:rPr>
          <w:spacing w:val="-3"/>
          <w:sz w:val="22"/>
        </w:rPr>
        <w:t> </w:t>
      </w:r>
      <w:r>
        <w:rPr>
          <w:sz w:val="22"/>
        </w:rPr>
        <w:t>a</w:t>
      </w:r>
      <w:r>
        <w:rPr>
          <w:spacing w:val="-4"/>
          <w:sz w:val="22"/>
        </w:rPr>
        <w:t> </w:t>
      </w:r>
      <w:r>
        <w:rPr>
          <w:sz w:val="22"/>
        </w:rPr>
        <w:t>final</w:t>
      </w:r>
      <w:r>
        <w:rPr>
          <w:spacing w:val="-3"/>
          <w:sz w:val="22"/>
        </w:rPr>
        <w:t> </w:t>
      </w:r>
      <w:r>
        <w:rPr>
          <w:spacing w:val="-2"/>
          <w:sz w:val="22"/>
        </w:rPr>
        <w:t>decision;</w:t>
      </w:r>
      <w:r>
        <w:rPr>
          <w:spacing w:val="-2"/>
          <w:sz w:val="22"/>
          <w:vertAlign w:val="superscript"/>
        </w:rPr>
        <w:t>5</w:t>
      </w:r>
    </w:p>
    <w:p>
      <w:pPr>
        <w:pStyle w:val="BodyText"/>
        <w:spacing w:before="8"/>
        <w:rPr>
          <w:sz w:val="19"/>
        </w:rPr>
      </w:pPr>
    </w:p>
    <w:p>
      <w:pPr>
        <w:pStyle w:val="ListParagraph"/>
        <w:numPr>
          <w:ilvl w:val="1"/>
          <w:numId w:val="2"/>
        </w:numPr>
        <w:tabs>
          <w:tab w:pos="1806" w:val="left" w:leader="none"/>
        </w:tabs>
        <w:spacing w:line="240" w:lineRule="auto" w:before="1" w:after="0"/>
        <w:ind w:left="1805" w:right="1177" w:hanging="236"/>
        <w:jc w:val="left"/>
        <w:rPr>
          <w:sz w:val="22"/>
        </w:rPr>
      </w:pPr>
      <w:r>
        <w:rPr>
          <w:sz w:val="22"/>
        </w:rPr>
        <w:t>that</w:t>
      </w:r>
      <w:r>
        <w:rPr>
          <w:spacing w:val="-2"/>
          <w:sz w:val="22"/>
        </w:rPr>
        <w:t> </w:t>
      </w:r>
      <w:r>
        <w:rPr>
          <w:sz w:val="22"/>
        </w:rPr>
        <w:t>will</w:t>
      </w:r>
      <w:r>
        <w:rPr>
          <w:spacing w:val="-3"/>
          <w:sz w:val="22"/>
        </w:rPr>
        <w:t> </w:t>
      </w:r>
      <w:r>
        <w:rPr>
          <w:sz w:val="22"/>
        </w:rPr>
        <w:t>be</w:t>
      </w:r>
      <w:r>
        <w:rPr>
          <w:spacing w:val="-3"/>
          <w:sz w:val="22"/>
        </w:rPr>
        <w:t> </w:t>
      </w:r>
      <w:r>
        <w:rPr>
          <w:sz w:val="22"/>
        </w:rPr>
        <w:t>considered</w:t>
      </w:r>
      <w:r>
        <w:rPr>
          <w:spacing w:val="-2"/>
          <w:sz w:val="22"/>
        </w:rPr>
        <w:t> </w:t>
      </w:r>
      <w:r>
        <w:rPr>
          <w:sz w:val="22"/>
        </w:rPr>
        <w:t>as</w:t>
      </w:r>
      <w:r>
        <w:rPr>
          <w:spacing w:val="-2"/>
          <w:sz w:val="22"/>
        </w:rPr>
        <w:t> </w:t>
      </w:r>
      <w:r>
        <w:rPr>
          <w:sz w:val="22"/>
        </w:rPr>
        <w:t>part</w:t>
      </w:r>
      <w:r>
        <w:rPr>
          <w:spacing w:val="-3"/>
          <w:sz w:val="22"/>
        </w:rPr>
        <w:t> </w:t>
      </w:r>
      <w:r>
        <w:rPr>
          <w:sz w:val="22"/>
        </w:rPr>
        <w:t>of</w:t>
      </w:r>
      <w:r>
        <w:rPr>
          <w:spacing w:val="-3"/>
          <w:sz w:val="22"/>
        </w:rPr>
        <w:t> </w:t>
      </w:r>
      <w:r>
        <w:rPr>
          <w:sz w:val="22"/>
        </w:rPr>
        <w:t>formal</w:t>
      </w:r>
      <w:r>
        <w:rPr>
          <w:spacing w:val="-2"/>
          <w:sz w:val="22"/>
        </w:rPr>
        <w:t> </w:t>
      </w:r>
      <w:r>
        <w:rPr>
          <w:sz w:val="22"/>
        </w:rPr>
        <w:t>sector</w:t>
      </w:r>
      <w:r>
        <w:rPr>
          <w:spacing w:val="-3"/>
          <w:sz w:val="22"/>
        </w:rPr>
        <w:t> </w:t>
      </w:r>
      <w:r>
        <w:rPr>
          <w:sz w:val="22"/>
        </w:rPr>
        <w:t>assessment</w:t>
      </w:r>
      <w:r>
        <w:rPr>
          <w:spacing w:val="-3"/>
          <w:sz w:val="22"/>
        </w:rPr>
        <w:t> </w:t>
      </w:r>
      <w:r>
        <w:rPr>
          <w:sz w:val="22"/>
        </w:rPr>
        <w:t>and</w:t>
      </w:r>
      <w:r>
        <w:rPr>
          <w:spacing w:val="-3"/>
          <w:sz w:val="22"/>
        </w:rPr>
        <w:t> </w:t>
      </w:r>
      <w:r>
        <w:rPr>
          <w:sz w:val="22"/>
        </w:rPr>
        <w:t>designations</w:t>
      </w:r>
      <w:r>
        <w:rPr>
          <w:spacing w:val="-3"/>
          <w:sz w:val="22"/>
        </w:rPr>
        <w:t> </w:t>
      </w:r>
      <w:r>
        <w:rPr>
          <w:sz w:val="22"/>
        </w:rPr>
        <w:t>in</w:t>
      </w:r>
      <w:r>
        <w:rPr>
          <w:spacing w:val="-3"/>
          <w:sz w:val="22"/>
        </w:rPr>
        <w:t> </w:t>
      </w:r>
      <w:r>
        <w:rPr>
          <w:sz w:val="22"/>
        </w:rPr>
        <w:t>accordance</w:t>
      </w:r>
      <w:r>
        <w:rPr>
          <w:spacing w:val="-2"/>
          <w:sz w:val="22"/>
        </w:rPr>
        <w:t> </w:t>
      </w:r>
      <w:r>
        <w:rPr>
          <w:sz w:val="22"/>
        </w:rPr>
        <w:t>with section 56AD of the </w:t>
      </w:r>
      <w:r>
        <w:rPr>
          <w:i/>
          <w:sz w:val="22"/>
        </w:rPr>
        <w:t>Competition and Consumer Act 2010</w:t>
      </w:r>
      <w:r>
        <w:rPr>
          <w:sz w:val="22"/>
        </w:rPr>
        <w:t>, including framework amendments</w:t>
      </w:r>
    </w:p>
    <w:p>
      <w:pPr>
        <w:pStyle w:val="BodyText"/>
        <w:rPr>
          <w:sz w:val="26"/>
        </w:rPr>
      </w:pPr>
      <w:r>
        <w:rPr/>
        <w:pict>
          <v:shape style="position:absolute;margin-left:56.700001pt;margin-top:17.097492pt;width:143.5pt;height:.1pt;mso-position-horizontal-relative:page;mso-position-vertical-relative:paragraph;z-index:-15727104;mso-wrap-distance-left:0;mso-wrap-distance-right:0" id="docshape7" coordorigin="1134,342" coordsize="2870,0" path="m1134,342l4004,342e" filled="false" stroked="true" strokeweight=".72pt" strokecolor="#000000">
            <v:path arrowok="t"/>
            <v:stroke dashstyle="solid"/>
            <w10:wrap type="topAndBottom"/>
          </v:shape>
        </w:pict>
      </w:r>
    </w:p>
    <w:p>
      <w:pPr>
        <w:pStyle w:val="BodyText"/>
        <w:spacing w:before="1"/>
        <w:rPr>
          <w:sz w:val="23"/>
        </w:rPr>
      </w:pPr>
    </w:p>
    <w:p>
      <w:pPr>
        <w:spacing w:before="68"/>
        <w:ind w:left="954" w:right="0" w:firstLine="0"/>
        <w:jc w:val="left"/>
        <w:rPr>
          <w:sz w:val="20"/>
        </w:rPr>
      </w:pPr>
      <w:r>
        <w:rPr>
          <w:position w:val="6"/>
          <w:sz w:val="13"/>
        </w:rPr>
        <w:t>1</w:t>
      </w:r>
      <w:r>
        <w:rPr>
          <w:spacing w:val="14"/>
          <w:position w:val="6"/>
          <w:sz w:val="13"/>
        </w:rPr>
        <w:t> </w:t>
      </w:r>
      <w:r>
        <w:rPr>
          <w:sz w:val="20"/>
        </w:rPr>
        <w:t>First</w:t>
      </w:r>
      <w:r>
        <w:rPr>
          <w:spacing w:val="-2"/>
          <w:sz w:val="20"/>
        </w:rPr>
        <w:t> </w:t>
      </w:r>
      <w:r>
        <w:rPr>
          <w:sz w:val="20"/>
        </w:rPr>
        <w:t>tranche</w:t>
      </w:r>
      <w:r>
        <w:rPr>
          <w:spacing w:val="-1"/>
          <w:sz w:val="20"/>
        </w:rPr>
        <w:t> </w:t>
      </w:r>
      <w:r>
        <w:rPr>
          <w:sz w:val="20"/>
        </w:rPr>
        <w:t>of</w:t>
      </w:r>
      <w:r>
        <w:rPr>
          <w:spacing w:val="-1"/>
          <w:sz w:val="20"/>
        </w:rPr>
        <w:t> </w:t>
      </w:r>
      <w:r>
        <w:rPr>
          <w:sz w:val="20"/>
        </w:rPr>
        <w:t>recommendations:</w:t>
      </w:r>
      <w:r>
        <w:rPr>
          <w:spacing w:val="-2"/>
          <w:sz w:val="20"/>
        </w:rPr>
        <w:t> </w:t>
      </w:r>
      <w:r>
        <w:rPr>
          <w:sz w:val="20"/>
        </w:rPr>
        <w:t>1.1,</w:t>
      </w:r>
      <w:r>
        <w:rPr>
          <w:spacing w:val="-2"/>
          <w:sz w:val="20"/>
        </w:rPr>
        <w:t> </w:t>
      </w:r>
      <w:r>
        <w:rPr>
          <w:sz w:val="20"/>
        </w:rPr>
        <w:t>1.2,</w:t>
      </w:r>
      <w:r>
        <w:rPr>
          <w:spacing w:val="-1"/>
          <w:sz w:val="20"/>
        </w:rPr>
        <w:t> </w:t>
      </w:r>
      <w:r>
        <w:rPr>
          <w:sz w:val="20"/>
        </w:rPr>
        <w:t>4.3,</w:t>
      </w:r>
      <w:r>
        <w:rPr>
          <w:spacing w:val="-1"/>
          <w:sz w:val="20"/>
        </w:rPr>
        <w:t> </w:t>
      </w:r>
      <w:r>
        <w:rPr>
          <w:sz w:val="20"/>
        </w:rPr>
        <w:t>4.4,</w:t>
      </w:r>
      <w:r>
        <w:rPr>
          <w:spacing w:val="-1"/>
          <w:sz w:val="20"/>
        </w:rPr>
        <w:t> </w:t>
      </w:r>
      <w:r>
        <w:rPr>
          <w:sz w:val="20"/>
        </w:rPr>
        <w:t>4.7,</w:t>
      </w:r>
      <w:r>
        <w:rPr>
          <w:spacing w:val="-1"/>
          <w:sz w:val="20"/>
        </w:rPr>
        <w:t> </w:t>
      </w:r>
      <w:r>
        <w:rPr>
          <w:sz w:val="20"/>
        </w:rPr>
        <w:t>4.9,</w:t>
      </w:r>
      <w:r>
        <w:rPr>
          <w:spacing w:val="-1"/>
          <w:sz w:val="20"/>
        </w:rPr>
        <w:t> </w:t>
      </w:r>
      <w:r>
        <w:rPr>
          <w:sz w:val="20"/>
        </w:rPr>
        <w:t>4.10,</w:t>
      </w:r>
      <w:r>
        <w:rPr>
          <w:spacing w:val="-1"/>
          <w:sz w:val="20"/>
        </w:rPr>
        <w:t> </w:t>
      </w:r>
      <w:r>
        <w:rPr>
          <w:sz w:val="20"/>
        </w:rPr>
        <w:t>4.14,</w:t>
      </w:r>
      <w:r>
        <w:rPr>
          <w:spacing w:val="-2"/>
          <w:sz w:val="20"/>
        </w:rPr>
        <w:t> </w:t>
      </w:r>
      <w:r>
        <w:rPr>
          <w:sz w:val="20"/>
        </w:rPr>
        <w:t>4.17, 4.19,</w:t>
      </w:r>
      <w:r>
        <w:rPr>
          <w:spacing w:val="-2"/>
          <w:sz w:val="20"/>
        </w:rPr>
        <w:t> </w:t>
      </w:r>
      <w:r>
        <w:rPr>
          <w:sz w:val="20"/>
        </w:rPr>
        <w:t>5.2,</w:t>
      </w:r>
      <w:r>
        <w:rPr>
          <w:spacing w:val="-1"/>
          <w:sz w:val="20"/>
        </w:rPr>
        <w:t> </w:t>
      </w:r>
      <w:r>
        <w:rPr>
          <w:sz w:val="20"/>
        </w:rPr>
        <w:t>5.6, 5.8,</w:t>
      </w:r>
      <w:r>
        <w:rPr>
          <w:spacing w:val="-2"/>
          <w:sz w:val="20"/>
        </w:rPr>
        <w:t> </w:t>
      </w:r>
      <w:r>
        <w:rPr>
          <w:sz w:val="20"/>
        </w:rPr>
        <w:t>5.13,</w:t>
      </w:r>
      <w:r>
        <w:rPr>
          <w:spacing w:val="-1"/>
          <w:sz w:val="20"/>
        </w:rPr>
        <w:t> </w:t>
      </w:r>
      <w:r>
        <w:rPr>
          <w:sz w:val="20"/>
        </w:rPr>
        <w:t>5.15, </w:t>
      </w:r>
      <w:r>
        <w:rPr>
          <w:spacing w:val="-2"/>
          <w:sz w:val="20"/>
        </w:rPr>
        <w:t>5.16,</w:t>
      </w:r>
    </w:p>
    <w:p>
      <w:pPr>
        <w:spacing w:before="0"/>
        <w:ind w:left="954" w:right="0" w:firstLine="0"/>
        <w:jc w:val="left"/>
        <w:rPr>
          <w:sz w:val="20"/>
        </w:rPr>
      </w:pPr>
      <w:r>
        <w:rPr>
          <w:sz w:val="20"/>
        </w:rPr>
        <w:t>5.19,</w:t>
      </w:r>
      <w:r>
        <w:rPr>
          <w:spacing w:val="-1"/>
          <w:sz w:val="20"/>
        </w:rPr>
        <w:t> </w:t>
      </w:r>
      <w:r>
        <w:rPr>
          <w:sz w:val="20"/>
        </w:rPr>
        <w:t>6.18,</w:t>
      </w:r>
      <w:r>
        <w:rPr>
          <w:spacing w:val="-1"/>
          <w:sz w:val="20"/>
        </w:rPr>
        <w:t> </w:t>
      </w:r>
      <w:r>
        <w:rPr>
          <w:sz w:val="20"/>
        </w:rPr>
        <w:t>6.21, 7.7,</w:t>
      </w:r>
      <w:r>
        <w:rPr>
          <w:spacing w:val="-1"/>
          <w:sz w:val="20"/>
        </w:rPr>
        <w:t> </w:t>
      </w:r>
      <w:r>
        <w:rPr>
          <w:sz w:val="20"/>
        </w:rPr>
        <w:t>7.8,</w:t>
      </w:r>
      <w:r>
        <w:rPr>
          <w:spacing w:val="-1"/>
          <w:sz w:val="20"/>
        </w:rPr>
        <w:t> </w:t>
      </w:r>
      <w:r>
        <w:rPr>
          <w:sz w:val="20"/>
        </w:rPr>
        <w:t>7.10, 7.11,</w:t>
      </w:r>
      <w:r>
        <w:rPr>
          <w:spacing w:val="-1"/>
          <w:sz w:val="20"/>
        </w:rPr>
        <w:t> </w:t>
      </w:r>
      <w:r>
        <w:rPr>
          <w:sz w:val="20"/>
        </w:rPr>
        <w:t>8.1,</w:t>
      </w:r>
      <w:r>
        <w:rPr>
          <w:spacing w:val="-2"/>
          <w:sz w:val="20"/>
        </w:rPr>
        <w:t> </w:t>
      </w:r>
      <w:r>
        <w:rPr>
          <w:sz w:val="20"/>
        </w:rPr>
        <w:t>8.4, 8.8,</w:t>
      </w:r>
      <w:r>
        <w:rPr>
          <w:spacing w:val="-1"/>
          <w:sz w:val="20"/>
        </w:rPr>
        <w:t> </w:t>
      </w:r>
      <w:r>
        <w:rPr>
          <w:sz w:val="20"/>
        </w:rPr>
        <w:t>8.12, 8.13,</w:t>
      </w:r>
      <w:r>
        <w:rPr>
          <w:spacing w:val="-1"/>
          <w:sz w:val="20"/>
        </w:rPr>
        <w:t> </w:t>
      </w:r>
      <w:r>
        <w:rPr>
          <w:sz w:val="20"/>
        </w:rPr>
        <w:t>8.14,</w:t>
      </w:r>
      <w:r>
        <w:rPr>
          <w:spacing w:val="-1"/>
          <w:sz w:val="20"/>
        </w:rPr>
        <w:t> </w:t>
      </w:r>
      <w:r>
        <w:rPr>
          <w:sz w:val="20"/>
        </w:rPr>
        <w:t>9.2, 9.3, </w:t>
      </w:r>
      <w:r>
        <w:rPr>
          <w:spacing w:val="-5"/>
          <w:sz w:val="20"/>
        </w:rPr>
        <w:t>9.4</w:t>
      </w:r>
    </w:p>
    <w:p>
      <w:pPr>
        <w:spacing w:before="0"/>
        <w:ind w:left="954" w:right="0" w:firstLine="0"/>
        <w:jc w:val="left"/>
        <w:rPr>
          <w:sz w:val="20"/>
        </w:rPr>
      </w:pPr>
      <w:r>
        <w:rPr>
          <w:position w:val="6"/>
          <w:sz w:val="13"/>
        </w:rPr>
        <w:t>2</w:t>
      </w:r>
      <w:r>
        <w:rPr>
          <w:spacing w:val="14"/>
          <w:position w:val="6"/>
          <w:sz w:val="13"/>
        </w:rPr>
        <w:t> </w:t>
      </w:r>
      <w:r>
        <w:rPr>
          <w:sz w:val="20"/>
        </w:rPr>
        <w:t>Second</w:t>
      </w:r>
      <w:r>
        <w:rPr>
          <w:spacing w:val="-2"/>
          <w:sz w:val="20"/>
        </w:rPr>
        <w:t> </w:t>
      </w:r>
      <w:r>
        <w:rPr>
          <w:sz w:val="20"/>
        </w:rPr>
        <w:t>tranche</w:t>
      </w:r>
      <w:r>
        <w:rPr>
          <w:spacing w:val="-1"/>
          <w:sz w:val="20"/>
        </w:rPr>
        <w:t> </w:t>
      </w:r>
      <w:r>
        <w:rPr>
          <w:sz w:val="20"/>
        </w:rPr>
        <w:t>of</w:t>
      </w:r>
      <w:r>
        <w:rPr>
          <w:spacing w:val="-1"/>
          <w:sz w:val="20"/>
        </w:rPr>
        <w:t> </w:t>
      </w:r>
      <w:r>
        <w:rPr>
          <w:sz w:val="20"/>
        </w:rPr>
        <w:t>recommendations:</w:t>
      </w:r>
      <w:r>
        <w:rPr>
          <w:spacing w:val="-2"/>
          <w:sz w:val="20"/>
        </w:rPr>
        <w:t> </w:t>
      </w:r>
      <w:r>
        <w:rPr>
          <w:sz w:val="20"/>
        </w:rPr>
        <w:t>3.1,</w:t>
      </w:r>
      <w:r>
        <w:rPr>
          <w:spacing w:val="-1"/>
          <w:sz w:val="20"/>
        </w:rPr>
        <w:t> </w:t>
      </w:r>
      <w:r>
        <w:rPr>
          <w:sz w:val="20"/>
        </w:rPr>
        <w:t>4.8,</w:t>
      </w:r>
      <w:r>
        <w:rPr>
          <w:spacing w:val="-1"/>
          <w:sz w:val="20"/>
        </w:rPr>
        <w:t> </w:t>
      </w:r>
      <w:r>
        <w:rPr>
          <w:sz w:val="20"/>
        </w:rPr>
        <w:t>7.2,</w:t>
      </w:r>
      <w:r>
        <w:rPr>
          <w:spacing w:val="-2"/>
          <w:sz w:val="20"/>
        </w:rPr>
        <w:t> </w:t>
      </w:r>
      <w:r>
        <w:rPr>
          <w:sz w:val="20"/>
        </w:rPr>
        <w:t>7.3,</w:t>
      </w:r>
      <w:r>
        <w:rPr>
          <w:spacing w:val="-1"/>
          <w:sz w:val="20"/>
        </w:rPr>
        <w:t> </w:t>
      </w:r>
      <w:r>
        <w:rPr>
          <w:sz w:val="20"/>
        </w:rPr>
        <w:t>7.4,</w:t>
      </w:r>
      <w:r>
        <w:rPr>
          <w:spacing w:val="-1"/>
          <w:sz w:val="20"/>
        </w:rPr>
        <w:t> </w:t>
      </w:r>
      <w:r>
        <w:rPr>
          <w:sz w:val="20"/>
        </w:rPr>
        <w:t>7.5,</w:t>
      </w:r>
      <w:r>
        <w:rPr>
          <w:spacing w:val="-2"/>
          <w:sz w:val="20"/>
        </w:rPr>
        <w:t> </w:t>
      </w:r>
      <w:r>
        <w:rPr>
          <w:sz w:val="20"/>
        </w:rPr>
        <w:t>8.9,</w:t>
      </w:r>
      <w:r>
        <w:rPr>
          <w:spacing w:val="-1"/>
          <w:sz w:val="20"/>
        </w:rPr>
        <w:t> </w:t>
      </w:r>
      <w:r>
        <w:rPr>
          <w:sz w:val="20"/>
        </w:rPr>
        <w:t>8.10</w:t>
      </w:r>
      <w:r>
        <w:rPr>
          <w:spacing w:val="-1"/>
          <w:sz w:val="20"/>
        </w:rPr>
        <w:t> </w:t>
      </w:r>
      <w:r>
        <w:rPr>
          <w:sz w:val="20"/>
        </w:rPr>
        <w:t>and </w:t>
      </w:r>
      <w:r>
        <w:rPr>
          <w:spacing w:val="-5"/>
          <w:sz w:val="20"/>
        </w:rPr>
        <w:t>9.1</w:t>
      </w:r>
    </w:p>
    <w:p>
      <w:pPr>
        <w:spacing w:before="0"/>
        <w:ind w:left="954" w:right="1119" w:firstLine="0"/>
        <w:jc w:val="left"/>
        <w:rPr>
          <w:sz w:val="20"/>
        </w:rPr>
      </w:pPr>
      <w:r>
        <w:rPr>
          <w:position w:val="6"/>
          <w:sz w:val="13"/>
        </w:rPr>
        <w:t>3</w:t>
      </w:r>
      <w:r>
        <w:rPr>
          <w:spacing w:val="26"/>
          <w:position w:val="6"/>
          <w:sz w:val="13"/>
        </w:rPr>
        <w:t> </w:t>
      </w:r>
      <w:r>
        <w:rPr>
          <w:sz w:val="20"/>
        </w:rPr>
        <w:t>Certification of ‘Open Banking’ – Banking Sector Consumer Data Right available at </w:t>
      </w:r>
      <w:r>
        <w:rPr>
          <w:color w:val="0000FF"/>
          <w:spacing w:val="-2"/>
          <w:sz w:val="20"/>
          <w:u w:val="single" w:color="0000FF"/>
        </w:rPr>
        <w:t>https://obpr.pmc.gov.au/published-impact-analyses-and-reports/open-banking-banking-sector-consumer-data-right</w:t>
      </w:r>
      <w:r>
        <w:rPr>
          <w:color w:val="0000FF"/>
          <w:spacing w:val="80"/>
          <w:sz w:val="20"/>
        </w:rPr>
        <w:t>  </w:t>
      </w:r>
      <w:r>
        <w:rPr>
          <w:position w:val="6"/>
          <w:sz w:val="13"/>
        </w:rPr>
        <w:t>4</w:t>
      </w:r>
      <w:r>
        <w:rPr>
          <w:spacing w:val="27"/>
          <w:position w:val="6"/>
          <w:sz w:val="13"/>
        </w:rPr>
        <w:t> </w:t>
      </w:r>
      <w:r>
        <w:rPr>
          <w:sz w:val="20"/>
        </w:rPr>
        <w:t>Certification of Consumer Data Right Rules available at </w:t>
      </w:r>
      <w:r>
        <w:rPr>
          <w:color w:val="0000FF"/>
          <w:sz w:val="20"/>
          <w:u w:val="single" w:color="0000FF"/>
        </w:rPr>
        <w:t>https://obpr.pmc.gov.au/published-impact-analyses-and-</w:t>
      </w:r>
      <w:r>
        <w:rPr>
          <w:color w:val="0000FF"/>
          <w:sz w:val="20"/>
        </w:rPr>
        <w:t> </w:t>
      </w:r>
      <w:r>
        <w:rPr>
          <w:color w:val="0000FF"/>
          <w:spacing w:val="-2"/>
          <w:sz w:val="20"/>
          <w:u w:val="single" w:color="0000FF"/>
        </w:rPr>
        <w:t>reports/consumer-data-right-rules</w:t>
      </w:r>
    </w:p>
    <w:p>
      <w:pPr>
        <w:spacing w:before="0"/>
        <w:ind w:left="954" w:right="0" w:firstLine="0"/>
        <w:jc w:val="left"/>
        <w:rPr>
          <w:sz w:val="20"/>
        </w:rPr>
      </w:pPr>
      <w:r>
        <w:rPr>
          <w:position w:val="6"/>
          <w:sz w:val="13"/>
        </w:rPr>
        <w:t>5</w:t>
      </w:r>
      <w:r>
        <w:rPr>
          <w:spacing w:val="14"/>
          <w:position w:val="6"/>
          <w:sz w:val="13"/>
        </w:rPr>
        <w:t> </w:t>
      </w:r>
      <w:r>
        <w:rPr>
          <w:sz w:val="20"/>
        </w:rPr>
        <w:t>Recommendations:</w:t>
      </w:r>
      <w:r>
        <w:rPr>
          <w:spacing w:val="-1"/>
          <w:sz w:val="20"/>
        </w:rPr>
        <w:t> </w:t>
      </w:r>
      <w:r>
        <w:rPr>
          <w:sz w:val="20"/>
        </w:rPr>
        <w:t>5.17,</w:t>
      </w:r>
      <w:r>
        <w:rPr>
          <w:spacing w:val="-2"/>
          <w:sz w:val="20"/>
        </w:rPr>
        <w:t> </w:t>
      </w:r>
      <w:r>
        <w:rPr>
          <w:sz w:val="20"/>
        </w:rPr>
        <w:t>6.1,</w:t>
      </w:r>
      <w:r>
        <w:rPr>
          <w:spacing w:val="-1"/>
          <w:sz w:val="20"/>
        </w:rPr>
        <w:t> </w:t>
      </w:r>
      <w:r>
        <w:rPr>
          <w:sz w:val="20"/>
        </w:rPr>
        <w:t>6.2,</w:t>
      </w:r>
      <w:r>
        <w:rPr>
          <w:spacing w:val="-1"/>
          <w:sz w:val="20"/>
        </w:rPr>
        <w:t> </w:t>
      </w:r>
      <w:r>
        <w:rPr>
          <w:sz w:val="20"/>
        </w:rPr>
        <w:t>6.3,</w:t>
      </w:r>
      <w:r>
        <w:rPr>
          <w:spacing w:val="-1"/>
          <w:sz w:val="20"/>
        </w:rPr>
        <w:t> </w:t>
      </w:r>
      <w:r>
        <w:rPr>
          <w:sz w:val="20"/>
        </w:rPr>
        <w:t>6.4,</w:t>
      </w:r>
      <w:r>
        <w:rPr>
          <w:spacing w:val="-1"/>
          <w:sz w:val="20"/>
        </w:rPr>
        <w:t> </w:t>
      </w:r>
      <w:r>
        <w:rPr>
          <w:sz w:val="20"/>
        </w:rPr>
        <w:t>6.6,</w:t>
      </w:r>
      <w:r>
        <w:rPr>
          <w:spacing w:val="-1"/>
          <w:sz w:val="20"/>
        </w:rPr>
        <w:t> </w:t>
      </w:r>
      <w:r>
        <w:rPr>
          <w:sz w:val="20"/>
        </w:rPr>
        <w:t>6.7, 6.8,</w:t>
      </w:r>
      <w:r>
        <w:rPr>
          <w:spacing w:val="-2"/>
          <w:sz w:val="20"/>
        </w:rPr>
        <w:t> </w:t>
      </w:r>
      <w:r>
        <w:rPr>
          <w:sz w:val="20"/>
        </w:rPr>
        <w:t>6.12, 6.13,</w:t>
      </w:r>
      <w:r>
        <w:rPr>
          <w:spacing w:val="-1"/>
          <w:sz w:val="20"/>
        </w:rPr>
        <w:t> </w:t>
      </w:r>
      <w:r>
        <w:rPr>
          <w:sz w:val="20"/>
        </w:rPr>
        <w:t>6.14,</w:t>
      </w:r>
      <w:r>
        <w:rPr>
          <w:spacing w:val="-1"/>
          <w:sz w:val="20"/>
        </w:rPr>
        <w:t> </w:t>
      </w:r>
      <w:r>
        <w:rPr>
          <w:sz w:val="20"/>
        </w:rPr>
        <w:t>7.9, 8.5,</w:t>
      </w:r>
      <w:r>
        <w:rPr>
          <w:spacing w:val="-2"/>
          <w:sz w:val="20"/>
        </w:rPr>
        <w:t> </w:t>
      </w:r>
      <w:r>
        <w:rPr>
          <w:sz w:val="20"/>
        </w:rPr>
        <w:t>8.6 and </w:t>
      </w:r>
      <w:r>
        <w:rPr>
          <w:spacing w:val="-4"/>
          <w:sz w:val="20"/>
        </w:rPr>
        <w:t>8.7.</w:t>
      </w:r>
    </w:p>
    <w:p>
      <w:pPr>
        <w:spacing w:after="0"/>
        <w:jc w:val="left"/>
        <w:rPr>
          <w:sz w:val="20"/>
        </w:rPr>
        <w:sectPr>
          <w:pgSz w:w="11910" w:h="16840"/>
          <w:pgMar w:header="0" w:footer="774" w:top="1100" w:bottom="960" w:left="180" w:right="180"/>
        </w:sectPr>
      </w:pPr>
    </w:p>
    <w:p>
      <w:pPr>
        <w:pStyle w:val="BodyText"/>
        <w:spacing w:before="34"/>
        <w:ind w:left="1805" w:right="1021"/>
      </w:pPr>
      <w:r>
        <w:rPr/>
        <w:t>made</w:t>
      </w:r>
      <w:r>
        <w:rPr>
          <w:spacing w:val="-3"/>
        </w:rPr>
        <w:t> </w:t>
      </w:r>
      <w:r>
        <w:rPr/>
        <w:t>now</w:t>
      </w:r>
      <w:r>
        <w:rPr>
          <w:spacing w:val="-3"/>
        </w:rPr>
        <w:t> </w:t>
      </w:r>
      <w:r>
        <w:rPr/>
        <w:t>with</w:t>
      </w:r>
      <w:r>
        <w:rPr>
          <w:spacing w:val="-3"/>
        </w:rPr>
        <w:t> </w:t>
      </w:r>
      <w:r>
        <w:rPr/>
        <w:t>unknown</w:t>
      </w:r>
      <w:r>
        <w:rPr>
          <w:spacing w:val="-3"/>
        </w:rPr>
        <w:t> </w:t>
      </w:r>
      <w:r>
        <w:rPr/>
        <w:t>or</w:t>
      </w:r>
      <w:r>
        <w:rPr>
          <w:spacing w:val="-4"/>
        </w:rPr>
        <w:t> </w:t>
      </w:r>
      <w:r>
        <w:rPr/>
        <w:t>no</w:t>
      </w:r>
      <w:r>
        <w:rPr>
          <w:spacing w:val="-3"/>
        </w:rPr>
        <w:t> </w:t>
      </w:r>
      <w:r>
        <w:rPr/>
        <w:t>immediate</w:t>
      </w:r>
      <w:r>
        <w:rPr>
          <w:spacing w:val="-4"/>
        </w:rPr>
        <w:t> </w:t>
      </w:r>
      <w:r>
        <w:rPr/>
        <w:t>regulatory</w:t>
      </w:r>
      <w:r>
        <w:rPr>
          <w:spacing w:val="-4"/>
        </w:rPr>
        <w:t> </w:t>
      </w:r>
      <w:r>
        <w:rPr/>
        <w:t>impacts</w:t>
      </w:r>
      <w:r>
        <w:rPr>
          <w:spacing w:val="-3"/>
        </w:rPr>
        <w:t> </w:t>
      </w:r>
      <w:r>
        <w:rPr/>
        <w:t>until</w:t>
      </w:r>
      <w:r>
        <w:rPr>
          <w:spacing w:val="-3"/>
        </w:rPr>
        <w:t> </w:t>
      </w:r>
      <w:r>
        <w:rPr/>
        <w:t>further</w:t>
      </w:r>
      <w:r>
        <w:rPr>
          <w:spacing w:val="-4"/>
        </w:rPr>
        <w:t> </w:t>
      </w:r>
      <w:r>
        <w:rPr/>
        <w:t>details</w:t>
      </w:r>
      <w:r>
        <w:rPr>
          <w:spacing w:val="-4"/>
        </w:rPr>
        <w:t> </w:t>
      </w:r>
      <w:r>
        <w:rPr/>
        <w:t>are</w:t>
      </w:r>
      <w:r>
        <w:rPr>
          <w:spacing w:val="-3"/>
        </w:rPr>
        <w:t> </w:t>
      </w:r>
      <w:r>
        <w:rPr/>
        <w:t>settled;</w:t>
      </w:r>
      <w:r>
        <w:rPr>
          <w:vertAlign w:val="superscript"/>
        </w:rPr>
        <w:t>6</w:t>
      </w:r>
      <w:r>
        <w:rPr>
          <w:vertAlign w:val="baseline"/>
        </w:rPr>
        <w:t> </w:t>
      </w:r>
      <w:r>
        <w:rPr>
          <w:spacing w:val="-4"/>
          <w:vertAlign w:val="baseline"/>
        </w:rPr>
        <w:t>and</w:t>
      </w:r>
    </w:p>
    <w:p>
      <w:pPr>
        <w:pStyle w:val="BodyText"/>
        <w:spacing w:before="8"/>
        <w:rPr>
          <w:sz w:val="19"/>
        </w:rPr>
      </w:pPr>
    </w:p>
    <w:p>
      <w:pPr>
        <w:pStyle w:val="ListParagraph"/>
        <w:numPr>
          <w:ilvl w:val="1"/>
          <w:numId w:val="2"/>
        </w:numPr>
        <w:tabs>
          <w:tab w:pos="1806" w:val="left" w:leader="none"/>
        </w:tabs>
        <w:spacing w:line="240" w:lineRule="auto" w:before="0" w:after="0"/>
        <w:ind w:left="1805" w:right="1069" w:hanging="236"/>
        <w:jc w:val="left"/>
        <w:rPr>
          <w:sz w:val="22"/>
        </w:rPr>
      </w:pPr>
      <w:r>
        <w:rPr>
          <w:sz w:val="22"/>
        </w:rPr>
        <w:t>that will be considered as part of Ministerial rule making and standards making processes, including</w:t>
      </w:r>
      <w:r>
        <w:rPr>
          <w:spacing w:val="-3"/>
          <w:sz w:val="22"/>
        </w:rPr>
        <w:t> </w:t>
      </w:r>
      <w:r>
        <w:rPr>
          <w:sz w:val="22"/>
        </w:rPr>
        <w:t>framework</w:t>
      </w:r>
      <w:r>
        <w:rPr>
          <w:spacing w:val="-4"/>
          <w:sz w:val="22"/>
        </w:rPr>
        <w:t> </w:t>
      </w:r>
      <w:r>
        <w:rPr>
          <w:sz w:val="22"/>
        </w:rPr>
        <w:t>amendments</w:t>
      </w:r>
      <w:r>
        <w:rPr>
          <w:spacing w:val="-3"/>
          <w:sz w:val="22"/>
        </w:rPr>
        <w:t> </w:t>
      </w:r>
      <w:r>
        <w:rPr>
          <w:sz w:val="22"/>
        </w:rPr>
        <w:t>made</w:t>
      </w:r>
      <w:r>
        <w:rPr>
          <w:spacing w:val="-4"/>
          <w:sz w:val="22"/>
        </w:rPr>
        <w:t> </w:t>
      </w:r>
      <w:r>
        <w:rPr>
          <w:sz w:val="22"/>
        </w:rPr>
        <w:t>now</w:t>
      </w:r>
      <w:r>
        <w:rPr>
          <w:spacing w:val="-4"/>
          <w:sz w:val="22"/>
        </w:rPr>
        <w:t> </w:t>
      </w:r>
      <w:r>
        <w:rPr>
          <w:sz w:val="22"/>
        </w:rPr>
        <w:t>with</w:t>
      </w:r>
      <w:r>
        <w:rPr>
          <w:spacing w:val="-3"/>
          <w:sz w:val="22"/>
        </w:rPr>
        <w:t> </w:t>
      </w:r>
      <w:r>
        <w:rPr>
          <w:sz w:val="22"/>
        </w:rPr>
        <w:t>unknown</w:t>
      </w:r>
      <w:r>
        <w:rPr>
          <w:spacing w:val="-4"/>
          <w:sz w:val="22"/>
        </w:rPr>
        <w:t> </w:t>
      </w:r>
      <w:r>
        <w:rPr>
          <w:sz w:val="22"/>
        </w:rPr>
        <w:t>or</w:t>
      </w:r>
      <w:r>
        <w:rPr>
          <w:spacing w:val="-4"/>
          <w:sz w:val="22"/>
        </w:rPr>
        <w:t> </w:t>
      </w:r>
      <w:r>
        <w:rPr>
          <w:sz w:val="22"/>
        </w:rPr>
        <w:t>no</w:t>
      </w:r>
      <w:r>
        <w:rPr>
          <w:spacing w:val="-4"/>
          <w:sz w:val="22"/>
        </w:rPr>
        <w:t> </w:t>
      </w:r>
      <w:r>
        <w:rPr>
          <w:sz w:val="22"/>
        </w:rPr>
        <w:t>immediate</w:t>
      </w:r>
      <w:r>
        <w:rPr>
          <w:spacing w:val="-4"/>
          <w:sz w:val="22"/>
        </w:rPr>
        <w:t> </w:t>
      </w:r>
      <w:r>
        <w:rPr>
          <w:sz w:val="22"/>
        </w:rPr>
        <w:t>regulatory</w:t>
      </w:r>
      <w:r>
        <w:rPr>
          <w:spacing w:val="-3"/>
          <w:sz w:val="22"/>
        </w:rPr>
        <w:t> </w:t>
      </w:r>
      <w:r>
        <w:rPr>
          <w:sz w:val="22"/>
        </w:rPr>
        <w:t>impacts until further details are settled.</w:t>
      </w:r>
      <w:r>
        <w:rPr>
          <w:sz w:val="22"/>
          <w:vertAlign w:val="superscript"/>
        </w:rPr>
        <w:t>7</w:t>
      </w:r>
    </w:p>
    <w:p>
      <w:pPr>
        <w:pStyle w:val="BodyText"/>
        <w:spacing w:before="8"/>
        <w:rPr>
          <w:sz w:val="19"/>
        </w:rPr>
      </w:pPr>
    </w:p>
    <w:p>
      <w:pPr>
        <w:spacing w:before="0"/>
        <w:ind w:left="953" w:right="1021" w:firstLine="0"/>
        <w:jc w:val="left"/>
        <w:rPr>
          <w:sz w:val="22"/>
        </w:rPr>
      </w:pPr>
      <w:r>
        <w:rPr>
          <w:sz w:val="22"/>
        </w:rPr>
        <w:t>I am satisfied that the attached Inquiry, together with the Inquiry’s Issues Paper, decision map and supplementary</w:t>
      </w:r>
      <w:r>
        <w:rPr>
          <w:spacing w:val="-4"/>
          <w:sz w:val="22"/>
        </w:rPr>
        <w:t> </w:t>
      </w:r>
      <w:r>
        <w:rPr>
          <w:sz w:val="22"/>
        </w:rPr>
        <w:t>analysis,</w:t>
      </w:r>
      <w:r>
        <w:rPr>
          <w:spacing w:val="-4"/>
          <w:sz w:val="22"/>
        </w:rPr>
        <w:t> </w:t>
      </w:r>
      <w:r>
        <w:rPr>
          <w:sz w:val="22"/>
        </w:rPr>
        <w:t>is</w:t>
      </w:r>
      <w:r>
        <w:rPr>
          <w:spacing w:val="-4"/>
          <w:sz w:val="22"/>
        </w:rPr>
        <w:t> </w:t>
      </w:r>
      <w:r>
        <w:rPr>
          <w:sz w:val="22"/>
        </w:rPr>
        <w:t>consistent</w:t>
      </w:r>
      <w:r>
        <w:rPr>
          <w:spacing w:val="-4"/>
          <w:sz w:val="22"/>
        </w:rPr>
        <w:t> </w:t>
      </w:r>
      <w:r>
        <w:rPr>
          <w:sz w:val="22"/>
        </w:rPr>
        <w:t>with</w:t>
      </w:r>
      <w:r>
        <w:rPr>
          <w:spacing w:val="-3"/>
          <w:sz w:val="22"/>
        </w:rPr>
        <w:t> </w:t>
      </w:r>
      <w:r>
        <w:rPr>
          <w:sz w:val="22"/>
        </w:rPr>
        <w:t>the</w:t>
      </w:r>
      <w:r>
        <w:rPr>
          <w:spacing w:val="-3"/>
          <w:sz w:val="22"/>
        </w:rPr>
        <w:t> </w:t>
      </w:r>
      <w:r>
        <w:rPr>
          <w:i/>
          <w:sz w:val="22"/>
        </w:rPr>
        <w:t>Australian</w:t>
      </w:r>
      <w:r>
        <w:rPr>
          <w:i/>
          <w:spacing w:val="-4"/>
          <w:sz w:val="22"/>
        </w:rPr>
        <w:t> </w:t>
      </w:r>
      <w:r>
        <w:rPr>
          <w:i/>
          <w:sz w:val="22"/>
        </w:rPr>
        <w:t>Government</w:t>
      </w:r>
      <w:r>
        <w:rPr>
          <w:i/>
          <w:spacing w:val="-4"/>
          <w:sz w:val="22"/>
        </w:rPr>
        <w:t> </w:t>
      </w:r>
      <w:r>
        <w:rPr>
          <w:i/>
          <w:sz w:val="22"/>
        </w:rPr>
        <w:t>Guide</w:t>
      </w:r>
      <w:r>
        <w:rPr>
          <w:i/>
          <w:spacing w:val="-4"/>
          <w:sz w:val="22"/>
        </w:rPr>
        <w:t> </w:t>
      </w:r>
      <w:r>
        <w:rPr>
          <w:i/>
          <w:sz w:val="22"/>
        </w:rPr>
        <w:t>to</w:t>
      </w:r>
      <w:r>
        <w:rPr>
          <w:i/>
          <w:spacing w:val="-3"/>
          <w:sz w:val="22"/>
        </w:rPr>
        <w:t> </w:t>
      </w:r>
      <w:r>
        <w:rPr>
          <w:i/>
          <w:sz w:val="22"/>
        </w:rPr>
        <w:t>Regulatory</w:t>
      </w:r>
      <w:r>
        <w:rPr>
          <w:i/>
          <w:spacing w:val="-3"/>
          <w:sz w:val="22"/>
        </w:rPr>
        <w:t> </w:t>
      </w:r>
      <w:r>
        <w:rPr>
          <w:i/>
          <w:sz w:val="22"/>
        </w:rPr>
        <w:t>Impact</w:t>
      </w:r>
      <w:r>
        <w:rPr>
          <w:i/>
          <w:spacing w:val="-3"/>
          <w:sz w:val="22"/>
        </w:rPr>
        <w:t> </w:t>
      </w:r>
      <w:r>
        <w:rPr>
          <w:i/>
          <w:sz w:val="22"/>
        </w:rPr>
        <w:t>Analysis</w:t>
      </w:r>
      <w:r>
        <w:rPr>
          <w:sz w:val="22"/>
        </w:rPr>
        <w:t>.</w:t>
      </w:r>
    </w:p>
    <w:p>
      <w:pPr>
        <w:pStyle w:val="BodyText"/>
      </w:pPr>
    </w:p>
    <w:p>
      <w:pPr>
        <w:pStyle w:val="BodyText"/>
        <w:spacing w:before="8"/>
        <w:rPr>
          <w:sz w:val="19"/>
        </w:rPr>
      </w:pPr>
    </w:p>
    <w:p>
      <w:pPr>
        <w:pStyle w:val="BodyText"/>
        <w:ind w:left="953"/>
      </w:pPr>
      <w:r>
        <w:rPr/>
        <w:t>Yours</w:t>
      </w:r>
      <w:r>
        <w:rPr>
          <w:spacing w:val="-4"/>
        </w:rPr>
        <w:t> </w:t>
      </w:r>
      <w:r>
        <w:rPr>
          <w:spacing w:val="-2"/>
        </w:rPr>
        <w:t>sincerely,</w:t>
      </w:r>
    </w:p>
    <w:p>
      <w:pPr>
        <w:pStyle w:val="BodyText"/>
        <w:rPr>
          <w:sz w:val="20"/>
        </w:rPr>
      </w:pPr>
    </w:p>
    <w:p>
      <w:pPr>
        <w:pStyle w:val="BodyText"/>
        <w:spacing w:before="1"/>
        <w:rPr>
          <w:sz w:val="20"/>
        </w:rPr>
      </w:pPr>
      <w:r>
        <w:rPr/>
        <w:drawing>
          <wp:anchor distT="0" distB="0" distL="0" distR="0" allowOverlap="1" layoutInCell="1" locked="0" behindDoc="0" simplePos="0" relativeHeight="4">
            <wp:simplePos x="0" y="0"/>
            <wp:positionH relativeFrom="page">
              <wp:posOffset>750493</wp:posOffset>
            </wp:positionH>
            <wp:positionV relativeFrom="paragraph">
              <wp:posOffset>170910</wp:posOffset>
            </wp:positionV>
            <wp:extent cx="933715" cy="195072"/>
            <wp:effectExtent l="0" t="0" r="0" b="0"/>
            <wp:wrapTopAndBottom/>
            <wp:docPr id="3" name="image3.png"/>
            <wp:cNvGraphicFramePr>
              <a:graphicFrameLocks noChangeAspect="1"/>
            </wp:cNvGraphicFramePr>
            <a:graphic>
              <a:graphicData uri="http://schemas.openxmlformats.org/drawingml/2006/picture">
                <pic:pic>
                  <pic:nvPicPr>
                    <pic:cNvPr id="4" name="image3.png"/>
                    <pic:cNvPicPr/>
                  </pic:nvPicPr>
                  <pic:blipFill>
                    <a:blip r:embed="rId10" cstate="print"/>
                    <a:stretch>
                      <a:fillRect/>
                    </a:stretch>
                  </pic:blipFill>
                  <pic:spPr>
                    <a:xfrm>
                      <a:off x="0" y="0"/>
                      <a:ext cx="933715" cy="195072"/>
                    </a:xfrm>
                    <a:prstGeom prst="rect">
                      <a:avLst/>
                    </a:prstGeom>
                  </pic:spPr>
                </pic:pic>
              </a:graphicData>
            </a:graphic>
          </wp:anchor>
        </w:drawing>
      </w:r>
    </w:p>
    <w:p>
      <w:pPr>
        <w:pStyle w:val="BodyText"/>
        <w:spacing w:before="4"/>
        <w:rPr>
          <w:sz w:val="16"/>
        </w:rPr>
      </w:pPr>
    </w:p>
    <w:p>
      <w:pPr>
        <w:pStyle w:val="BodyText"/>
        <w:ind w:left="953" w:right="8333"/>
      </w:pPr>
      <w:r>
        <w:rPr/>
        <w:t>Meghan</w:t>
      </w:r>
      <w:r>
        <w:rPr>
          <w:spacing w:val="-13"/>
        </w:rPr>
        <w:t> </w:t>
      </w:r>
      <w:r>
        <w:rPr/>
        <w:t>Quinn</w:t>
      </w:r>
      <w:r>
        <w:rPr>
          <w:spacing w:val="-12"/>
        </w:rPr>
        <w:t> </w:t>
      </w:r>
      <w:r>
        <w:rPr/>
        <w:t>PSM Deputy Secretary Markets Group</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6"/>
        </w:rPr>
      </w:pPr>
      <w:r>
        <w:rPr/>
        <w:pict>
          <v:shape style="position:absolute;margin-left:56.700001pt;margin-top:10.96796pt;width:143.5pt;height:.1pt;mso-position-horizontal-relative:page;mso-position-vertical-relative:paragraph;z-index:-15726080;mso-wrap-distance-left:0;mso-wrap-distance-right:0" id="docshape8" coordorigin="1134,219" coordsize="2870,0" path="m1134,219l4004,219e" filled="false" stroked="true" strokeweight=".72pt" strokecolor="#000000">
            <v:path arrowok="t"/>
            <v:stroke dashstyle="solid"/>
            <w10:wrap type="topAndBottom"/>
          </v:shape>
        </w:pict>
      </w:r>
    </w:p>
    <w:p>
      <w:pPr>
        <w:pStyle w:val="BodyText"/>
        <w:spacing w:before="1"/>
        <w:rPr>
          <w:sz w:val="23"/>
        </w:rPr>
      </w:pPr>
    </w:p>
    <w:p>
      <w:pPr>
        <w:spacing w:before="68"/>
        <w:ind w:left="954" w:right="0" w:firstLine="0"/>
        <w:jc w:val="left"/>
        <w:rPr>
          <w:sz w:val="20"/>
        </w:rPr>
      </w:pPr>
      <w:r>
        <w:rPr>
          <w:position w:val="6"/>
          <w:sz w:val="13"/>
        </w:rPr>
        <w:t>6</w:t>
      </w:r>
      <w:r>
        <w:rPr>
          <w:spacing w:val="14"/>
          <w:position w:val="6"/>
          <w:sz w:val="13"/>
        </w:rPr>
        <w:t> </w:t>
      </w:r>
      <w:r>
        <w:rPr>
          <w:sz w:val="20"/>
        </w:rPr>
        <w:t>Recommendations:</w:t>
      </w:r>
      <w:r>
        <w:rPr>
          <w:spacing w:val="-2"/>
          <w:sz w:val="20"/>
        </w:rPr>
        <w:t> </w:t>
      </w:r>
      <w:r>
        <w:rPr>
          <w:sz w:val="20"/>
        </w:rPr>
        <w:t>4.3,</w:t>
      </w:r>
      <w:r>
        <w:rPr>
          <w:spacing w:val="-1"/>
          <w:sz w:val="20"/>
        </w:rPr>
        <w:t> </w:t>
      </w:r>
      <w:r>
        <w:rPr>
          <w:sz w:val="20"/>
        </w:rPr>
        <w:t>5.1,</w:t>
      </w:r>
      <w:r>
        <w:rPr>
          <w:spacing w:val="-2"/>
          <w:sz w:val="20"/>
        </w:rPr>
        <w:t> </w:t>
      </w:r>
      <w:r>
        <w:rPr>
          <w:sz w:val="20"/>
        </w:rPr>
        <w:t>5.3, 5.4,</w:t>
      </w:r>
      <w:r>
        <w:rPr>
          <w:spacing w:val="-1"/>
          <w:sz w:val="20"/>
        </w:rPr>
        <w:t> </w:t>
      </w:r>
      <w:r>
        <w:rPr>
          <w:sz w:val="20"/>
        </w:rPr>
        <w:t>5.5,</w:t>
      </w:r>
      <w:r>
        <w:rPr>
          <w:spacing w:val="-2"/>
          <w:sz w:val="20"/>
        </w:rPr>
        <w:t> </w:t>
      </w:r>
      <w:r>
        <w:rPr>
          <w:sz w:val="20"/>
        </w:rPr>
        <w:t>5.18, 5.20,</w:t>
      </w:r>
      <w:r>
        <w:rPr>
          <w:spacing w:val="-2"/>
          <w:sz w:val="20"/>
        </w:rPr>
        <w:t> </w:t>
      </w:r>
      <w:r>
        <w:rPr>
          <w:sz w:val="20"/>
        </w:rPr>
        <w:t>6.24, 7.1</w:t>
      </w:r>
      <w:r>
        <w:rPr>
          <w:spacing w:val="-1"/>
          <w:sz w:val="20"/>
        </w:rPr>
        <w:t> </w:t>
      </w:r>
      <w:r>
        <w:rPr>
          <w:sz w:val="20"/>
        </w:rPr>
        <w:t>and</w:t>
      </w:r>
      <w:r>
        <w:rPr>
          <w:spacing w:val="-1"/>
          <w:sz w:val="20"/>
        </w:rPr>
        <w:t> </w:t>
      </w:r>
      <w:r>
        <w:rPr>
          <w:spacing w:val="-4"/>
          <w:sz w:val="20"/>
        </w:rPr>
        <w:t>7.6.</w:t>
      </w:r>
    </w:p>
    <w:p>
      <w:pPr>
        <w:spacing w:before="0"/>
        <w:ind w:left="954" w:right="0" w:firstLine="0"/>
        <w:jc w:val="left"/>
        <w:rPr>
          <w:sz w:val="20"/>
        </w:rPr>
      </w:pPr>
      <w:r>
        <w:rPr>
          <w:position w:val="6"/>
          <w:sz w:val="13"/>
        </w:rPr>
        <w:t>7</w:t>
      </w:r>
      <w:r>
        <w:rPr>
          <w:spacing w:val="14"/>
          <w:position w:val="6"/>
          <w:sz w:val="13"/>
        </w:rPr>
        <w:t> </w:t>
      </w:r>
      <w:r>
        <w:rPr>
          <w:sz w:val="20"/>
        </w:rPr>
        <w:t>Recommendations:4.1,</w:t>
      </w:r>
      <w:r>
        <w:rPr>
          <w:spacing w:val="-2"/>
          <w:sz w:val="20"/>
        </w:rPr>
        <w:t> </w:t>
      </w:r>
      <w:r>
        <w:rPr>
          <w:sz w:val="20"/>
        </w:rPr>
        <w:t>4.2,</w:t>
      </w:r>
      <w:r>
        <w:rPr>
          <w:spacing w:val="-2"/>
          <w:sz w:val="20"/>
        </w:rPr>
        <w:t> </w:t>
      </w:r>
      <w:r>
        <w:rPr>
          <w:sz w:val="20"/>
        </w:rPr>
        <w:t>4.5, 4.6,</w:t>
      </w:r>
      <w:r>
        <w:rPr>
          <w:spacing w:val="-2"/>
          <w:sz w:val="20"/>
        </w:rPr>
        <w:t> </w:t>
      </w:r>
      <w:r>
        <w:rPr>
          <w:sz w:val="20"/>
        </w:rPr>
        <w:t>4.12,</w:t>
      </w:r>
      <w:r>
        <w:rPr>
          <w:spacing w:val="-1"/>
          <w:sz w:val="20"/>
        </w:rPr>
        <w:t> </w:t>
      </w:r>
      <w:r>
        <w:rPr>
          <w:sz w:val="20"/>
        </w:rPr>
        <w:t>4.13, 4.14,</w:t>
      </w:r>
      <w:r>
        <w:rPr>
          <w:spacing w:val="-2"/>
          <w:sz w:val="20"/>
        </w:rPr>
        <w:t> </w:t>
      </w:r>
      <w:r>
        <w:rPr>
          <w:sz w:val="20"/>
        </w:rPr>
        <w:t>4.15,</w:t>
      </w:r>
      <w:r>
        <w:rPr>
          <w:spacing w:val="-1"/>
          <w:sz w:val="20"/>
        </w:rPr>
        <w:t> </w:t>
      </w:r>
      <w:r>
        <w:rPr>
          <w:sz w:val="20"/>
        </w:rPr>
        <w:t>4.16,</w:t>
      </w:r>
      <w:r>
        <w:rPr>
          <w:spacing w:val="-1"/>
          <w:sz w:val="20"/>
        </w:rPr>
        <w:t> </w:t>
      </w:r>
      <w:r>
        <w:rPr>
          <w:sz w:val="20"/>
        </w:rPr>
        <w:t>4.18,</w:t>
      </w:r>
      <w:r>
        <w:rPr>
          <w:spacing w:val="-1"/>
          <w:sz w:val="20"/>
        </w:rPr>
        <w:t> </w:t>
      </w:r>
      <w:r>
        <w:rPr>
          <w:sz w:val="20"/>
        </w:rPr>
        <w:t>4.20,</w:t>
      </w:r>
      <w:r>
        <w:rPr>
          <w:spacing w:val="-1"/>
          <w:sz w:val="20"/>
        </w:rPr>
        <w:t> </w:t>
      </w:r>
      <w:r>
        <w:rPr>
          <w:sz w:val="20"/>
        </w:rPr>
        <w:t>4.21,</w:t>
      </w:r>
      <w:r>
        <w:rPr>
          <w:spacing w:val="-1"/>
          <w:sz w:val="20"/>
        </w:rPr>
        <w:t> </w:t>
      </w:r>
      <w:r>
        <w:rPr>
          <w:sz w:val="20"/>
        </w:rPr>
        <w:t>4.22,</w:t>
      </w:r>
      <w:r>
        <w:rPr>
          <w:spacing w:val="-1"/>
          <w:sz w:val="20"/>
        </w:rPr>
        <w:t> </w:t>
      </w:r>
      <w:r>
        <w:rPr>
          <w:sz w:val="20"/>
        </w:rPr>
        <w:t>4.23,</w:t>
      </w:r>
      <w:r>
        <w:rPr>
          <w:spacing w:val="-2"/>
          <w:sz w:val="20"/>
        </w:rPr>
        <w:t> </w:t>
      </w:r>
      <w:r>
        <w:rPr>
          <w:sz w:val="20"/>
        </w:rPr>
        <w:t>5.7,</w:t>
      </w:r>
      <w:r>
        <w:rPr>
          <w:spacing w:val="-1"/>
          <w:sz w:val="20"/>
        </w:rPr>
        <w:t> </w:t>
      </w:r>
      <w:r>
        <w:rPr>
          <w:sz w:val="20"/>
        </w:rPr>
        <w:t>5.8,</w:t>
      </w:r>
      <w:r>
        <w:rPr>
          <w:spacing w:val="-1"/>
          <w:sz w:val="20"/>
        </w:rPr>
        <w:t> </w:t>
      </w:r>
      <w:r>
        <w:rPr>
          <w:sz w:val="20"/>
        </w:rPr>
        <w:t>5.9,</w:t>
      </w:r>
      <w:r>
        <w:rPr>
          <w:spacing w:val="-1"/>
          <w:sz w:val="20"/>
        </w:rPr>
        <w:t> </w:t>
      </w:r>
      <w:r>
        <w:rPr>
          <w:sz w:val="20"/>
        </w:rPr>
        <w:t>5.10,</w:t>
      </w:r>
      <w:r>
        <w:rPr>
          <w:spacing w:val="-1"/>
          <w:sz w:val="20"/>
        </w:rPr>
        <w:t> </w:t>
      </w:r>
      <w:r>
        <w:rPr>
          <w:spacing w:val="-2"/>
          <w:sz w:val="20"/>
        </w:rPr>
        <w:t>5.11,</w:t>
      </w:r>
    </w:p>
    <w:p>
      <w:pPr>
        <w:spacing w:before="0"/>
        <w:ind w:left="954" w:right="0" w:firstLine="0"/>
        <w:jc w:val="left"/>
        <w:rPr>
          <w:sz w:val="20"/>
        </w:rPr>
      </w:pPr>
      <w:r>
        <w:rPr>
          <w:sz w:val="20"/>
        </w:rPr>
        <w:t>5.12,</w:t>
      </w:r>
      <w:r>
        <w:rPr>
          <w:spacing w:val="-1"/>
          <w:sz w:val="20"/>
        </w:rPr>
        <w:t> </w:t>
      </w:r>
      <w:r>
        <w:rPr>
          <w:sz w:val="20"/>
        </w:rPr>
        <w:t>5.14,</w:t>
      </w:r>
      <w:r>
        <w:rPr>
          <w:spacing w:val="-1"/>
          <w:sz w:val="20"/>
        </w:rPr>
        <w:t> </w:t>
      </w:r>
      <w:r>
        <w:rPr>
          <w:sz w:val="20"/>
        </w:rPr>
        <w:t>6.5, 8.2,</w:t>
      </w:r>
      <w:r>
        <w:rPr>
          <w:spacing w:val="-1"/>
          <w:sz w:val="20"/>
        </w:rPr>
        <w:t> </w:t>
      </w:r>
      <w:r>
        <w:rPr>
          <w:sz w:val="20"/>
        </w:rPr>
        <w:t>8.3 and </w:t>
      </w:r>
      <w:r>
        <w:rPr>
          <w:spacing w:val="-2"/>
          <w:sz w:val="20"/>
        </w:rPr>
        <w:t>8.11.</w:t>
      </w:r>
    </w:p>
    <w:sectPr>
      <w:pgSz w:w="11910" w:h="16840"/>
      <w:pgMar w:header="0" w:footer="774" w:top="1100" w:bottom="960" w:left="18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886993pt;margin-top:792.296021pt;width:12.6pt;height:13pt;mso-position-horizontal-relative:page;mso-position-vertical-relative:page;z-index:-15856128" type="#_x0000_t202" id="docshape5" filled="false" stroked="false">
          <v:textbox inset="0,0,0,0">
            <w:txbxContent>
              <w:p>
                <w:pPr>
                  <w:pStyle w:val="BodyText"/>
                  <w:spacing w:line="244" w:lineRule="exact"/>
                  <w:ind w:left="60"/>
                </w:pPr>
                <w:r>
                  <w:rPr/>
                  <w:fldChar w:fldCharType="begin"/>
                </w:r>
                <w:r>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380" w:hanging="427"/>
        <w:jc w:val="left"/>
      </w:pPr>
      <w:rPr>
        <w:rFonts w:hint="default" w:ascii="Calibri" w:hAnsi="Calibri" w:eastAsia="Calibri" w:cs="Calibri"/>
        <w:b w:val="0"/>
        <w:bCs w:val="0"/>
        <w:i w:val="0"/>
        <w:iCs w:val="0"/>
        <w:w w:val="100"/>
        <w:sz w:val="22"/>
        <w:szCs w:val="22"/>
        <w:lang w:val="en-US" w:eastAsia="en-US" w:bidi="ar-SA"/>
      </w:rPr>
    </w:lvl>
    <w:lvl w:ilvl="1">
      <w:start w:val="0"/>
      <w:numFmt w:val="bullet"/>
      <w:lvlText w:val="•"/>
      <w:lvlJc w:val="left"/>
      <w:pPr>
        <w:ind w:left="1805" w:hanging="237"/>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883" w:hanging="237"/>
      </w:pPr>
      <w:rPr>
        <w:rFonts w:hint="default"/>
        <w:lang w:val="en-US" w:eastAsia="en-US" w:bidi="ar-SA"/>
      </w:rPr>
    </w:lvl>
    <w:lvl w:ilvl="3">
      <w:start w:val="0"/>
      <w:numFmt w:val="bullet"/>
      <w:lvlText w:val="•"/>
      <w:lvlJc w:val="left"/>
      <w:pPr>
        <w:ind w:left="3966" w:hanging="237"/>
      </w:pPr>
      <w:rPr>
        <w:rFonts w:hint="default"/>
        <w:lang w:val="en-US" w:eastAsia="en-US" w:bidi="ar-SA"/>
      </w:rPr>
    </w:lvl>
    <w:lvl w:ilvl="4">
      <w:start w:val="0"/>
      <w:numFmt w:val="bullet"/>
      <w:lvlText w:val="•"/>
      <w:lvlJc w:val="left"/>
      <w:pPr>
        <w:ind w:left="5049" w:hanging="237"/>
      </w:pPr>
      <w:rPr>
        <w:rFonts w:hint="default"/>
        <w:lang w:val="en-US" w:eastAsia="en-US" w:bidi="ar-SA"/>
      </w:rPr>
    </w:lvl>
    <w:lvl w:ilvl="5">
      <w:start w:val="0"/>
      <w:numFmt w:val="bullet"/>
      <w:lvlText w:val="•"/>
      <w:lvlJc w:val="left"/>
      <w:pPr>
        <w:ind w:left="6132" w:hanging="237"/>
      </w:pPr>
      <w:rPr>
        <w:rFonts w:hint="default"/>
        <w:lang w:val="en-US" w:eastAsia="en-US" w:bidi="ar-SA"/>
      </w:rPr>
    </w:lvl>
    <w:lvl w:ilvl="6">
      <w:start w:val="0"/>
      <w:numFmt w:val="bullet"/>
      <w:lvlText w:val="•"/>
      <w:lvlJc w:val="left"/>
      <w:pPr>
        <w:ind w:left="7215" w:hanging="237"/>
      </w:pPr>
      <w:rPr>
        <w:rFonts w:hint="default"/>
        <w:lang w:val="en-US" w:eastAsia="en-US" w:bidi="ar-SA"/>
      </w:rPr>
    </w:lvl>
    <w:lvl w:ilvl="7">
      <w:start w:val="0"/>
      <w:numFmt w:val="bullet"/>
      <w:lvlText w:val="•"/>
      <w:lvlJc w:val="left"/>
      <w:pPr>
        <w:ind w:left="8298" w:hanging="237"/>
      </w:pPr>
      <w:rPr>
        <w:rFonts w:hint="default"/>
        <w:lang w:val="en-US" w:eastAsia="en-US" w:bidi="ar-SA"/>
      </w:rPr>
    </w:lvl>
    <w:lvl w:ilvl="8">
      <w:start w:val="0"/>
      <w:numFmt w:val="bullet"/>
      <w:lvlText w:val="•"/>
      <w:lvlJc w:val="left"/>
      <w:pPr>
        <w:ind w:left="9381" w:hanging="237"/>
      </w:pPr>
      <w:rPr>
        <w:rFonts w:hint="default"/>
        <w:lang w:val="en-US" w:eastAsia="en-US" w:bidi="ar-SA"/>
      </w:rPr>
    </w:lvl>
  </w:abstractNum>
  <w:abstractNum w:abstractNumId="0">
    <w:multiLevelType w:val="hybridMultilevel"/>
    <w:lvl w:ilvl="0">
      <w:start w:val="0"/>
      <w:numFmt w:val="bullet"/>
      <w:lvlText w:val="•"/>
      <w:lvlJc w:val="left"/>
      <w:pPr>
        <w:ind w:left="1474" w:hanging="521"/>
      </w:pPr>
      <w:rPr>
        <w:rFonts w:hint="default" w:ascii="Times New Roman" w:hAnsi="Times New Roman" w:eastAsia="Times New Roman" w:cs="Times New Roman"/>
        <w:b w:val="0"/>
        <w:bCs w:val="0"/>
        <w:i w:val="0"/>
        <w:iCs w:val="0"/>
        <w:w w:val="100"/>
        <w:sz w:val="22"/>
        <w:szCs w:val="22"/>
        <w:lang w:val="en-US" w:eastAsia="en-US" w:bidi="ar-SA"/>
      </w:rPr>
    </w:lvl>
    <w:lvl w:ilvl="1">
      <w:start w:val="0"/>
      <w:numFmt w:val="bullet"/>
      <w:lvlText w:val="•"/>
      <w:lvlJc w:val="left"/>
      <w:pPr>
        <w:ind w:left="2486" w:hanging="521"/>
      </w:pPr>
      <w:rPr>
        <w:rFonts w:hint="default"/>
        <w:lang w:val="en-US" w:eastAsia="en-US" w:bidi="ar-SA"/>
      </w:rPr>
    </w:lvl>
    <w:lvl w:ilvl="2">
      <w:start w:val="0"/>
      <w:numFmt w:val="bullet"/>
      <w:lvlText w:val="•"/>
      <w:lvlJc w:val="left"/>
      <w:pPr>
        <w:ind w:left="3493" w:hanging="521"/>
      </w:pPr>
      <w:rPr>
        <w:rFonts w:hint="default"/>
        <w:lang w:val="en-US" w:eastAsia="en-US" w:bidi="ar-SA"/>
      </w:rPr>
    </w:lvl>
    <w:lvl w:ilvl="3">
      <w:start w:val="0"/>
      <w:numFmt w:val="bullet"/>
      <w:lvlText w:val="•"/>
      <w:lvlJc w:val="left"/>
      <w:pPr>
        <w:ind w:left="4500" w:hanging="521"/>
      </w:pPr>
      <w:rPr>
        <w:rFonts w:hint="default"/>
        <w:lang w:val="en-US" w:eastAsia="en-US" w:bidi="ar-SA"/>
      </w:rPr>
    </w:lvl>
    <w:lvl w:ilvl="4">
      <w:start w:val="0"/>
      <w:numFmt w:val="bullet"/>
      <w:lvlText w:val="•"/>
      <w:lvlJc w:val="left"/>
      <w:pPr>
        <w:ind w:left="5506" w:hanging="521"/>
      </w:pPr>
      <w:rPr>
        <w:rFonts w:hint="default"/>
        <w:lang w:val="en-US" w:eastAsia="en-US" w:bidi="ar-SA"/>
      </w:rPr>
    </w:lvl>
    <w:lvl w:ilvl="5">
      <w:start w:val="0"/>
      <w:numFmt w:val="bullet"/>
      <w:lvlText w:val="•"/>
      <w:lvlJc w:val="left"/>
      <w:pPr>
        <w:ind w:left="6513" w:hanging="521"/>
      </w:pPr>
      <w:rPr>
        <w:rFonts w:hint="default"/>
        <w:lang w:val="en-US" w:eastAsia="en-US" w:bidi="ar-SA"/>
      </w:rPr>
    </w:lvl>
    <w:lvl w:ilvl="6">
      <w:start w:val="0"/>
      <w:numFmt w:val="bullet"/>
      <w:lvlText w:val="•"/>
      <w:lvlJc w:val="left"/>
      <w:pPr>
        <w:ind w:left="7520" w:hanging="521"/>
      </w:pPr>
      <w:rPr>
        <w:rFonts w:hint="default"/>
        <w:lang w:val="en-US" w:eastAsia="en-US" w:bidi="ar-SA"/>
      </w:rPr>
    </w:lvl>
    <w:lvl w:ilvl="7">
      <w:start w:val="0"/>
      <w:numFmt w:val="bullet"/>
      <w:lvlText w:val="•"/>
      <w:lvlJc w:val="left"/>
      <w:pPr>
        <w:ind w:left="8526" w:hanging="521"/>
      </w:pPr>
      <w:rPr>
        <w:rFonts w:hint="default"/>
        <w:lang w:val="en-US" w:eastAsia="en-US" w:bidi="ar-SA"/>
      </w:rPr>
    </w:lvl>
    <w:lvl w:ilvl="8">
      <w:start w:val="0"/>
      <w:numFmt w:val="bullet"/>
      <w:lvlText w:val="•"/>
      <w:lvlJc w:val="left"/>
      <w:pPr>
        <w:ind w:left="9533" w:hanging="52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953"/>
      <w:outlineLvl w:val="1"/>
    </w:pPr>
    <w:rPr>
      <w:rFonts w:ascii="Calibri" w:hAnsi="Calibri" w:eastAsia="Calibri" w:cs="Calibri"/>
      <w:b/>
      <w:bCs/>
      <w:i/>
      <w:iCs/>
      <w:sz w:val="22"/>
      <w:szCs w:val="22"/>
      <w:lang w:val="en-US" w:eastAsia="en-US" w:bidi="ar-SA"/>
    </w:rPr>
  </w:style>
  <w:style w:styleId="Title" w:type="paragraph">
    <w:name w:val="Title"/>
    <w:basedOn w:val="Normal"/>
    <w:uiPriority w:val="1"/>
    <w:qFormat/>
    <w:pPr>
      <w:ind w:left="954" w:right="1021"/>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ind w:left="1474" w:hanging="522"/>
    </w:pPr>
    <w:rPr>
      <w:rFonts w:ascii="Calibri" w:hAnsi="Calibri" w:eastAsia="Calibri" w:cs="Calibri"/>
      <w:lang w:val="en-US" w:eastAsia="en-US" w:bidi="ar-SA"/>
    </w:rPr>
  </w:style>
  <w:style w:styleId="TableParagraph" w:type="paragraph">
    <w:name w:val="Table Paragraph"/>
    <w:basedOn w:val="Normal"/>
    <w:uiPriority w:val="1"/>
    <w:qFormat/>
    <w:pPr>
      <w:spacing w:before="120"/>
      <w:ind w:left="10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hyperlink" Target="http://www.treasury.gov.au/" TargetMode="External"/><Relationship Id="rId13"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customXml" Target="../customXml/item1.xml"/><Relationship Id="rId2" Type="http://schemas.openxmlformats.org/officeDocument/2006/relationships/fontTable" Target="fontTable.xml"/><Relationship Id="rId16" Type="http://schemas.openxmlformats.org/officeDocument/2006/relationships/customXml" Target="../customXml/item5.xml"/><Relationship Id="rId1" Type="http://schemas.openxmlformats.org/officeDocument/2006/relationships/styles" Target="styles.xml"/><Relationship Id="rId6" Type="http://schemas.openxmlformats.org/officeDocument/2006/relationships/hyperlink" Target="mailto:helpdesk-OBPR@pmc.gov.au" TargetMode="External"/><Relationship Id="rId11" Type="http://schemas.openxmlformats.org/officeDocument/2006/relationships/numbering" Target="numbering.xml"/><Relationship Id="rId5" Type="http://schemas.openxmlformats.org/officeDocument/2006/relationships/image" Target="media/image1.png"/><Relationship Id="rId15" Type="http://schemas.openxmlformats.org/officeDocument/2006/relationships/customXml" Target="../customXml/item4.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4" ma:contentTypeDescription="Create a new document." ma:contentTypeScope="" ma:versionID="bc8c1ae6f50bee9cb95bd38a46bdc62f">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883a595fd6cebbbc5e1a059e2314ef55"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195ad5f-cdf2-4c4a-8d9b-b7944a108e98">DOCID-322795542-26028</_dlc_DocId>
    <TaxCatchAll xmlns="4195ad5f-cdf2-4c4a-8d9b-b7944a108e98" xsi:nil="true"/>
    <_dlc_DocIdUrl xmlns="4195ad5f-cdf2-4c4a-8d9b-b7944a108e98">
      <Url>https://pmc01.sharepoint.com/sites/CRMOBPR/_layouts/15/DocIdRedir.aspx?ID=DOCID-322795542-26028</Url>
      <Description>DOCID-322795542-26028</Description>
    </_dlc_DocIdUrl>
    <lcf76f155ced4ddcb4097134ff3c332f xmlns="26285671-540d-468b-b7a1-f3e0438dd5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B4605B-AF28-47B2-86B7-65B365F6D5DD}"/>
</file>

<file path=customXml/itemProps2.xml><?xml version="1.0" encoding="utf-8"?>
<ds:datastoreItem xmlns:ds="http://schemas.openxmlformats.org/officeDocument/2006/customXml" ds:itemID="{9BAA3678-A20D-49A8-BB9D-9D6A63CBC70E}"/>
</file>

<file path=customXml/itemProps3.xml><?xml version="1.0" encoding="utf-8"?>
<ds:datastoreItem xmlns:ds="http://schemas.openxmlformats.org/officeDocument/2006/customXml" ds:itemID="{1CE2FA0D-48FF-4F56-827D-3DB5425F919F}"/>
</file>

<file path=customXml/itemProps4.xml><?xml version="1.0" encoding="utf-8"?>
<ds:datastoreItem xmlns:ds="http://schemas.openxmlformats.org/officeDocument/2006/customXml" ds:itemID="{2CFAADD0-A045-4F55-B4FB-C7C66ABCC759}"/>
</file>

<file path=customXml/itemProps5.xml><?xml version="1.0" encoding="utf-8"?>
<ds:datastoreItem xmlns:ds="http://schemas.openxmlformats.org/officeDocument/2006/customXml" ds:itemID="{72114E71-A9BB-48EC-BDE5-320821C83EF9}"/>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2023-01-10T05:36:47Z</dcterms:created>
  <dcterms:modified xsi:type="dcterms:W3CDTF">2023-01-10T05:36:47Z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0d963b59-e233-41d6-b7ea-ad3c298bc351</vt:lpwstr>
  </property>
  <property fmtid="{D5CDD505-2E9C-101B-9397-08002B2CF9AE}" pid="3" name="ContentTypeId">
    <vt:lpwstr>0x0101009CA239676470E04B809DDC4E24CF2322</vt:lpwstr>
  </property>
  <property fmtid="{D5CDD505-2E9C-101B-9397-08002B2CF9AE}" pid="4" name="TSYRecordClass">
    <vt:lpwstr>2;#TSY RA-9081 - Retain as national archives|bbf0bcde-1687-4ff2-bc57-f31b5d545d4b</vt:lpwstr>
  </property>
  <property fmtid="{D5CDD505-2E9C-101B-9397-08002B2CF9AE}" pid="5" name="TaxKeyword">
    <vt:lpwstr/>
  </property>
  <property fmtid="{D5CDD505-2E9C-101B-9397-08002B2CF9AE}" pid="6" name="MediaServiceImageTags">
    <vt:lpwstr/>
  </property>
</Properties>
</file>