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650" w:lineRule="exact"/>
      </w:pPr>
      <w:bookmarkStart w:name="Regulatory Expectations for Conduct in O" w:id="1"/>
      <w:bookmarkEnd w:id="1"/>
      <w:r>
        <w:rPr/>
      </w:r>
      <w:r>
        <w:rPr>
          <w:color w:val="595958"/>
        </w:rPr>
        <w:t>Regulatory</w:t>
      </w:r>
      <w:r>
        <w:rPr>
          <w:color w:val="595958"/>
          <w:spacing w:val="-31"/>
        </w:rPr>
        <w:t> </w:t>
      </w:r>
      <w:r>
        <w:rPr>
          <w:color w:val="595958"/>
        </w:rPr>
        <w:t>Expectations</w:t>
      </w:r>
      <w:r>
        <w:rPr>
          <w:color w:val="595958"/>
          <w:spacing w:val="-31"/>
        </w:rPr>
        <w:t> </w:t>
      </w:r>
      <w:r>
        <w:rPr>
          <w:color w:val="595958"/>
          <w:spacing w:val="-5"/>
        </w:rPr>
        <w:t>for</w:t>
      </w:r>
    </w:p>
    <w:p>
      <w:pPr>
        <w:pStyle w:val="Title"/>
        <w:ind w:right="170"/>
      </w:pPr>
      <w:r>
        <w:rPr/>
        <w:pict>
          <v:rect style="position:absolute;margin-left:83.639999pt;margin-top:115.192596pt;width:428.04pt;height:3pt;mso-position-horizontal-relative:page;mso-position-vertical-relative:paragraph;z-index:-15728640;mso-wrap-distance-left:0;mso-wrap-distance-right:0" id="docshape1" filled="true" fillcolor="#a98e35" stroked="false">
            <v:fill type="solid"/>
            <w10:wrap type="topAndBottom"/>
          </v:rect>
        </w:pict>
      </w:r>
      <w:r>
        <w:rPr>
          <w:color w:val="595958"/>
        </w:rPr>
        <w:t>Conduct in Operating Cash Equity</w:t>
      </w:r>
      <w:r>
        <w:rPr>
          <w:color w:val="595958"/>
          <w:spacing w:val="-10"/>
        </w:rPr>
        <w:t> </w:t>
      </w:r>
      <w:r>
        <w:rPr>
          <w:color w:val="595958"/>
        </w:rPr>
        <w:t>Clearing</w:t>
      </w:r>
      <w:r>
        <w:rPr>
          <w:color w:val="595958"/>
          <w:spacing w:val="-12"/>
        </w:rPr>
        <w:t> </w:t>
      </w:r>
      <w:r>
        <w:rPr>
          <w:color w:val="595958"/>
        </w:rPr>
        <w:t>and</w:t>
      </w:r>
      <w:r>
        <w:rPr>
          <w:color w:val="595958"/>
          <w:spacing w:val="-14"/>
        </w:rPr>
        <w:t> </w:t>
      </w:r>
      <w:r>
        <w:rPr>
          <w:color w:val="595958"/>
        </w:rPr>
        <w:t>Settlement Services in Australia</w:t>
      </w:r>
    </w:p>
    <w:p>
      <w:pPr>
        <w:pStyle w:val="BodyText"/>
        <w:rPr>
          <w:rFonts w:ascii="Palatino Linotype"/>
          <w:sz w:val="20"/>
        </w:rPr>
      </w:pPr>
    </w:p>
    <w:p>
      <w:pPr>
        <w:pStyle w:val="BodyText"/>
        <w:spacing w:before="10"/>
        <w:rPr>
          <w:rFonts w:ascii="Palatino Linotype"/>
          <w:sz w:val="14"/>
        </w:rPr>
      </w:pPr>
    </w:p>
    <w:p>
      <w:pPr>
        <w:pStyle w:val="Heading2"/>
        <w:spacing w:before="12"/>
        <w:ind w:left="141" w:right="4467"/>
      </w:pPr>
      <w:r>
        <w:rPr>
          <w:color w:val="007698"/>
        </w:rPr>
        <w:t>A Policy Statement by the Council</w:t>
      </w:r>
      <w:r>
        <w:rPr>
          <w:color w:val="007698"/>
          <w:spacing w:val="-12"/>
        </w:rPr>
        <w:t> </w:t>
      </w:r>
      <w:r>
        <w:rPr>
          <w:color w:val="007698"/>
        </w:rPr>
        <w:t>of</w:t>
      </w:r>
      <w:r>
        <w:rPr>
          <w:color w:val="007698"/>
          <w:spacing w:val="-12"/>
        </w:rPr>
        <w:t> </w:t>
      </w:r>
      <w:r>
        <w:rPr>
          <w:color w:val="007698"/>
        </w:rPr>
        <w:t>Financial</w:t>
      </w:r>
      <w:r>
        <w:rPr>
          <w:color w:val="007698"/>
          <w:spacing w:val="-12"/>
        </w:rPr>
        <w:t> </w:t>
      </w:r>
      <w:r>
        <w:rPr>
          <w:color w:val="007698"/>
        </w:rPr>
        <w:t>Regulators</w:t>
      </w:r>
    </w:p>
    <w:p>
      <w:pPr>
        <w:pStyle w:val="BodyText"/>
        <w:spacing w:before="11"/>
        <w:rPr>
          <w:rFonts w:ascii="Palatino Linotype"/>
          <w:sz w:val="20"/>
        </w:rPr>
      </w:pPr>
    </w:p>
    <w:p>
      <w:pPr>
        <w:spacing w:before="1"/>
        <w:ind w:left="141" w:right="0" w:firstLine="0"/>
        <w:jc w:val="left"/>
        <w:rPr>
          <w:rFonts w:ascii="Palatino Linotype"/>
          <w:sz w:val="28"/>
        </w:rPr>
      </w:pPr>
      <w:r>
        <w:rPr>
          <w:rFonts w:ascii="Palatino Linotype"/>
          <w:color w:val="007698"/>
          <w:sz w:val="28"/>
        </w:rPr>
        <w:t>As</w:t>
      </w:r>
      <w:r>
        <w:rPr>
          <w:rFonts w:ascii="Palatino Linotype"/>
          <w:color w:val="007698"/>
          <w:spacing w:val="-4"/>
          <w:sz w:val="28"/>
        </w:rPr>
        <w:t> </w:t>
      </w:r>
      <w:r>
        <w:rPr>
          <w:rFonts w:ascii="Palatino Linotype"/>
          <w:color w:val="007698"/>
          <w:sz w:val="28"/>
        </w:rPr>
        <w:t>revised</w:t>
      </w:r>
      <w:r>
        <w:rPr>
          <w:rFonts w:ascii="Palatino Linotype"/>
          <w:color w:val="007698"/>
          <w:spacing w:val="-5"/>
          <w:sz w:val="28"/>
        </w:rPr>
        <w:t> </w:t>
      </w:r>
      <w:r>
        <w:rPr>
          <w:rFonts w:ascii="Palatino Linotype"/>
          <w:color w:val="007698"/>
          <w:sz w:val="28"/>
        </w:rPr>
        <w:t>September</w:t>
      </w:r>
      <w:r>
        <w:rPr>
          <w:rFonts w:ascii="Palatino Linotype"/>
          <w:color w:val="007698"/>
          <w:spacing w:val="-5"/>
          <w:sz w:val="28"/>
        </w:rPr>
        <w:t> </w:t>
      </w:r>
      <w:r>
        <w:rPr>
          <w:rFonts w:ascii="Palatino Linotype"/>
          <w:color w:val="007698"/>
          <w:spacing w:val="-4"/>
          <w:sz w:val="28"/>
        </w:rPr>
        <w:t>2017</w:t>
      </w: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1"/>
        <w:rPr>
          <w:rFonts w:ascii="Palatino Linotype"/>
          <w:sz w:val="10"/>
        </w:rPr>
      </w:pPr>
      <w:r>
        <w:rPr/>
        <w:drawing>
          <wp:anchor distT="0" distB="0" distL="0" distR="0" allowOverlap="1" layoutInCell="1" locked="0" behindDoc="0" simplePos="0" relativeHeight="1">
            <wp:simplePos x="0" y="0"/>
            <wp:positionH relativeFrom="page">
              <wp:posOffset>1118078</wp:posOffset>
            </wp:positionH>
            <wp:positionV relativeFrom="paragraph">
              <wp:posOffset>101544</wp:posOffset>
            </wp:positionV>
            <wp:extent cx="3038128" cy="66008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38128" cy="660082"/>
                    </a:xfrm>
                    <a:prstGeom prst="rect">
                      <a:avLst/>
                    </a:prstGeom>
                  </pic:spPr>
                </pic:pic>
              </a:graphicData>
            </a:graphic>
          </wp:anchor>
        </w:drawing>
      </w:r>
    </w:p>
    <w:p>
      <w:pPr>
        <w:spacing w:after="0"/>
        <w:rPr>
          <w:rFonts w:ascii="Palatino Linotype"/>
          <w:sz w:val="10"/>
        </w:rPr>
        <w:sectPr>
          <w:type w:val="continuous"/>
          <w:pgSz w:w="11900" w:h="16850"/>
          <w:pgMar w:top="1360" w:bottom="280" w:left="1560" w:right="1580"/>
        </w:sect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11"/>
        <w:rPr>
          <w:rFonts w:ascii="Palatino Linotype"/>
          <w:sz w:val="19"/>
        </w:rPr>
      </w:pPr>
    </w:p>
    <w:p>
      <w:pPr>
        <w:pStyle w:val="BodyText"/>
        <w:spacing w:line="254" w:lineRule="auto" w:before="59"/>
        <w:ind w:left="141" w:right="120"/>
        <w:jc w:val="both"/>
      </w:pPr>
      <w:r>
        <w:rPr/>
        <w:t>©Australian Prudential Regulation Authority, Australian Securities and Investments Commission, Reserve Bank of Australia and the Department of the Treasury 2016. All rights reserved.</w:t>
      </w:r>
    </w:p>
    <w:p>
      <w:pPr>
        <w:pStyle w:val="BodyText"/>
        <w:spacing w:line="252" w:lineRule="auto" w:before="157"/>
        <w:ind w:left="141" w:right="112"/>
        <w:jc w:val="both"/>
      </w:pPr>
      <w:r>
        <w:rPr/>
        <w:t>The contents of this publication shall not be reproduced, sold or distributed without the prior consent of the Australian Prudential Regulation Authority, Australian Securities and Investments Commission, Reserve Bank of Australia and the Department of the Treasury.</w:t>
      </w:r>
    </w:p>
    <w:p>
      <w:pPr>
        <w:pStyle w:val="BodyText"/>
        <w:rPr>
          <w:sz w:val="20"/>
        </w:rPr>
      </w:pPr>
    </w:p>
    <w:p>
      <w:pPr>
        <w:pStyle w:val="BodyText"/>
        <w:spacing w:before="6"/>
        <w:rPr>
          <w:sz w:val="28"/>
        </w:rPr>
      </w:pPr>
    </w:p>
    <w:p>
      <w:pPr>
        <w:pStyle w:val="BodyText"/>
        <w:ind w:left="141"/>
        <w:jc w:val="both"/>
      </w:pPr>
      <w:r>
        <w:rPr>
          <w:spacing w:val="-2"/>
        </w:rPr>
        <w:t>ISBN</w:t>
      </w:r>
      <w:r>
        <w:rPr>
          <w:spacing w:val="7"/>
        </w:rPr>
        <w:t> </w:t>
      </w:r>
      <w:r>
        <w:rPr>
          <w:spacing w:val="-2"/>
        </w:rPr>
        <w:t>978-0-9924944-5-2</w:t>
      </w:r>
      <w:r>
        <w:rPr>
          <w:spacing w:val="10"/>
        </w:rPr>
        <w:t> </w:t>
      </w:r>
      <w:r>
        <w:rPr>
          <w:spacing w:val="-2"/>
        </w:rPr>
        <w:t>(Online)</w:t>
      </w:r>
    </w:p>
    <w:p>
      <w:pPr>
        <w:spacing w:after="0"/>
        <w:jc w:val="both"/>
        <w:sectPr>
          <w:pgSz w:w="11900" w:h="16850"/>
          <w:pgMar w:top="1600" w:bottom="280" w:left="1560" w:right="1580"/>
        </w:sectPr>
      </w:pPr>
    </w:p>
    <w:p>
      <w:pPr>
        <w:pStyle w:val="BodyText"/>
        <w:spacing w:before="7"/>
        <w:rPr>
          <w:sz w:val="8"/>
        </w:rPr>
      </w:pPr>
    </w:p>
    <w:p>
      <w:pPr>
        <w:pStyle w:val="Heading1"/>
        <w:spacing w:line="430" w:lineRule="exact"/>
      </w:pPr>
      <w:bookmarkStart w:name="Background" w:id="2"/>
      <w:bookmarkEnd w:id="2"/>
      <w:r>
        <w:rPr/>
      </w:r>
      <w:r>
        <w:rPr>
          <w:color w:val="007698"/>
          <w:spacing w:val="-2"/>
        </w:rPr>
        <w:t>Background</w:t>
      </w:r>
    </w:p>
    <w:p>
      <w:pPr>
        <w:pStyle w:val="BodyText"/>
        <w:spacing w:line="252" w:lineRule="auto" w:before="170"/>
        <w:ind w:left="108" w:right="99"/>
        <w:jc w:val="both"/>
      </w:pPr>
      <w:r>
        <w:rPr/>
        <w:t>On 30 March 2016, the Government endorsed the conclusions of a review of competition in clearing Australian cash equities carried out by the Council of Financial Regulators (CFR) and the Australian Competition and Consumer Commission (ACCC) – together, the Agencies – in the first half of 2015. These</w:t>
      </w:r>
      <w:r>
        <w:rPr>
          <w:spacing w:val="-9"/>
        </w:rPr>
        <w:t> </w:t>
      </w:r>
      <w:r>
        <w:rPr/>
        <w:t>conclusions</w:t>
      </w:r>
      <w:r>
        <w:rPr>
          <w:spacing w:val="-11"/>
        </w:rPr>
        <w:t> </w:t>
      </w:r>
      <w:r>
        <w:rPr/>
        <w:t>are</w:t>
      </w:r>
      <w:r>
        <w:rPr>
          <w:spacing w:val="-9"/>
        </w:rPr>
        <w:t> </w:t>
      </w:r>
      <w:r>
        <w:rPr/>
        <w:t>set</w:t>
      </w:r>
      <w:r>
        <w:rPr>
          <w:spacing w:val="-11"/>
        </w:rPr>
        <w:t> </w:t>
      </w:r>
      <w:r>
        <w:rPr/>
        <w:t>out</w:t>
      </w:r>
      <w:r>
        <w:rPr>
          <w:spacing w:val="-11"/>
        </w:rPr>
        <w:t> </w:t>
      </w:r>
      <w:r>
        <w:rPr/>
        <w:t>in</w:t>
      </w:r>
      <w:r>
        <w:rPr>
          <w:spacing w:val="-10"/>
        </w:rPr>
        <w:t> </w:t>
      </w:r>
      <w:r>
        <w:rPr/>
        <w:t>the</w:t>
      </w:r>
      <w:r>
        <w:rPr>
          <w:spacing w:val="-9"/>
        </w:rPr>
        <w:t> </w:t>
      </w:r>
      <w:r>
        <w:rPr/>
        <w:t>Agencies’</w:t>
      </w:r>
      <w:r>
        <w:rPr>
          <w:spacing w:val="-9"/>
        </w:rPr>
        <w:t> </w:t>
      </w:r>
      <w:r>
        <w:rPr/>
        <w:t>report,</w:t>
      </w:r>
      <w:r>
        <w:rPr>
          <w:spacing w:val="-9"/>
        </w:rPr>
        <w:t> </w:t>
      </w:r>
      <w:r>
        <w:rPr>
          <w:i/>
        </w:rPr>
        <w:t>Review</w:t>
      </w:r>
      <w:r>
        <w:rPr>
          <w:i/>
          <w:spacing w:val="-9"/>
        </w:rPr>
        <w:t> </w:t>
      </w:r>
      <w:r>
        <w:rPr>
          <w:i/>
        </w:rPr>
        <w:t>of</w:t>
      </w:r>
      <w:r>
        <w:rPr>
          <w:i/>
          <w:spacing w:val="-9"/>
        </w:rPr>
        <w:t> </w:t>
      </w:r>
      <w:r>
        <w:rPr>
          <w:i/>
        </w:rPr>
        <w:t>Competition</w:t>
      </w:r>
      <w:r>
        <w:rPr>
          <w:i/>
          <w:spacing w:val="-10"/>
        </w:rPr>
        <w:t> </w:t>
      </w:r>
      <w:r>
        <w:rPr>
          <w:i/>
        </w:rPr>
        <w:t>in</w:t>
      </w:r>
      <w:r>
        <w:rPr>
          <w:i/>
          <w:spacing w:val="-10"/>
        </w:rPr>
        <w:t> </w:t>
      </w:r>
      <w:r>
        <w:rPr>
          <w:i/>
        </w:rPr>
        <w:t>Clearing</w:t>
      </w:r>
      <w:r>
        <w:rPr>
          <w:i/>
          <w:spacing w:val="-10"/>
        </w:rPr>
        <w:t> </w:t>
      </w:r>
      <w:r>
        <w:rPr>
          <w:i/>
        </w:rPr>
        <w:t>Australian</w:t>
      </w:r>
      <w:r>
        <w:rPr>
          <w:i/>
          <w:spacing w:val="-10"/>
        </w:rPr>
        <w:t> </w:t>
      </w:r>
      <w:r>
        <w:rPr>
          <w:i/>
        </w:rPr>
        <w:t>Cash</w:t>
      </w:r>
      <w:r>
        <w:rPr>
          <w:i/>
        </w:rPr>
        <w:t> Equities:</w:t>
      </w:r>
      <w:r>
        <w:rPr>
          <w:i/>
          <w:spacing w:val="-7"/>
        </w:rPr>
        <w:t> </w:t>
      </w:r>
      <w:r>
        <w:rPr>
          <w:i/>
        </w:rPr>
        <w:t>Conclusions</w:t>
      </w:r>
      <w:r>
        <w:rPr>
          <w:i/>
          <w:spacing w:val="-8"/>
        </w:rPr>
        <w:t> </w:t>
      </w:r>
      <w:r>
        <w:rPr/>
        <w:t>(the</w:t>
      </w:r>
      <w:r>
        <w:rPr>
          <w:spacing w:val="-7"/>
        </w:rPr>
        <w:t> </w:t>
      </w:r>
      <w:r>
        <w:rPr/>
        <w:t>Conclusions),</w:t>
      </w:r>
      <w:r>
        <w:rPr>
          <w:spacing w:val="-8"/>
        </w:rPr>
        <w:t> </w:t>
      </w:r>
      <w:r>
        <w:rPr/>
        <w:t>published</w:t>
      </w:r>
      <w:r>
        <w:rPr>
          <w:spacing w:val="-8"/>
        </w:rPr>
        <w:t> </w:t>
      </w:r>
      <w:r>
        <w:rPr/>
        <w:t>at</w:t>
      </w:r>
      <w:r>
        <w:rPr>
          <w:spacing w:val="-9"/>
        </w:rPr>
        <w:t> </w:t>
      </w:r>
      <w:r>
        <w:rPr/>
        <w:t>the</w:t>
      </w:r>
      <w:r>
        <w:rPr>
          <w:spacing w:val="-7"/>
        </w:rPr>
        <w:t> </w:t>
      </w:r>
      <w:r>
        <w:rPr/>
        <w:t>time</w:t>
      </w:r>
      <w:r>
        <w:rPr>
          <w:spacing w:val="-7"/>
        </w:rPr>
        <w:t> </w:t>
      </w:r>
      <w:r>
        <w:rPr/>
        <w:t>of</w:t>
      </w:r>
      <w:r>
        <w:rPr>
          <w:spacing w:val="-7"/>
        </w:rPr>
        <w:t> </w:t>
      </w:r>
      <w:r>
        <w:rPr/>
        <w:t>the</w:t>
      </w:r>
      <w:r>
        <w:rPr>
          <w:spacing w:val="-7"/>
        </w:rPr>
        <w:t> </w:t>
      </w:r>
      <w:r>
        <w:rPr/>
        <w:t>Government’s</w:t>
      </w:r>
      <w:r>
        <w:rPr>
          <w:spacing w:val="-9"/>
        </w:rPr>
        <w:t> </w:t>
      </w:r>
      <w:r>
        <w:rPr/>
        <w:t>announcement.</w:t>
      </w:r>
      <w:r>
        <w:rPr>
          <w:vertAlign w:val="superscript"/>
        </w:rPr>
        <w:t>1</w:t>
      </w:r>
    </w:p>
    <w:p>
      <w:pPr>
        <w:pStyle w:val="BodyText"/>
        <w:spacing w:line="252" w:lineRule="auto" w:before="163"/>
        <w:ind w:left="108" w:right="101"/>
        <w:jc w:val="both"/>
      </w:pPr>
      <w:r>
        <w:rPr/>
        <w:t>Among the conclusions arising from the review, the Agencies undertook to publicly set out regulatory </w:t>
      </w:r>
      <w:r>
        <w:rPr>
          <w:spacing w:val="-2"/>
        </w:rPr>
        <w:t>expectations</w:t>
      </w:r>
      <w:r>
        <w:rPr>
          <w:spacing w:val="-10"/>
        </w:rPr>
        <w:t> </w:t>
      </w:r>
      <w:r>
        <w:rPr>
          <w:spacing w:val="-2"/>
        </w:rPr>
        <w:t>for</w:t>
      </w:r>
      <w:r>
        <w:rPr>
          <w:spacing w:val="-10"/>
        </w:rPr>
        <w:t> </w:t>
      </w:r>
      <w:r>
        <w:rPr>
          <w:spacing w:val="-2"/>
        </w:rPr>
        <w:t>ASX’s</w:t>
      </w:r>
      <w:r>
        <w:rPr>
          <w:spacing w:val="-10"/>
        </w:rPr>
        <w:t> </w:t>
      </w:r>
      <w:r>
        <w:rPr>
          <w:spacing w:val="-2"/>
        </w:rPr>
        <w:t>conduct</w:t>
      </w:r>
      <w:r>
        <w:rPr>
          <w:spacing w:val="-10"/>
        </w:rPr>
        <w:t> </w:t>
      </w:r>
      <w:r>
        <w:rPr>
          <w:spacing w:val="-2"/>
        </w:rPr>
        <w:t>in</w:t>
      </w:r>
      <w:r>
        <w:rPr>
          <w:spacing w:val="-10"/>
        </w:rPr>
        <w:t> </w:t>
      </w:r>
      <w:r>
        <w:rPr>
          <w:spacing w:val="-2"/>
        </w:rPr>
        <w:t>operating</w:t>
      </w:r>
      <w:r>
        <w:rPr>
          <w:spacing w:val="-10"/>
        </w:rPr>
        <w:t> </w:t>
      </w:r>
      <w:r>
        <w:rPr>
          <w:spacing w:val="-2"/>
        </w:rPr>
        <w:t>its</w:t>
      </w:r>
      <w:r>
        <w:rPr>
          <w:spacing w:val="-10"/>
        </w:rPr>
        <w:t> </w:t>
      </w:r>
      <w:r>
        <w:rPr>
          <w:spacing w:val="-2"/>
        </w:rPr>
        <w:t>cash</w:t>
      </w:r>
      <w:r>
        <w:rPr>
          <w:spacing w:val="-9"/>
        </w:rPr>
        <w:t> </w:t>
      </w:r>
      <w:r>
        <w:rPr>
          <w:spacing w:val="-2"/>
        </w:rPr>
        <w:t>equity</w:t>
      </w:r>
      <w:r>
        <w:rPr>
          <w:spacing w:val="-10"/>
        </w:rPr>
        <w:t> </w:t>
      </w:r>
      <w:r>
        <w:rPr>
          <w:spacing w:val="-2"/>
        </w:rPr>
        <w:t>clearing</w:t>
      </w:r>
      <w:r>
        <w:rPr>
          <w:spacing w:val="-10"/>
        </w:rPr>
        <w:t> </w:t>
      </w:r>
      <w:r>
        <w:rPr>
          <w:spacing w:val="-2"/>
        </w:rPr>
        <w:t>and</w:t>
      </w:r>
      <w:r>
        <w:rPr>
          <w:spacing w:val="-9"/>
        </w:rPr>
        <w:t> </w:t>
      </w:r>
      <w:r>
        <w:rPr>
          <w:spacing w:val="-2"/>
        </w:rPr>
        <w:t>settlement</w:t>
      </w:r>
      <w:r>
        <w:rPr>
          <w:spacing w:val="-10"/>
        </w:rPr>
        <w:t> </w:t>
      </w:r>
      <w:r>
        <w:rPr>
          <w:spacing w:val="-2"/>
        </w:rPr>
        <w:t>(CS)</w:t>
      </w:r>
      <w:r>
        <w:rPr>
          <w:spacing w:val="-8"/>
        </w:rPr>
        <w:t> </w:t>
      </w:r>
      <w:r>
        <w:rPr>
          <w:spacing w:val="-2"/>
        </w:rPr>
        <w:t>services</w:t>
      </w:r>
      <w:r>
        <w:rPr>
          <w:spacing w:val="-10"/>
        </w:rPr>
        <w:t> </w:t>
      </w:r>
      <w:r>
        <w:rPr>
          <w:spacing w:val="-2"/>
        </w:rPr>
        <w:t>until</w:t>
      </w:r>
      <w:r>
        <w:rPr>
          <w:spacing w:val="-8"/>
        </w:rPr>
        <w:t> </w:t>
      </w:r>
      <w:r>
        <w:rPr>
          <w:spacing w:val="-2"/>
        </w:rPr>
        <w:t>such </w:t>
      </w:r>
      <w:r>
        <w:rPr>
          <w:spacing w:val="-4"/>
        </w:rPr>
        <w:t>time as</w:t>
      </w:r>
      <w:r>
        <w:rPr>
          <w:spacing w:val="-6"/>
        </w:rPr>
        <w:t> </w:t>
      </w:r>
      <w:r>
        <w:rPr>
          <w:spacing w:val="-4"/>
        </w:rPr>
        <w:t>a committed</w:t>
      </w:r>
      <w:r>
        <w:rPr>
          <w:spacing w:val="-6"/>
        </w:rPr>
        <w:t> </w:t>
      </w:r>
      <w:r>
        <w:rPr>
          <w:spacing w:val="-4"/>
        </w:rPr>
        <w:t>competitor emerged.</w:t>
      </w:r>
      <w:r>
        <w:rPr>
          <w:spacing w:val="-6"/>
        </w:rPr>
        <w:t> </w:t>
      </w:r>
      <w:r>
        <w:rPr>
          <w:spacing w:val="-4"/>
        </w:rPr>
        <w:t>The</w:t>
      </w:r>
      <w:r>
        <w:rPr>
          <w:spacing w:val="-5"/>
        </w:rPr>
        <w:t> </w:t>
      </w:r>
      <w:r>
        <w:rPr>
          <w:spacing w:val="-4"/>
        </w:rPr>
        <w:t>Conclusions presented</w:t>
      </w:r>
      <w:r>
        <w:rPr>
          <w:spacing w:val="-6"/>
        </w:rPr>
        <w:t> </w:t>
      </w:r>
      <w:r>
        <w:rPr>
          <w:spacing w:val="-4"/>
        </w:rPr>
        <w:t>the</w:t>
      </w:r>
      <w:r>
        <w:rPr>
          <w:spacing w:val="-5"/>
        </w:rPr>
        <w:t> </w:t>
      </w:r>
      <w:r>
        <w:rPr>
          <w:spacing w:val="-4"/>
        </w:rPr>
        <w:t>core</w:t>
      </w:r>
      <w:r>
        <w:rPr>
          <w:spacing w:val="-5"/>
        </w:rPr>
        <w:t> </w:t>
      </w:r>
      <w:r>
        <w:rPr>
          <w:spacing w:val="-4"/>
        </w:rPr>
        <w:t>elements that the</w:t>
      </w:r>
      <w:r>
        <w:rPr>
          <w:spacing w:val="-5"/>
        </w:rPr>
        <w:t> </w:t>
      </w:r>
      <w:r>
        <w:rPr>
          <w:spacing w:val="-4"/>
        </w:rPr>
        <w:t>Agencies </w:t>
      </w:r>
      <w:r>
        <w:rPr/>
        <w:t>expected to be included in the set of regulatory expectations. The core elements aim to address key </w:t>
      </w:r>
      <w:r>
        <w:rPr>
          <w:spacing w:val="-4"/>
        </w:rPr>
        <w:t>governance,</w:t>
      </w:r>
      <w:r>
        <w:rPr>
          <w:spacing w:val="-5"/>
        </w:rPr>
        <w:t> </w:t>
      </w:r>
      <w:r>
        <w:rPr>
          <w:spacing w:val="-4"/>
        </w:rPr>
        <w:t>pricing</w:t>
      </w:r>
      <w:r>
        <w:rPr>
          <w:spacing w:val="-6"/>
        </w:rPr>
        <w:t> </w:t>
      </w:r>
      <w:r>
        <w:rPr>
          <w:spacing w:val="-4"/>
        </w:rPr>
        <w:t>and</w:t>
      </w:r>
      <w:r>
        <w:rPr>
          <w:spacing w:val="-6"/>
        </w:rPr>
        <w:t> </w:t>
      </w:r>
      <w:r>
        <w:rPr>
          <w:spacing w:val="-4"/>
        </w:rPr>
        <w:t>access</w:t>
      </w:r>
      <w:r>
        <w:rPr>
          <w:spacing w:val="-6"/>
        </w:rPr>
        <w:t> </w:t>
      </w:r>
      <w:r>
        <w:rPr>
          <w:spacing w:val="-4"/>
        </w:rPr>
        <w:t>matters</w:t>
      </w:r>
      <w:r>
        <w:rPr>
          <w:spacing w:val="-6"/>
        </w:rPr>
        <w:t> </w:t>
      </w:r>
      <w:r>
        <w:rPr>
          <w:spacing w:val="-4"/>
        </w:rPr>
        <w:t>that</w:t>
      </w:r>
      <w:r>
        <w:rPr>
          <w:spacing w:val="-6"/>
        </w:rPr>
        <w:t> </w:t>
      </w:r>
      <w:r>
        <w:rPr>
          <w:spacing w:val="-4"/>
        </w:rPr>
        <w:t>are</w:t>
      </w:r>
      <w:r>
        <w:rPr>
          <w:spacing w:val="-5"/>
        </w:rPr>
        <w:t> </w:t>
      </w:r>
      <w:r>
        <w:rPr>
          <w:spacing w:val="-4"/>
        </w:rPr>
        <w:t>dealt</w:t>
      </w:r>
      <w:r>
        <w:rPr>
          <w:spacing w:val="-6"/>
        </w:rPr>
        <w:t> </w:t>
      </w:r>
      <w:r>
        <w:rPr>
          <w:spacing w:val="-4"/>
        </w:rPr>
        <w:t>with under ASX’s</w:t>
      </w:r>
      <w:r>
        <w:rPr>
          <w:spacing w:val="-6"/>
        </w:rPr>
        <w:t> </w:t>
      </w:r>
      <w:r>
        <w:rPr>
          <w:spacing w:val="-4"/>
        </w:rPr>
        <w:t>pre-existing</w:t>
      </w:r>
      <w:r>
        <w:rPr>
          <w:spacing w:val="-6"/>
        </w:rPr>
        <w:t> </w:t>
      </w:r>
      <w:r>
        <w:rPr>
          <w:i/>
          <w:spacing w:val="-4"/>
        </w:rPr>
        <w:t>Code of</w:t>
      </w:r>
      <w:r>
        <w:rPr>
          <w:i/>
          <w:spacing w:val="-5"/>
        </w:rPr>
        <w:t> </w:t>
      </w:r>
      <w:r>
        <w:rPr>
          <w:i/>
          <w:spacing w:val="-4"/>
        </w:rPr>
        <w:t>Practice</w:t>
      </w:r>
      <w:r>
        <w:rPr>
          <w:i/>
          <w:spacing w:val="-5"/>
        </w:rPr>
        <w:t> </w:t>
      </w:r>
      <w:r>
        <w:rPr>
          <w:i/>
          <w:spacing w:val="-4"/>
        </w:rPr>
        <w:t>for the</w:t>
      </w:r>
      <w:r>
        <w:rPr>
          <w:i/>
          <w:spacing w:val="-4"/>
        </w:rPr>
        <w:t> </w:t>
      </w:r>
      <w:r>
        <w:rPr>
          <w:i/>
        </w:rPr>
        <w:t>Clearing and Settlement of Cash Equities in Australia </w:t>
      </w:r>
      <w:r>
        <w:rPr/>
        <w:t>(the Code), as well as some of the additional commitments</w:t>
      </w:r>
      <w:r>
        <w:rPr>
          <w:spacing w:val="-5"/>
        </w:rPr>
        <w:t> </w:t>
      </w:r>
      <w:r>
        <w:rPr/>
        <w:t>proposed</w:t>
      </w:r>
      <w:r>
        <w:rPr>
          <w:spacing w:val="-5"/>
        </w:rPr>
        <w:t> </w:t>
      </w:r>
      <w:r>
        <w:rPr/>
        <w:t>by</w:t>
      </w:r>
      <w:r>
        <w:rPr>
          <w:spacing w:val="-5"/>
        </w:rPr>
        <w:t> </w:t>
      </w:r>
      <w:r>
        <w:rPr/>
        <w:t>ASX</w:t>
      </w:r>
      <w:r>
        <w:rPr>
          <w:spacing w:val="-4"/>
        </w:rPr>
        <w:t> </w:t>
      </w:r>
      <w:r>
        <w:rPr/>
        <w:t>in</w:t>
      </w:r>
      <w:r>
        <w:rPr>
          <w:spacing w:val="-5"/>
        </w:rPr>
        <w:t> </w:t>
      </w:r>
      <w:r>
        <w:rPr/>
        <w:t>its</w:t>
      </w:r>
      <w:r>
        <w:rPr>
          <w:spacing w:val="-5"/>
        </w:rPr>
        <w:t> </w:t>
      </w:r>
      <w:r>
        <w:rPr/>
        <w:t>submission</w:t>
      </w:r>
      <w:r>
        <w:rPr>
          <w:spacing w:val="-5"/>
        </w:rPr>
        <w:t> </w:t>
      </w:r>
      <w:r>
        <w:rPr/>
        <w:t>to</w:t>
      </w:r>
      <w:r>
        <w:rPr>
          <w:spacing w:val="-5"/>
        </w:rPr>
        <w:t> </w:t>
      </w:r>
      <w:r>
        <w:rPr/>
        <w:t>the</w:t>
      </w:r>
      <w:r>
        <w:rPr>
          <w:spacing w:val="-5"/>
        </w:rPr>
        <w:t> </w:t>
      </w:r>
      <w:r>
        <w:rPr/>
        <w:t>review</w:t>
      </w:r>
      <w:r>
        <w:rPr>
          <w:spacing w:val="-5"/>
        </w:rPr>
        <w:t> </w:t>
      </w:r>
      <w:r>
        <w:rPr/>
        <w:t>and</w:t>
      </w:r>
      <w:r>
        <w:rPr>
          <w:spacing w:val="-5"/>
        </w:rPr>
        <w:t> </w:t>
      </w:r>
      <w:r>
        <w:rPr/>
        <w:t>some</w:t>
      </w:r>
      <w:r>
        <w:rPr>
          <w:spacing w:val="-3"/>
        </w:rPr>
        <w:t> </w:t>
      </w:r>
      <w:r>
        <w:rPr/>
        <w:t>gaps</w:t>
      </w:r>
      <w:r>
        <w:rPr>
          <w:spacing w:val="-5"/>
        </w:rPr>
        <w:t> </w:t>
      </w:r>
      <w:r>
        <w:rPr/>
        <w:t>in</w:t>
      </w:r>
      <w:r>
        <w:rPr>
          <w:spacing w:val="-5"/>
        </w:rPr>
        <w:t> </w:t>
      </w:r>
      <w:r>
        <w:rPr/>
        <w:t>the</w:t>
      </w:r>
      <w:r>
        <w:rPr>
          <w:spacing w:val="-5"/>
        </w:rPr>
        <w:t> </w:t>
      </w:r>
      <w:r>
        <w:rPr/>
        <w:t>Code</w:t>
      </w:r>
      <w:r>
        <w:rPr>
          <w:spacing w:val="-5"/>
        </w:rPr>
        <w:t> </w:t>
      </w:r>
      <w:r>
        <w:rPr/>
        <w:t>identified</w:t>
      </w:r>
      <w:r>
        <w:rPr>
          <w:spacing w:val="-5"/>
        </w:rPr>
        <w:t> </w:t>
      </w:r>
      <w:r>
        <w:rPr/>
        <w:t>by stakeholders. Consistent with the Agencies’ commitment and drawing primarily on the core elements proposed</w:t>
      </w:r>
      <w:r>
        <w:rPr>
          <w:spacing w:val="-12"/>
        </w:rPr>
        <w:t> </w:t>
      </w:r>
      <w:r>
        <w:rPr/>
        <w:t>in</w:t>
      </w:r>
      <w:r>
        <w:rPr>
          <w:spacing w:val="-12"/>
        </w:rPr>
        <w:t> </w:t>
      </w:r>
      <w:r>
        <w:rPr/>
        <w:t>the</w:t>
      </w:r>
      <w:r>
        <w:rPr>
          <w:spacing w:val="-12"/>
        </w:rPr>
        <w:t> </w:t>
      </w:r>
      <w:r>
        <w:rPr/>
        <w:t>Conclusions,</w:t>
      </w:r>
      <w:r>
        <w:rPr>
          <w:spacing w:val="-9"/>
        </w:rPr>
        <w:t> </w:t>
      </w:r>
      <w:r>
        <w:rPr/>
        <w:t>the</w:t>
      </w:r>
      <w:r>
        <w:rPr>
          <w:spacing w:val="-11"/>
        </w:rPr>
        <w:t> </w:t>
      </w:r>
      <w:r>
        <w:rPr/>
        <w:t>Agencies</w:t>
      </w:r>
      <w:r>
        <w:rPr>
          <w:spacing w:val="-12"/>
        </w:rPr>
        <w:t> </w:t>
      </w:r>
      <w:r>
        <w:rPr/>
        <w:t>released</w:t>
      </w:r>
      <w:r>
        <w:rPr>
          <w:spacing w:val="-11"/>
        </w:rPr>
        <w:t> </w:t>
      </w:r>
      <w:r>
        <w:rPr/>
        <w:t>the</w:t>
      </w:r>
      <w:r>
        <w:rPr>
          <w:spacing w:val="-11"/>
        </w:rPr>
        <w:t> </w:t>
      </w:r>
      <w:r>
        <w:rPr>
          <w:i/>
        </w:rPr>
        <w:t>Regulatory</w:t>
      </w:r>
      <w:r>
        <w:rPr>
          <w:i/>
          <w:spacing w:val="-12"/>
        </w:rPr>
        <w:t> </w:t>
      </w:r>
      <w:r>
        <w:rPr>
          <w:i/>
        </w:rPr>
        <w:t>Expectations</w:t>
      </w:r>
      <w:r>
        <w:rPr>
          <w:i/>
          <w:spacing w:val="-10"/>
        </w:rPr>
        <w:t> </w:t>
      </w:r>
      <w:r>
        <w:rPr>
          <w:i/>
        </w:rPr>
        <w:t>for</w:t>
      </w:r>
      <w:r>
        <w:rPr>
          <w:i/>
          <w:spacing w:val="-12"/>
        </w:rPr>
        <w:t> </w:t>
      </w:r>
      <w:r>
        <w:rPr>
          <w:i/>
        </w:rPr>
        <w:t>the</w:t>
      </w:r>
      <w:r>
        <w:rPr>
          <w:i/>
          <w:spacing w:val="-12"/>
        </w:rPr>
        <w:t> </w:t>
      </w:r>
      <w:r>
        <w:rPr>
          <w:i/>
        </w:rPr>
        <w:t>Conduct</w:t>
      </w:r>
      <w:r>
        <w:rPr>
          <w:i/>
          <w:spacing w:val="-12"/>
        </w:rPr>
        <w:t> </w:t>
      </w:r>
      <w:r>
        <w:rPr>
          <w:i/>
        </w:rPr>
        <w:t>of</w:t>
      </w:r>
      <w:r>
        <w:rPr>
          <w:i/>
          <w:spacing w:val="-12"/>
        </w:rPr>
        <w:t> </w:t>
      </w:r>
      <w:r>
        <w:rPr>
          <w:i/>
        </w:rPr>
        <w:t>Cash</w:t>
      </w:r>
      <w:r>
        <w:rPr>
          <w:i/>
        </w:rPr>
        <w:t> Equity</w:t>
      </w:r>
      <w:r>
        <w:rPr>
          <w:i/>
          <w:spacing w:val="-7"/>
        </w:rPr>
        <w:t> </w:t>
      </w:r>
      <w:r>
        <w:rPr>
          <w:i/>
        </w:rPr>
        <w:t>Clearing</w:t>
      </w:r>
      <w:r>
        <w:rPr>
          <w:i/>
          <w:spacing w:val="-6"/>
        </w:rPr>
        <w:t> </w:t>
      </w:r>
      <w:r>
        <w:rPr>
          <w:i/>
        </w:rPr>
        <w:t>and</w:t>
      </w:r>
      <w:r>
        <w:rPr>
          <w:i/>
          <w:spacing w:val="-6"/>
        </w:rPr>
        <w:t> </w:t>
      </w:r>
      <w:r>
        <w:rPr>
          <w:i/>
        </w:rPr>
        <w:t>Settlement</w:t>
      </w:r>
      <w:r>
        <w:rPr>
          <w:i/>
          <w:spacing w:val="-7"/>
        </w:rPr>
        <w:t> </w:t>
      </w:r>
      <w:r>
        <w:rPr>
          <w:i/>
        </w:rPr>
        <w:t>Services</w:t>
      </w:r>
      <w:r>
        <w:rPr>
          <w:i/>
          <w:spacing w:val="-6"/>
        </w:rPr>
        <w:t> </w:t>
      </w:r>
      <w:r>
        <w:rPr>
          <w:i/>
        </w:rPr>
        <w:t>in</w:t>
      </w:r>
      <w:r>
        <w:rPr>
          <w:i/>
          <w:spacing w:val="-6"/>
        </w:rPr>
        <w:t> </w:t>
      </w:r>
      <w:r>
        <w:rPr>
          <w:i/>
        </w:rPr>
        <w:t>Australia</w:t>
      </w:r>
      <w:r>
        <w:rPr>
          <w:i/>
          <w:spacing w:val="-7"/>
        </w:rPr>
        <w:t> </w:t>
      </w:r>
      <w:r>
        <w:rPr/>
        <w:t>(Regulatory</w:t>
      </w:r>
      <w:r>
        <w:rPr>
          <w:spacing w:val="-5"/>
        </w:rPr>
        <w:t> </w:t>
      </w:r>
      <w:r>
        <w:rPr/>
        <w:t>Expectations)</w:t>
      </w:r>
      <w:r>
        <w:rPr>
          <w:spacing w:val="-5"/>
        </w:rPr>
        <w:t> </w:t>
      </w:r>
      <w:r>
        <w:rPr/>
        <w:t>in</w:t>
      </w:r>
      <w:r>
        <w:rPr>
          <w:spacing w:val="-6"/>
        </w:rPr>
        <w:t> </w:t>
      </w:r>
      <w:r>
        <w:rPr/>
        <w:t>October</w:t>
      </w:r>
      <w:r>
        <w:rPr>
          <w:spacing w:val="-5"/>
        </w:rPr>
        <w:t> </w:t>
      </w:r>
      <w:r>
        <w:rPr/>
        <w:t>2016.</w:t>
      </w:r>
    </w:p>
    <w:p>
      <w:pPr>
        <w:pStyle w:val="BodyText"/>
        <w:spacing w:before="155"/>
        <w:ind w:left="108" w:right="28"/>
      </w:pPr>
      <w:r>
        <w:rPr>
          <w:spacing w:val="-2"/>
        </w:rPr>
        <w:t>In</w:t>
      </w:r>
      <w:r>
        <w:rPr>
          <w:spacing w:val="-9"/>
        </w:rPr>
        <w:t> </w:t>
      </w:r>
      <w:r>
        <w:rPr>
          <w:spacing w:val="-2"/>
        </w:rPr>
        <w:t>the</w:t>
      </w:r>
      <w:r>
        <w:rPr>
          <w:spacing w:val="-8"/>
        </w:rPr>
        <w:t> </w:t>
      </w:r>
      <w:r>
        <w:rPr>
          <w:spacing w:val="-2"/>
        </w:rPr>
        <w:t>first</w:t>
      </w:r>
      <w:r>
        <w:rPr>
          <w:spacing w:val="-7"/>
        </w:rPr>
        <w:t> </w:t>
      </w:r>
      <w:r>
        <w:rPr>
          <w:spacing w:val="-2"/>
        </w:rPr>
        <w:t>half</w:t>
      </w:r>
      <w:r>
        <w:rPr>
          <w:spacing w:val="-6"/>
        </w:rPr>
        <w:t> </w:t>
      </w:r>
      <w:r>
        <w:rPr>
          <w:spacing w:val="-2"/>
        </w:rPr>
        <w:t>of</w:t>
      </w:r>
      <w:r>
        <w:rPr>
          <w:spacing w:val="-8"/>
        </w:rPr>
        <w:t> </w:t>
      </w:r>
      <w:r>
        <w:rPr>
          <w:spacing w:val="-2"/>
        </w:rPr>
        <w:t>2017,</w:t>
      </w:r>
      <w:r>
        <w:rPr>
          <w:spacing w:val="-8"/>
        </w:rPr>
        <w:t> </w:t>
      </w:r>
      <w:r>
        <w:rPr>
          <w:spacing w:val="-2"/>
        </w:rPr>
        <w:t>the</w:t>
      </w:r>
      <w:r>
        <w:rPr>
          <w:spacing w:val="-8"/>
        </w:rPr>
        <w:t> </w:t>
      </w:r>
      <w:r>
        <w:rPr>
          <w:spacing w:val="-2"/>
        </w:rPr>
        <w:t>Agencies</w:t>
      </w:r>
      <w:r>
        <w:rPr>
          <w:spacing w:val="-10"/>
        </w:rPr>
        <w:t> </w:t>
      </w:r>
      <w:r>
        <w:rPr>
          <w:spacing w:val="-2"/>
        </w:rPr>
        <w:t>consulted</w:t>
      </w:r>
      <w:r>
        <w:rPr>
          <w:spacing w:val="-7"/>
        </w:rPr>
        <w:t> </w:t>
      </w:r>
      <w:r>
        <w:rPr>
          <w:spacing w:val="-2"/>
        </w:rPr>
        <w:t>on</w:t>
      </w:r>
      <w:r>
        <w:rPr>
          <w:spacing w:val="-7"/>
        </w:rPr>
        <w:t> </w:t>
      </w:r>
      <w:r>
        <w:rPr>
          <w:spacing w:val="-2"/>
        </w:rPr>
        <w:t>the</w:t>
      </w:r>
      <w:r>
        <w:rPr>
          <w:spacing w:val="-6"/>
        </w:rPr>
        <w:t> </w:t>
      </w:r>
      <w:r>
        <w:rPr>
          <w:spacing w:val="-2"/>
        </w:rPr>
        <w:t>prospect</w:t>
      </w:r>
      <w:r>
        <w:rPr>
          <w:spacing w:val="-7"/>
        </w:rPr>
        <w:t> </w:t>
      </w:r>
      <w:r>
        <w:rPr>
          <w:spacing w:val="-2"/>
        </w:rPr>
        <w:t>of</w:t>
      </w:r>
      <w:r>
        <w:rPr>
          <w:spacing w:val="-8"/>
        </w:rPr>
        <w:t> </w:t>
      </w:r>
      <w:r>
        <w:rPr>
          <w:spacing w:val="-2"/>
        </w:rPr>
        <w:t>competition</w:t>
      </w:r>
      <w:r>
        <w:rPr>
          <w:spacing w:val="-7"/>
        </w:rPr>
        <w:t> </w:t>
      </w:r>
      <w:r>
        <w:rPr>
          <w:spacing w:val="-2"/>
        </w:rPr>
        <w:t>in</w:t>
      </w:r>
      <w:r>
        <w:rPr>
          <w:spacing w:val="-7"/>
        </w:rPr>
        <w:t> </w:t>
      </w:r>
      <w:r>
        <w:rPr>
          <w:spacing w:val="-2"/>
        </w:rPr>
        <w:t>settlement</w:t>
      </w:r>
      <w:r>
        <w:rPr>
          <w:spacing w:val="-7"/>
        </w:rPr>
        <w:t> </w:t>
      </w:r>
      <w:r>
        <w:rPr>
          <w:spacing w:val="-2"/>
        </w:rPr>
        <w:t>of</w:t>
      </w:r>
      <w:r>
        <w:rPr>
          <w:spacing w:val="-6"/>
        </w:rPr>
        <w:t> </w:t>
      </w:r>
      <w:r>
        <w:rPr>
          <w:spacing w:val="-2"/>
        </w:rPr>
        <w:t>cash equities</w:t>
      </w:r>
      <w:r>
        <w:rPr>
          <w:spacing w:val="-7"/>
        </w:rPr>
        <w:t> </w:t>
      </w:r>
      <w:r>
        <w:rPr>
          <w:spacing w:val="-2"/>
        </w:rPr>
        <w:t>in</w:t>
      </w:r>
      <w:r>
        <w:rPr>
          <w:spacing w:val="-10"/>
        </w:rPr>
        <w:t> </w:t>
      </w:r>
      <w:r>
        <w:rPr>
          <w:spacing w:val="-2"/>
        </w:rPr>
        <w:t>Australia.</w:t>
      </w:r>
      <w:r>
        <w:rPr>
          <w:spacing w:val="-7"/>
        </w:rPr>
        <w:t> </w:t>
      </w:r>
      <w:r>
        <w:rPr>
          <w:spacing w:val="-2"/>
        </w:rPr>
        <w:t>The</w:t>
      </w:r>
      <w:r>
        <w:rPr>
          <w:spacing w:val="-8"/>
        </w:rPr>
        <w:t> </w:t>
      </w:r>
      <w:r>
        <w:rPr>
          <w:spacing w:val="-2"/>
        </w:rPr>
        <w:t>stakeholders'</w:t>
      </w:r>
      <w:r>
        <w:rPr>
          <w:spacing w:val="-11"/>
        </w:rPr>
        <w:t> </w:t>
      </w:r>
      <w:r>
        <w:rPr>
          <w:spacing w:val="-2"/>
        </w:rPr>
        <w:t>responses</w:t>
      </w:r>
      <w:r>
        <w:rPr>
          <w:spacing w:val="-11"/>
        </w:rPr>
        <w:t> </w:t>
      </w:r>
      <w:r>
        <w:rPr>
          <w:spacing w:val="-2"/>
        </w:rPr>
        <w:t>are</w:t>
      </w:r>
      <w:r>
        <w:rPr>
          <w:spacing w:val="-6"/>
        </w:rPr>
        <w:t> </w:t>
      </w:r>
      <w:r>
        <w:rPr>
          <w:spacing w:val="-2"/>
        </w:rPr>
        <w:t>set</w:t>
      </w:r>
      <w:r>
        <w:rPr>
          <w:spacing w:val="-7"/>
        </w:rPr>
        <w:t> </w:t>
      </w:r>
      <w:r>
        <w:rPr>
          <w:spacing w:val="-2"/>
        </w:rPr>
        <w:t>out</w:t>
      </w:r>
      <w:r>
        <w:rPr>
          <w:spacing w:val="-11"/>
        </w:rPr>
        <w:t> </w:t>
      </w:r>
      <w:r>
        <w:rPr>
          <w:spacing w:val="-2"/>
        </w:rPr>
        <w:t>in</w:t>
      </w:r>
      <w:r>
        <w:rPr>
          <w:spacing w:val="-7"/>
        </w:rPr>
        <w:t> </w:t>
      </w:r>
      <w:r>
        <w:rPr>
          <w:spacing w:val="-2"/>
        </w:rPr>
        <w:t>the</w:t>
      </w:r>
      <w:r>
        <w:rPr>
          <w:spacing w:val="-8"/>
        </w:rPr>
        <w:t> </w:t>
      </w:r>
      <w:r>
        <w:rPr>
          <w:spacing w:val="-2"/>
        </w:rPr>
        <w:t>Agencies’</w:t>
      </w:r>
      <w:r>
        <w:rPr>
          <w:spacing w:val="-9"/>
        </w:rPr>
        <w:t> </w:t>
      </w:r>
      <w:r>
        <w:rPr>
          <w:spacing w:val="-2"/>
        </w:rPr>
        <w:t>report,</w:t>
      </w:r>
      <w:r>
        <w:rPr>
          <w:spacing w:val="-7"/>
        </w:rPr>
        <w:t> </w:t>
      </w:r>
      <w:r>
        <w:rPr>
          <w:i/>
          <w:spacing w:val="-2"/>
        </w:rPr>
        <w:t>Safe</w:t>
      </w:r>
      <w:r>
        <w:rPr>
          <w:i/>
          <w:spacing w:val="-10"/>
        </w:rPr>
        <w:t> </w:t>
      </w:r>
      <w:r>
        <w:rPr>
          <w:i/>
          <w:spacing w:val="-2"/>
        </w:rPr>
        <w:t>and</w:t>
      </w:r>
      <w:r>
        <w:rPr>
          <w:i/>
          <w:spacing w:val="-10"/>
        </w:rPr>
        <w:t> </w:t>
      </w:r>
      <w:r>
        <w:rPr>
          <w:i/>
          <w:spacing w:val="-2"/>
        </w:rPr>
        <w:t>Effective</w:t>
      </w:r>
      <w:r>
        <w:rPr>
          <w:i/>
          <w:spacing w:val="-2"/>
        </w:rPr>
        <w:t> </w:t>
      </w:r>
      <w:r>
        <w:rPr>
          <w:i/>
          <w:spacing w:val="-4"/>
        </w:rPr>
        <w:t>Competition</w:t>
      </w:r>
      <w:r>
        <w:rPr>
          <w:i/>
          <w:spacing w:val="-6"/>
        </w:rPr>
        <w:t> </w:t>
      </w:r>
      <w:r>
        <w:rPr>
          <w:i/>
          <w:spacing w:val="-4"/>
        </w:rPr>
        <w:t>in</w:t>
      </w:r>
      <w:r>
        <w:rPr>
          <w:i/>
          <w:spacing w:val="-8"/>
        </w:rPr>
        <w:t> </w:t>
      </w:r>
      <w:r>
        <w:rPr>
          <w:i/>
          <w:spacing w:val="-4"/>
        </w:rPr>
        <w:t>Cash</w:t>
      </w:r>
      <w:r>
        <w:rPr>
          <w:i/>
          <w:spacing w:val="-8"/>
        </w:rPr>
        <w:t> </w:t>
      </w:r>
      <w:r>
        <w:rPr>
          <w:i/>
          <w:spacing w:val="-4"/>
        </w:rPr>
        <w:t>Equity</w:t>
      </w:r>
      <w:r>
        <w:rPr>
          <w:i/>
          <w:spacing w:val="-6"/>
        </w:rPr>
        <w:t> </w:t>
      </w:r>
      <w:r>
        <w:rPr>
          <w:i/>
          <w:spacing w:val="-4"/>
        </w:rPr>
        <w:t>Settlement</w:t>
      </w:r>
      <w:r>
        <w:rPr>
          <w:i/>
          <w:spacing w:val="-6"/>
        </w:rPr>
        <w:t> </w:t>
      </w:r>
      <w:r>
        <w:rPr>
          <w:i/>
          <w:spacing w:val="-4"/>
        </w:rPr>
        <w:t>in</w:t>
      </w:r>
      <w:r>
        <w:rPr>
          <w:i/>
          <w:spacing w:val="-8"/>
        </w:rPr>
        <w:t> </w:t>
      </w:r>
      <w:r>
        <w:rPr>
          <w:i/>
          <w:spacing w:val="-4"/>
        </w:rPr>
        <w:t>Australia:</w:t>
      </w:r>
      <w:r>
        <w:rPr>
          <w:i/>
          <w:spacing w:val="-7"/>
        </w:rPr>
        <w:t> </w:t>
      </w:r>
      <w:r>
        <w:rPr>
          <w:i/>
          <w:spacing w:val="-4"/>
        </w:rPr>
        <w:t>Response</w:t>
      </w:r>
      <w:r>
        <w:rPr>
          <w:i/>
          <w:spacing w:val="-8"/>
        </w:rPr>
        <w:t> </w:t>
      </w:r>
      <w:r>
        <w:rPr>
          <w:i/>
          <w:spacing w:val="-4"/>
        </w:rPr>
        <w:t>to</w:t>
      </w:r>
      <w:r>
        <w:rPr>
          <w:i/>
          <w:spacing w:val="-8"/>
        </w:rPr>
        <w:t> </w:t>
      </w:r>
      <w:r>
        <w:rPr>
          <w:i/>
          <w:spacing w:val="-4"/>
        </w:rPr>
        <w:t>Consultation</w:t>
      </w:r>
      <w:r>
        <w:rPr>
          <w:spacing w:val="-4"/>
        </w:rPr>
        <w:t>.</w:t>
      </w:r>
      <w:r>
        <w:rPr>
          <w:spacing w:val="-4"/>
          <w:vertAlign w:val="superscript"/>
        </w:rPr>
        <w:t>2</w:t>
      </w:r>
      <w:r>
        <w:rPr>
          <w:spacing w:val="-4"/>
          <w:vertAlign w:val="baseline"/>
        </w:rPr>
        <w:t> The</w:t>
      </w:r>
      <w:r>
        <w:rPr>
          <w:spacing w:val="-7"/>
          <w:vertAlign w:val="baseline"/>
        </w:rPr>
        <w:t> </w:t>
      </w:r>
      <w:r>
        <w:rPr>
          <w:spacing w:val="-4"/>
          <w:vertAlign w:val="baseline"/>
        </w:rPr>
        <w:t>Agencies</w:t>
      </w:r>
      <w:r>
        <w:rPr>
          <w:spacing w:val="-8"/>
          <w:vertAlign w:val="baseline"/>
        </w:rPr>
        <w:t> </w:t>
      </w:r>
      <w:r>
        <w:rPr>
          <w:spacing w:val="-4"/>
          <w:vertAlign w:val="baseline"/>
        </w:rPr>
        <w:t>subsequently </w:t>
      </w:r>
      <w:r>
        <w:rPr>
          <w:spacing w:val="-2"/>
          <w:vertAlign w:val="baseline"/>
        </w:rPr>
        <w:t>identified</w:t>
      </w:r>
      <w:r>
        <w:rPr>
          <w:spacing w:val="-10"/>
          <w:vertAlign w:val="baseline"/>
        </w:rPr>
        <w:t> </w:t>
      </w:r>
      <w:r>
        <w:rPr>
          <w:spacing w:val="-2"/>
          <w:vertAlign w:val="baseline"/>
        </w:rPr>
        <w:t>some</w:t>
      </w:r>
      <w:r>
        <w:rPr>
          <w:spacing w:val="-10"/>
          <w:vertAlign w:val="baseline"/>
        </w:rPr>
        <w:t> </w:t>
      </w:r>
      <w:r>
        <w:rPr>
          <w:spacing w:val="-2"/>
          <w:vertAlign w:val="baseline"/>
        </w:rPr>
        <w:t>aspects</w:t>
      </w:r>
      <w:r>
        <w:rPr>
          <w:spacing w:val="-11"/>
          <w:vertAlign w:val="baseline"/>
        </w:rPr>
        <w:t> </w:t>
      </w:r>
      <w:r>
        <w:rPr>
          <w:spacing w:val="-2"/>
          <w:vertAlign w:val="baseline"/>
        </w:rPr>
        <w:t>of</w:t>
      </w:r>
      <w:r>
        <w:rPr>
          <w:spacing w:val="-9"/>
          <w:vertAlign w:val="baseline"/>
        </w:rPr>
        <w:t> </w:t>
      </w:r>
      <w:r>
        <w:rPr>
          <w:spacing w:val="-2"/>
          <w:vertAlign w:val="baseline"/>
        </w:rPr>
        <w:t>the</w:t>
      </w:r>
      <w:r>
        <w:rPr>
          <w:spacing w:val="-7"/>
          <w:vertAlign w:val="baseline"/>
        </w:rPr>
        <w:t> </w:t>
      </w:r>
      <w:r>
        <w:rPr>
          <w:spacing w:val="-2"/>
          <w:vertAlign w:val="baseline"/>
        </w:rPr>
        <w:t>Regulatory</w:t>
      </w:r>
      <w:r>
        <w:rPr>
          <w:spacing w:val="-10"/>
          <w:vertAlign w:val="baseline"/>
        </w:rPr>
        <w:t> </w:t>
      </w:r>
      <w:r>
        <w:rPr>
          <w:spacing w:val="-2"/>
          <w:vertAlign w:val="baseline"/>
        </w:rPr>
        <w:t>Expectations</w:t>
      </w:r>
      <w:r>
        <w:rPr>
          <w:spacing w:val="-9"/>
          <w:vertAlign w:val="baseline"/>
        </w:rPr>
        <w:t> </w:t>
      </w:r>
      <w:r>
        <w:rPr>
          <w:spacing w:val="-2"/>
          <w:vertAlign w:val="baseline"/>
        </w:rPr>
        <w:t>that</w:t>
      </w:r>
      <w:r>
        <w:rPr>
          <w:spacing w:val="-7"/>
          <w:vertAlign w:val="baseline"/>
        </w:rPr>
        <w:t> </w:t>
      </w:r>
      <w:r>
        <w:rPr>
          <w:spacing w:val="-2"/>
          <w:vertAlign w:val="baseline"/>
        </w:rPr>
        <w:t>required</w:t>
      </w:r>
      <w:r>
        <w:rPr>
          <w:spacing w:val="-10"/>
          <w:vertAlign w:val="baseline"/>
        </w:rPr>
        <w:t> </w:t>
      </w:r>
      <w:r>
        <w:rPr>
          <w:spacing w:val="-2"/>
          <w:vertAlign w:val="baseline"/>
        </w:rPr>
        <w:t>consequential</w:t>
      </w:r>
      <w:r>
        <w:rPr>
          <w:spacing w:val="-10"/>
          <w:vertAlign w:val="baseline"/>
        </w:rPr>
        <w:t> </w:t>
      </w:r>
      <w:r>
        <w:rPr>
          <w:spacing w:val="-2"/>
          <w:vertAlign w:val="baseline"/>
        </w:rPr>
        <w:t>amendments,</w:t>
      </w:r>
      <w:r>
        <w:rPr>
          <w:spacing w:val="-10"/>
          <w:vertAlign w:val="baseline"/>
        </w:rPr>
        <w:t> </w:t>
      </w:r>
      <w:r>
        <w:rPr>
          <w:spacing w:val="-2"/>
          <w:vertAlign w:val="baseline"/>
        </w:rPr>
        <w:t>and have</w:t>
      </w:r>
      <w:r>
        <w:rPr>
          <w:spacing w:val="-6"/>
          <w:vertAlign w:val="baseline"/>
        </w:rPr>
        <w:t> </w:t>
      </w:r>
      <w:r>
        <w:rPr>
          <w:spacing w:val="-2"/>
          <w:vertAlign w:val="baseline"/>
        </w:rPr>
        <w:t>therefore</w:t>
      </w:r>
      <w:r>
        <w:rPr>
          <w:spacing w:val="-3"/>
          <w:vertAlign w:val="baseline"/>
        </w:rPr>
        <w:t> </w:t>
      </w:r>
      <w:r>
        <w:rPr>
          <w:spacing w:val="-2"/>
          <w:vertAlign w:val="baseline"/>
        </w:rPr>
        <w:t>issued</w:t>
      </w:r>
      <w:r>
        <w:rPr>
          <w:spacing w:val="-5"/>
          <w:vertAlign w:val="baseline"/>
        </w:rPr>
        <w:t> </w:t>
      </w:r>
      <w:r>
        <w:rPr>
          <w:spacing w:val="-2"/>
          <w:vertAlign w:val="baseline"/>
        </w:rPr>
        <w:t>these</w:t>
      </w:r>
      <w:r>
        <w:rPr>
          <w:spacing w:val="-6"/>
          <w:vertAlign w:val="baseline"/>
        </w:rPr>
        <w:t> </w:t>
      </w:r>
      <w:r>
        <w:rPr>
          <w:spacing w:val="-2"/>
          <w:vertAlign w:val="baseline"/>
        </w:rPr>
        <w:t>revised</w:t>
      </w:r>
      <w:r>
        <w:rPr>
          <w:spacing w:val="-7"/>
          <w:vertAlign w:val="baseline"/>
        </w:rPr>
        <w:t> </w:t>
      </w:r>
      <w:r>
        <w:rPr>
          <w:spacing w:val="-2"/>
          <w:vertAlign w:val="baseline"/>
        </w:rPr>
        <w:t>Regulatory</w:t>
      </w:r>
      <w:r>
        <w:rPr>
          <w:spacing w:val="-6"/>
          <w:vertAlign w:val="baseline"/>
        </w:rPr>
        <w:t> </w:t>
      </w:r>
      <w:r>
        <w:rPr>
          <w:spacing w:val="-2"/>
          <w:vertAlign w:val="baseline"/>
        </w:rPr>
        <w:t>Expectations</w:t>
      </w:r>
      <w:r>
        <w:rPr>
          <w:spacing w:val="-8"/>
          <w:vertAlign w:val="baseline"/>
        </w:rPr>
        <w:t> </w:t>
      </w:r>
      <w:r>
        <w:rPr>
          <w:spacing w:val="-2"/>
          <w:vertAlign w:val="baseline"/>
        </w:rPr>
        <w:t>in</w:t>
      </w:r>
      <w:r>
        <w:rPr>
          <w:spacing w:val="-7"/>
          <w:vertAlign w:val="baseline"/>
        </w:rPr>
        <w:t> </w:t>
      </w:r>
      <w:r>
        <w:rPr>
          <w:spacing w:val="-2"/>
          <w:vertAlign w:val="baseline"/>
        </w:rPr>
        <w:t>September</w:t>
      </w:r>
      <w:r>
        <w:rPr>
          <w:spacing w:val="-3"/>
          <w:vertAlign w:val="baseline"/>
        </w:rPr>
        <w:t> </w:t>
      </w:r>
      <w:r>
        <w:rPr>
          <w:spacing w:val="-2"/>
          <w:vertAlign w:val="baseline"/>
        </w:rPr>
        <w:t>2017.</w:t>
      </w:r>
    </w:p>
    <w:p>
      <w:pPr>
        <w:pStyle w:val="BodyText"/>
        <w:spacing w:before="8"/>
        <w:rPr>
          <w:sz w:val="17"/>
        </w:rPr>
      </w:pPr>
    </w:p>
    <w:p>
      <w:pPr>
        <w:pStyle w:val="BodyText"/>
        <w:spacing w:line="252" w:lineRule="auto"/>
        <w:ind w:left="108" w:right="100"/>
        <w:jc w:val="both"/>
      </w:pPr>
      <w:r>
        <w:rPr/>
        <w:t>The Regulatory Expectations apply to ASX’s engagement with, and provision of services to, users of its monopoly cash equity CS services for both ASX-listed and non-ASX-listed securities. Users are broadly defined</w:t>
      </w:r>
      <w:r>
        <w:rPr>
          <w:spacing w:val="-8"/>
        </w:rPr>
        <w:t> </w:t>
      </w:r>
      <w:r>
        <w:rPr/>
        <w:t>to</w:t>
      </w:r>
      <w:r>
        <w:rPr>
          <w:spacing w:val="-7"/>
        </w:rPr>
        <w:t> </w:t>
      </w:r>
      <w:r>
        <w:rPr/>
        <w:t>include</w:t>
      </w:r>
      <w:r>
        <w:rPr>
          <w:spacing w:val="-7"/>
        </w:rPr>
        <w:t> </w:t>
      </w:r>
      <w:r>
        <w:rPr/>
        <w:t>participants</w:t>
      </w:r>
      <w:r>
        <w:rPr>
          <w:spacing w:val="-7"/>
        </w:rPr>
        <w:t> </w:t>
      </w:r>
      <w:r>
        <w:rPr/>
        <w:t>of</w:t>
      </w:r>
      <w:r>
        <w:rPr>
          <w:spacing w:val="-7"/>
        </w:rPr>
        <w:t> </w:t>
      </w:r>
      <w:r>
        <w:rPr/>
        <w:t>the</w:t>
      </w:r>
      <w:r>
        <w:rPr>
          <w:spacing w:val="-7"/>
        </w:rPr>
        <w:t> </w:t>
      </w:r>
      <w:r>
        <w:rPr/>
        <w:t>ASX</w:t>
      </w:r>
      <w:r>
        <w:rPr>
          <w:spacing w:val="-7"/>
        </w:rPr>
        <w:t> </w:t>
      </w:r>
      <w:r>
        <w:rPr/>
        <w:t>CS</w:t>
      </w:r>
      <w:r>
        <w:rPr>
          <w:spacing w:val="-8"/>
        </w:rPr>
        <w:t> </w:t>
      </w:r>
      <w:r>
        <w:rPr/>
        <w:t>facilities;</w:t>
      </w:r>
      <w:r>
        <w:rPr>
          <w:spacing w:val="-7"/>
        </w:rPr>
        <w:t> </w:t>
      </w:r>
      <w:r>
        <w:rPr/>
        <w:t>end</w:t>
      </w:r>
      <w:r>
        <w:rPr>
          <w:spacing w:val="-8"/>
        </w:rPr>
        <w:t> </w:t>
      </w:r>
      <w:r>
        <w:rPr/>
        <w:t>users;</w:t>
      </w:r>
      <w:r>
        <w:rPr>
          <w:spacing w:val="-7"/>
        </w:rPr>
        <w:t> </w:t>
      </w:r>
      <w:r>
        <w:rPr/>
        <w:t>unaffiliated</w:t>
      </w:r>
      <w:r>
        <w:rPr>
          <w:spacing w:val="-8"/>
        </w:rPr>
        <w:t> </w:t>
      </w:r>
      <w:r>
        <w:rPr/>
        <w:t>market</w:t>
      </w:r>
      <w:r>
        <w:rPr>
          <w:spacing w:val="-5"/>
        </w:rPr>
        <w:t> </w:t>
      </w:r>
      <w:r>
        <w:rPr/>
        <w:t>operators,</w:t>
      </w:r>
      <w:r>
        <w:rPr>
          <w:spacing w:val="-7"/>
        </w:rPr>
        <w:t> </w:t>
      </w:r>
      <w:r>
        <w:rPr/>
        <w:t>central counterparties</w:t>
      </w:r>
      <w:r>
        <w:rPr>
          <w:spacing w:val="-11"/>
        </w:rPr>
        <w:t> </w:t>
      </w:r>
      <w:r>
        <w:rPr/>
        <w:t>and</w:t>
      </w:r>
      <w:r>
        <w:rPr>
          <w:spacing w:val="-10"/>
        </w:rPr>
        <w:t> </w:t>
      </w:r>
      <w:r>
        <w:rPr/>
        <w:t>settlement</w:t>
      </w:r>
      <w:r>
        <w:rPr>
          <w:spacing w:val="-11"/>
        </w:rPr>
        <w:t> </w:t>
      </w:r>
      <w:r>
        <w:rPr/>
        <w:t>facilities;</w:t>
      </w:r>
      <w:r>
        <w:rPr>
          <w:spacing w:val="-9"/>
        </w:rPr>
        <w:t> </w:t>
      </w:r>
      <w:r>
        <w:rPr/>
        <w:t>technology</w:t>
      </w:r>
      <w:r>
        <w:rPr>
          <w:spacing w:val="-9"/>
        </w:rPr>
        <w:t> </w:t>
      </w:r>
      <w:r>
        <w:rPr/>
        <w:t>service</w:t>
      </w:r>
      <w:r>
        <w:rPr>
          <w:spacing w:val="-9"/>
        </w:rPr>
        <w:t> </w:t>
      </w:r>
      <w:r>
        <w:rPr/>
        <w:t>providers;</w:t>
      </w:r>
      <w:r>
        <w:rPr>
          <w:spacing w:val="-9"/>
        </w:rPr>
        <w:t> </w:t>
      </w:r>
      <w:r>
        <w:rPr/>
        <w:t>and</w:t>
      </w:r>
      <w:r>
        <w:rPr>
          <w:spacing w:val="-10"/>
        </w:rPr>
        <w:t> </w:t>
      </w:r>
      <w:r>
        <w:rPr/>
        <w:t>other</w:t>
      </w:r>
      <w:r>
        <w:rPr>
          <w:spacing w:val="-9"/>
        </w:rPr>
        <w:t> </w:t>
      </w:r>
      <w:r>
        <w:rPr/>
        <w:t>relevant</w:t>
      </w:r>
      <w:r>
        <w:rPr>
          <w:spacing w:val="-11"/>
        </w:rPr>
        <w:t> </w:t>
      </w:r>
      <w:r>
        <w:rPr/>
        <w:t>stakeholders.</w:t>
      </w:r>
    </w:p>
    <w:p>
      <w:pPr>
        <w:pStyle w:val="BodyText"/>
        <w:spacing w:line="252" w:lineRule="auto" w:before="162"/>
        <w:ind w:left="108" w:right="100"/>
        <w:jc w:val="both"/>
      </w:pPr>
      <w:r>
        <w:rPr/>
        <w:t>ASX is expected to act in accordance with these revised Regulatory Expectations. The Agencies acknowledge that the Regulatory Expectations are not legally enforceable under the existing</w:t>
      </w:r>
      <w:r>
        <w:rPr>
          <w:spacing w:val="40"/>
        </w:rPr>
        <w:t> </w:t>
      </w:r>
      <w:r>
        <w:rPr/>
        <w:t>legislative framework. Accordingly, the Conclusions recommended that legislative changes be implemented to grant the relevant regulators rule-making powers that would enable them to impose enforceable requirements on ASX consistent with the Regulatory Expectations if these expectations were either not being met or were not delivering the intended outcomes. These powers would be</w:t>
      </w:r>
      <w:r>
        <w:rPr>
          <w:spacing w:val="40"/>
        </w:rPr>
        <w:t> </w:t>
      </w:r>
      <w:r>
        <w:rPr/>
        <w:t>held in reserve and would be expected to be used only in the event of a material deviation from the Regulatory Expectations or where ASX’s conduct was generating undesirable outcomes for the</w:t>
      </w:r>
      <w:r>
        <w:rPr>
          <w:spacing w:val="40"/>
        </w:rPr>
        <w:t> </w:t>
      </w:r>
      <w:r>
        <w:rPr/>
        <w:t>market. In addition, the Conclusions recommended that the ACCC be granted an arbitration power that would provide for binding resolution of material disputes, arising where a user was seeking</w:t>
      </w:r>
      <w:r>
        <w:rPr>
          <w:spacing w:val="40"/>
        </w:rPr>
        <w:t> </w:t>
      </w:r>
      <w:r>
        <w:rPr/>
        <w:t>access to any aspect of ASX’s monopoly cash equity CS services, consistent with the Regulatory Expectations. The ACCC may therefore have regard to the Regulatory Expectations when making a binding determination under the proposed arbitration power. The Government has committed to pursue legislative changes in accordance with these recommendations.</w:t>
      </w:r>
    </w:p>
    <w:p>
      <w:pPr>
        <w:pStyle w:val="BodyText"/>
        <w:spacing w:line="252" w:lineRule="auto" w:before="173"/>
        <w:ind w:left="108" w:right="102"/>
        <w:jc w:val="both"/>
      </w:pPr>
      <w:r>
        <w:rPr/>
        <w:t>Should a committed competitor emerge for any aspect of ASX’s cash equity CS services, the Agencies will</w:t>
      </w:r>
      <w:r>
        <w:rPr>
          <w:spacing w:val="40"/>
        </w:rPr>
        <w:t> </w:t>
      </w:r>
      <w:r>
        <w:rPr/>
        <w:t>review</w:t>
      </w:r>
      <w:r>
        <w:rPr>
          <w:spacing w:val="40"/>
        </w:rPr>
        <w:t> </w:t>
      </w:r>
      <w:r>
        <w:rPr/>
        <w:t>and</w:t>
      </w:r>
      <w:r>
        <w:rPr>
          <w:spacing w:val="40"/>
        </w:rPr>
        <w:t> </w:t>
      </w:r>
      <w:r>
        <w:rPr/>
        <w:t>make</w:t>
      </w:r>
      <w:r>
        <w:rPr>
          <w:spacing w:val="40"/>
        </w:rPr>
        <w:t> </w:t>
      </w:r>
      <w:r>
        <w:rPr/>
        <w:t>any</w:t>
      </w:r>
      <w:r>
        <w:rPr>
          <w:spacing w:val="40"/>
        </w:rPr>
        <w:t> </w:t>
      </w:r>
      <w:r>
        <w:rPr/>
        <w:t>necessary</w:t>
      </w:r>
      <w:r>
        <w:rPr>
          <w:spacing w:val="40"/>
        </w:rPr>
        <w:t> </w:t>
      </w:r>
      <w:r>
        <w:rPr/>
        <w:t>changes</w:t>
      </w:r>
      <w:r>
        <w:rPr>
          <w:spacing w:val="40"/>
        </w:rPr>
        <w:t> </w:t>
      </w:r>
      <w:r>
        <w:rPr/>
        <w:t>to</w:t>
      </w:r>
      <w:r>
        <w:rPr>
          <w:spacing w:val="40"/>
        </w:rPr>
        <w:t> </w:t>
      </w:r>
      <w:r>
        <w:rPr/>
        <w:t>the</w:t>
      </w:r>
      <w:r>
        <w:rPr>
          <w:spacing w:val="40"/>
        </w:rPr>
        <w:t> </w:t>
      </w:r>
      <w:r>
        <w:rPr/>
        <w:t>scope</w:t>
      </w:r>
      <w:r>
        <w:rPr>
          <w:spacing w:val="40"/>
        </w:rPr>
        <w:t> </w:t>
      </w:r>
      <w:r>
        <w:rPr/>
        <w:t>of</w:t>
      </w:r>
      <w:r>
        <w:rPr>
          <w:spacing w:val="40"/>
        </w:rPr>
        <w:t> </w:t>
      </w:r>
      <w:r>
        <w:rPr/>
        <w:t>the</w:t>
      </w:r>
      <w:r>
        <w:rPr>
          <w:spacing w:val="40"/>
        </w:rPr>
        <w:t> </w:t>
      </w:r>
      <w:r>
        <w:rPr/>
        <w:t>Regulatory</w:t>
      </w:r>
      <w:r>
        <w:rPr>
          <w:spacing w:val="40"/>
        </w:rPr>
        <w:t> </w:t>
      </w:r>
      <w:r>
        <w:rPr/>
        <w:t>Expectations.</w:t>
      </w:r>
      <w:r>
        <w:rPr>
          <w:spacing w:val="40"/>
        </w:rPr>
        <w:t> </w:t>
      </w:r>
      <w:r>
        <w:rPr/>
        <w:t>The</w:t>
      </w:r>
    </w:p>
    <w:p>
      <w:pPr>
        <w:pStyle w:val="BodyText"/>
      </w:pPr>
      <w:r>
        <w:rPr/>
        <w:pict>
          <v:rect style="position:absolute;margin-left:79.440002pt;margin-top:14.039207pt;width:436.559pt;height:.72pt;mso-position-horizontal-relative:page;mso-position-vertical-relative:paragraph;z-index:-15727616;mso-wrap-distance-left:0;mso-wrap-distance-right:0" id="docshape4" filled="true" fillcolor="#818181" stroked="false">
            <v:fill type="solid"/>
            <w10:wrap type="topAndBottom"/>
          </v:rect>
        </w:pict>
      </w:r>
    </w:p>
    <w:p>
      <w:pPr>
        <w:pStyle w:val="ListParagraph"/>
        <w:numPr>
          <w:ilvl w:val="0"/>
          <w:numId w:val="1"/>
        </w:numPr>
        <w:tabs>
          <w:tab w:pos="392" w:val="left" w:leader="none"/>
          <w:tab w:pos="864" w:val="left" w:leader="none"/>
          <w:tab w:pos="1935" w:val="left" w:leader="none"/>
          <w:tab w:pos="2412" w:val="left" w:leader="none"/>
          <w:tab w:pos="2859" w:val="left" w:leader="none"/>
          <w:tab w:pos="4100" w:val="left" w:leader="none"/>
          <w:tab w:pos="4969" w:val="left" w:leader="none"/>
          <w:tab w:pos="5410" w:val="left" w:leader="none"/>
          <w:tab w:pos="6260" w:val="left" w:leader="none"/>
          <w:tab w:pos="6608" w:val="left" w:leader="none"/>
        </w:tabs>
        <w:spacing w:line="240" w:lineRule="auto" w:before="102" w:after="0"/>
        <w:ind w:left="391" w:right="107" w:hanging="284"/>
        <w:jc w:val="left"/>
        <w:rPr>
          <w:sz w:val="18"/>
        </w:rPr>
      </w:pPr>
      <w:r>
        <w:rPr>
          <w:spacing w:val="-4"/>
          <w:sz w:val="18"/>
        </w:rPr>
        <w:t>The</w:t>
      </w:r>
      <w:r>
        <w:rPr>
          <w:sz w:val="18"/>
        </w:rPr>
        <w:tab/>
      </w:r>
      <w:r>
        <w:rPr>
          <w:spacing w:val="-2"/>
          <w:sz w:val="18"/>
        </w:rPr>
        <w:t>Conclusions</w:t>
      </w:r>
      <w:r>
        <w:rPr>
          <w:sz w:val="18"/>
        </w:rPr>
        <w:tab/>
      </w:r>
      <w:r>
        <w:rPr>
          <w:spacing w:val="-4"/>
          <w:sz w:val="18"/>
        </w:rPr>
        <w:t>and</w:t>
      </w:r>
      <w:r>
        <w:rPr>
          <w:sz w:val="18"/>
        </w:rPr>
        <w:tab/>
      </w:r>
      <w:r>
        <w:rPr>
          <w:spacing w:val="-4"/>
          <w:sz w:val="18"/>
        </w:rPr>
        <w:t>the</w:t>
      </w:r>
      <w:r>
        <w:rPr>
          <w:sz w:val="18"/>
        </w:rPr>
        <w:tab/>
      </w:r>
      <w:r>
        <w:rPr>
          <w:spacing w:val="-2"/>
          <w:sz w:val="18"/>
        </w:rPr>
        <w:t>Government’s</w:t>
      </w:r>
      <w:r>
        <w:rPr>
          <w:sz w:val="18"/>
        </w:rPr>
        <w:tab/>
      </w:r>
      <w:r>
        <w:rPr>
          <w:spacing w:val="-2"/>
          <w:sz w:val="18"/>
        </w:rPr>
        <w:t>response</w:t>
      </w:r>
      <w:r>
        <w:rPr>
          <w:sz w:val="18"/>
        </w:rPr>
        <w:tab/>
      </w:r>
      <w:r>
        <w:rPr>
          <w:spacing w:val="-4"/>
          <w:sz w:val="18"/>
        </w:rPr>
        <w:t>are</w:t>
      </w:r>
      <w:r>
        <w:rPr>
          <w:sz w:val="18"/>
        </w:rPr>
        <w:tab/>
      </w:r>
      <w:r>
        <w:rPr>
          <w:spacing w:val="-2"/>
          <w:sz w:val="18"/>
        </w:rPr>
        <w:t>available</w:t>
      </w:r>
      <w:r>
        <w:rPr>
          <w:sz w:val="18"/>
        </w:rPr>
        <w:tab/>
      </w:r>
      <w:r>
        <w:rPr>
          <w:spacing w:val="-6"/>
          <w:sz w:val="18"/>
        </w:rPr>
        <w:t>at</w:t>
      </w:r>
      <w:r>
        <w:rPr>
          <w:sz w:val="18"/>
        </w:rPr>
        <w:tab/>
      </w:r>
      <w:r>
        <w:rPr>
          <w:spacing w:val="-2"/>
          <w:sz w:val="18"/>
        </w:rPr>
        <w:t>&lt;</w:t>
      </w:r>
      <w:hyperlink r:id="rId8">
        <w:r>
          <w:rPr>
            <w:spacing w:val="-2"/>
            <w:sz w:val="18"/>
          </w:rPr>
          <w:t>http://www.treasury.gov.au/</w:t>
        </w:r>
      </w:hyperlink>
      <w:r>
        <w:rPr>
          <w:sz w:val="18"/>
        </w:rPr>
        <w:t> </w:t>
      </w:r>
      <w:r>
        <w:rPr>
          <w:spacing w:val="-2"/>
          <w:sz w:val="18"/>
        </w:rPr>
        <w:t>ConsultationsandReviews/Consultations/2015/Review-of-competition-in-clearing-Australian-cash-equities&gt;.</w:t>
      </w:r>
    </w:p>
    <w:p>
      <w:pPr>
        <w:pStyle w:val="ListParagraph"/>
        <w:numPr>
          <w:ilvl w:val="0"/>
          <w:numId w:val="1"/>
        </w:numPr>
        <w:tabs>
          <w:tab w:pos="393" w:val="left" w:leader="none"/>
        </w:tabs>
        <w:spacing w:line="240" w:lineRule="auto" w:before="0" w:after="0"/>
        <w:ind w:left="392" w:right="106" w:hanging="284"/>
        <w:jc w:val="left"/>
        <w:rPr>
          <w:sz w:val="18"/>
        </w:rPr>
      </w:pPr>
      <w:r>
        <w:rPr>
          <w:sz w:val="18"/>
        </w:rPr>
        <w:t>The</w:t>
      </w:r>
      <w:r>
        <w:rPr>
          <w:spacing w:val="40"/>
          <w:sz w:val="18"/>
        </w:rPr>
        <w:t> </w:t>
      </w:r>
      <w:r>
        <w:rPr>
          <w:sz w:val="18"/>
        </w:rPr>
        <w:t>Response</w:t>
      </w:r>
      <w:r>
        <w:rPr>
          <w:spacing w:val="40"/>
          <w:sz w:val="18"/>
        </w:rPr>
        <w:t> </w:t>
      </w:r>
      <w:r>
        <w:rPr>
          <w:sz w:val="18"/>
        </w:rPr>
        <w:t>to</w:t>
      </w:r>
      <w:r>
        <w:rPr>
          <w:spacing w:val="40"/>
          <w:sz w:val="18"/>
        </w:rPr>
        <w:t> </w:t>
      </w:r>
      <w:r>
        <w:rPr>
          <w:sz w:val="18"/>
        </w:rPr>
        <w:t>Consultation</w:t>
      </w:r>
      <w:r>
        <w:rPr>
          <w:spacing w:val="40"/>
          <w:sz w:val="18"/>
        </w:rPr>
        <w:t> </w:t>
      </w:r>
      <w:r>
        <w:rPr>
          <w:sz w:val="18"/>
        </w:rPr>
        <w:t>is</w:t>
      </w:r>
      <w:r>
        <w:rPr>
          <w:spacing w:val="40"/>
          <w:sz w:val="18"/>
        </w:rPr>
        <w:t> </w:t>
      </w:r>
      <w:r>
        <w:rPr>
          <w:sz w:val="18"/>
        </w:rPr>
        <w:t>available</w:t>
      </w:r>
      <w:r>
        <w:rPr>
          <w:spacing w:val="40"/>
          <w:sz w:val="18"/>
        </w:rPr>
        <w:t> </w:t>
      </w:r>
      <w:r>
        <w:rPr>
          <w:sz w:val="18"/>
        </w:rPr>
        <w:t>at</w:t>
      </w:r>
      <w:r>
        <w:rPr>
          <w:spacing w:val="40"/>
          <w:sz w:val="18"/>
        </w:rPr>
        <w:t> </w:t>
      </w:r>
      <w:r>
        <w:rPr>
          <w:sz w:val="18"/>
        </w:rPr>
        <w:t>&lt;https://</w:t>
      </w:r>
      <w:hyperlink r:id="rId9">
        <w:r>
          <w:rPr>
            <w:sz w:val="18"/>
          </w:rPr>
          <w:t>www.cfr.gov.au/publications/cfr-publications/2017/safe-</w:t>
        </w:r>
      </w:hyperlink>
      <w:r>
        <w:rPr>
          <w:sz w:val="18"/>
        </w:rPr>
        <w:t> </w:t>
      </w:r>
      <w:r>
        <w:rPr>
          <w:spacing w:val="-2"/>
          <w:sz w:val="18"/>
        </w:rPr>
        <w:t>effective-competition-response/pdf/response-to-consultation.pdf&gt;.</w:t>
      </w:r>
    </w:p>
    <w:p>
      <w:pPr>
        <w:spacing w:after="0" w:line="240" w:lineRule="auto"/>
        <w:jc w:val="left"/>
        <w:rPr>
          <w:sz w:val="18"/>
        </w:rPr>
        <w:sectPr>
          <w:footerReference w:type="default" r:id="rId6"/>
          <w:footerReference w:type="even" r:id="rId7"/>
          <w:pgSz w:w="11910" w:h="16840"/>
          <w:pgMar w:footer="843" w:header="0" w:top="1580" w:bottom="1040" w:left="1480" w:right="1480"/>
          <w:pgNumType w:start="3"/>
        </w:sectPr>
      </w:pPr>
    </w:p>
    <w:p>
      <w:pPr>
        <w:pStyle w:val="BodyText"/>
        <w:spacing w:line="252" w:lineRule="auto" w:before="114"/>
        <w:ind w:left="108" w:right="102"/>
        <w:jc w:val="both"/>
      </w:pPr>
      <w:r>
        <w:rPr/>
        <w:t>Agencies also expect to review the Regulatory Expectations periodically, including in the event of material changes to the operating environment for these services. Such reviews may assess the ongoing appropriateness of the Regulatory Expectations and their effectiveness in delivering the intended outcomes, with consideration given to stakeholder feedback.</w:t>
      </w:r>
    </w:p>
    <w:p>
      <w:pPr>
        <w:pStyle w:val="BodyText"/>
        <w:spacing w:before="148"/>
        <w:ind w:left="109" w:right="162"/>
        <w:jc w:val="both"/>
      </w:pPr>
      <w:r>
        <w:rPr/>
        <w:t>The</w:t>
      </w:r>
      <w:r>
        <w:rPr>
          <w:spacing w:val="-2"/>
        </w:rPr>
        <w:t> </w:t>
      </w:r>
      <w:r>
        <w:rPr/>
        <w:t>Agencies</w:t>
      </w:r>
      <w:r>
        <w:rPr>
          <w:spacing w:val="-5"/>
        </w:rPr>
        <w:t> </w:t>
      </w:r>
      <w:r>
        <w:rPr/>
        <w:t>will</w:t>
      </w:r>
      <w:r>
        <w:rPr>
          <w:spacing w:val="-2"/>
        </w:rPr>
        <w:t> </w:t>
      </w:r>
      <w:r>
        <w:rPr/>
        <w:t>also</w:t>
      </w:r>
      <w:r>
        <w:rPr>
          <w:spacing w:val="-3"/>
        </w:rPr>
        <w:t> </w:t>
      </w:r>
      <w:r>
        <w:rPr/>
        <w:t>establish</w:t>
      </w:r>
      <w:r>
        <w:rPr>
          <w:spacing w:val="-3"/>
        </w:rPr>
        <w:t> </w:t>
      </w:r>
      <w:r>
        <w:rPr/>
        <w:t>structured</w:t>
      </w:r>
      <w:r>
        <w:rPr>
          <w:spacing w:val="-3"/>
        </w:rPr>
        <w:t> </w:t>
      </w:r>
      <w:r>
        <w:rPr/>
        <w:t>arrangements</w:t>
      </w:r>
      <w:r>
        <w:rPr>
          <w:spacing w:val="-3"/>
        </w:rPr>
        <w:t> </w:t>
      </w:r>
      <w:r>
        <w:rPr/>
        <w:t>for</w:t>
      </w:r>
      <w:r>
        <w:rPr>
          <w:spacing w:val="-4"/>
        </w:rPr>
        <w:t> </w:t>
      </w:r>
      <w:r>
        <w:rPr/>
        <w:t>engaging</w:t>
      </w:r>
      <w:r>
        <w:rPr>
          <w:spacing w:val="-3"/>
        </w:rPr>
        <w:t> </w:t>
      </w:r>
      <w:r>
        <w:rPr/>
        <w:t>with</w:t>
      </w:r>
      <w:r>
        <w:rPr>
          <w:spacing w:val="-3"/>
        </w:rPr>
        <w:t> </w:t>
      </w:r>
      <w:r>
        <w:rPr/>
        <w:t>stakeholders</w:t>
      </w:r>
      <w:r>
        <w:rPr>
          <w:spacing w:val="-3"/>
        </w:rPr>
        <w:t> </w:t>
      </w:r>
      <w:r>
        <w:rPr/>
        <w:t>in</w:t>
      </w:r>
      <w:r>
        <w:rPr>
          <w:spacing w:val="-5"/>
        </w:rPr>
        <w:t> </w:t>
      </w:r>
      <w:r>
        <w:rPr/>
        <w:t>relation</w:t>
      </w:r>
      <w:r>
        <w:rPr>
          <w:spacing w:val="-3"/>
        </w:rPr>
        <w:t> </w:t>
      </w:r>
      <w:r>
        <w:rPr/>
        <w:t>to ASX’s adherence to the Regulatory Expectations.</w:t>
      </w:r>
    </w:p>
    <w:p>
      <w:pPr>
        <w:pStyle w:val="Heading1"/>
        <w:spacing w:before="124"/>
        <w:jc w:val="both"/>
      </w:pPr>
      <w:bookmarkStart w:name="Regulatory Expectations" w:id="3"/>
      <w:bookmarkEnd w:id="3"/>
      <w:r>
        <w:rPr/>
      </w:r>
      <w:r>
        <w:rPr>
          <w:color w:val="007698"/>
        </w:rPr>
        <w:t>Regulatory</w:t>
      </w:r>
      <w:r>
        <w:rPr>
          <w:color w:val="007698"/>
          <w:spacing w:val="-18"/>
        </w:rPr>
        <w:t> </w:t>
      </w:r>
      <w:r>
        <w:rPr>
          <w:color w:val="007698"/>
          <w:spacing w:val="-2"/>
        </w:rPr>
        <w:t>Expectations</w:t>
      </w:r>
    </w:p>
    <w:p>
      <w:pPr>
        <w:pStyle w:val="BodyText"/>
        <w:spacing w:line="252" w:lineRule="auto" w:before="172"/>
        <w:ind w:left="108" w:right="100"/>
        <w:jc w:val="both"/>
      </w:pPr>
      <w:r>
        <w:rPr/>
        <w:t>The</w:t>
      </w:r>
      <w:r>
        <w:rPr>
          <w:spacing w:val="-8"/>
        </w:rPr>
        <w:t> </w:t>
      </w:r>
      <w:r>
        <w:rPr/>
        <w:t>Regulatory</w:t>
      </w:r>
      <w:r>
        <w:rPr>
          <w:spacing w:val="-8"/>
        </w:rPr>
        <w:t> </w:t>
      </w:r>
      <w:r>
        <w:rPr/>
        <w:t>Expectations</w:t>
      </w:r>
      <w:r>
        <w:rPr>
          <w:spacing w:val="-9"/>
        </w:rPr>
        <w:t> </w:t>
      </w:r>
      <w:r>
        <w:rPr/>
        <w:t>for</w:t>
      </w:r>
      <w:r>
        <w:rPr>
          <w:spacing w:val="-5"/>
        </w:rPr>
        <w:t> </w:t>
      </w:r>
      <w:r>
        <w:rPr/>
        <w:t>the</w:t>
      </w:r>
      <w:r>
        <w:rPr>
          <w:spacing w:val="-6"/>
        </w:rPr>
        <w:t> </w:t>
      </w:r>
      <w:r>
        <w:rPr/>
        <w:t>conduct</w:t>
      </w:r>
      <w:r>
        <w:rPr>
          <w:spacing w:val="-7"/>
        </w:rPr>
        <w:t> </w:t>
      </w:r>
      <w:r>
        <w:rPr/>
        <w:t>of</w:t>
      </w:r>
      <w:r>
        <w:rPr>
          <w:spacing w:val="-8"/>
        </w:rPr>
        <w:t> </w:t>
      </w:r>
      <w:r>
        <w:rPr/>
        <w:t>ASX’s</w:t>
      </w:r>
      <w:r>
        <w:rPr>
          <w:spacing w:val="-7"/>
        </w:rPr>
        <w:t> </w:t>
      </w:r>
      <w:r>
        <w:rPr/>
        <w:t>monopoly</w:t>
      </w:r>
      <w:r>
        <w:rPr>
          <w:spacing w:val="-6"/>
        </w:rPr>
        <w:t> </w:t>
      </w:r>
      <w:r>
        <w:rPr/>
        <w:t>cash</w:t>
      </w:r>
      <w:r>
        <w:rPr>
          <w:spacing w:val="-9"/>
        </w:rPr>
        <w:t> </w:t>
      </w:r>
      <w:r>
        <w:rPr/>
        <w:t>equity</w:t>
      </w:r>
      <w:r>
        <w:rPr>
          <w:spacing w:val="-6"/>
        </w:rPr>
        <w:t> </w:t>
      </w:r>
      <w:r>
        <w:rPr/>
        <w:t>CS</w:t>
      </w:r>
      <w:r>
        <w:rPr>
          <w:spacing w:val="-7"/>
        </w:rPr>
        <w:t> </w:t>
      </w:r>
      <w:r>
        <w:rPr/>
        <w:t>services</w:t>
      </w:r>
      <w:r>
        <w:rPr>
          <w:spacing w:val="-7"/>
        </w:rPr>
        <w:t> </w:t>
      </w:r>
      <w:r>
        <w:rPr/>
        <w:t>are</w:t>
      </w:r>
      <w:r>
        <w:rPr>
          <w:spacing w:val="-6"/>
        </w:rPr>
        <w:t> </w:t>
      </w:r>
      <w:r>
        <w:rPr/>
        <w:t>intended</w:t>
      </w:r>
      <w:r>
        <w:rPr>
          <w:spacing w:val="-7"/>
        </w:rPr>
        <w:t> </w:t>
      </w:r>
      <w:r>
        <w:rPr/>
        <w:t>to support the long-term interests of the Australian market by delivering outcomes that are consistent with those that might be expected in a competitive environment. In particular, the Regulatory Expectations seek to ensure</w:t>
      </w:r>
      <w:r>
        <w:rPr>
          <w:spacing w:val="-1"/>
        </w:rPr>
        <w:t> </w:t>
      </w:r>
      <w:r>
        <w:rPr/>
        <w:t>that</w:t>
      </w:r>
      <w:r>
        <w:rPr>
          <w:spacing w:val="-2"/>
        </w:rPr>
        <w:t> </w:t>
      </w:r>
      <w:r>
        <w:rPr/>
        <w:t>ASX remains responsive</w:t>
      </w:r>
      <w:r>
        <w:rPr>
          <w:spacing w:val="-1"/>
        </w:rPr>
        <w:t> </w:t>
      </w:r>
      <w:r>
        <w:rPr/>
        <w:t>to users’</w:t>
      </w:r>
      <w:r>
        <w:rPr>
          <w:spacing w:val="-1"/>
        </w:rPr>
        <w:t> </w:t>
      </w:r>
      <w:r>
        <w:rPr/>
        <w:t>evolving</w:t>
      </w:r>
      <w:r>
        <w:rPr>
          <w:spacing w:val="-2"/>
        </w:rPr>
        <w:t> </w:t>
      </w:r>
      <w:r>
        <w:rPr/>
        <w:t>needs</w:t>
      </w:r>
      <w:r>
        <w:rPr>
          <w:spacing w:val="-2"/>
        </w:rPr>
        <w:t> </w:t>
      </w:r>
      <w:r>
        <w:rPr/>
        <w:t>and provides access to its monopoly cash equity CS services on a transparent and non-discriminatory basis with terms and conditions, including pricing, that are fair and reasonable.</w:t>
      </w:r>
    </w:p>
    <w:p>
      <w:pPr>
        <w:pStyle w:val="BodyText"/>
        <w:spacing w:line="252" w:lineRule="auto" w:before="163"/>
        <w:ind w:left="108" w:right="100"/>
        <w:jc w:val="both"/>
      </w:pPr>
      <w:r>
        <w:rPr/>
        <w:t>ASX should maintain its Code, or should adopt another equivalent mechanism, to give effect to the Regulatory Expectations. ASX has also, in its Code, committed to submitting an annual external audit of its governance, pricing and access arrangements to the Agencies and members of relevant user governance arrangements, benchmarked against the Regulatory Expectations. This audit generally would not be required to form a judgement on the more subjective matters contained in the Regulatory Expectations, such as the promptness and efficiency of investments or the efficiency of prices.</w:t>
      </w:r>
      <w:r>
        <w:rPr>
          <w:spacing w:val="-1"/>
        </w:rPr>
        <w:t> </w:t>
      </w:r>
      <w:r>
        <w:rPr/>
        <w:t>Rather, such an</w:t>
      </w:r>
      <w:r>
        <w:rPr>
          <w:spacing w:val="-1"/>
        </w:rPr>
        <w:t> </w:t>
      </w:r>
      <w:r>
        <w:rPr/>
        <w:t>audit should</w:t>
      </w:r>
      <w:r>
        <w:rPr>
          <w:spacing w:val="-1"/>
        </w:rPr>
        <w:t> </w:t>
      </w:r>
      <w:r>
        <w:rPr/>
        <w:t>develop</w:t>
      </w:r>
      <w:r>
        <w:rPr>
          <w:spacing w:val="-1"/>
        </w:rPr>
        <w:t> </w:t>
      </w:r>
      <w:r>
        <w:rPr/>
        <w:t>an</w:t>
      </w:r>
      <w:r>
        <w:rPr>
          <w:spacing w:val="-1"/>
        </w:rPr>
        <w:t> </w:t>
      </w:r>
      <w:r>
        <w:rPr/>
        <w:t>evidence</w:t>
      </w:r>
      <w:r>
        <w:rPr>
          <w:spacing w:val="-2"/>
        </w:rPr>
        <w:t> </w:t>
      </w:r>
      <w:r>
        <w:rPr/>
        <w:t>base of relevant</w:t>
      </w:r>
      <w:r>
        <w:rPr>
          <w:spacing w:val="-1"/>
        </w:rPr>
        <w:t> </w:t>
      </w:r>
      <w:r>
        <w:rPr/>
        <w:t>actions</w:t>
      </w:r>
      <w:r>
        <w:rPr>
          <w:spacing w:val="-1"/>
        </w:rPr>
        <w:t> </w:t>
      </w:r>
      <w:r>
        <w:rPr/>
        <w:t>taken</w:t>
      </w:r>
      <w:r>
        <w:rPr>
          <w:spacing w:val="-1"/>
        </w:rPr>
        <w:t> </w:t>
      </w:r>
      <w:r>
        <w:rPr/>
        <w:t>by ASX, and</w:t>
      </w:r>
      <w:r>
        <w:rPr>
          <w:spacing w:val="-1"/>
        </w:rPr>
        <w:t> </w:t>
      </w:r>
      <w:r>
        <w:rPr/>
        <w:t>in particular provide assurance that it has policies and procedures in place aligned with the Regulatory Expectations and that it has conducted its operations in accordance with these policies and procedures. The outcomes of such audits are expected to be discussed with the ASX Boards, the Agencies</w:t>
      </w:r>
      <w:r>
        <w:rPr>
          <w:spacing w:val="-2"/>
        </w:rPr>
        <w:t> </w:t>
      </w:r>
      <w:r>
        <w:rPr/>
        <w:t>and</w:t>
      </w:r>
      <w:r>
        <w:rPr>
          <w:spacing w:val="-2"/>
        </w:rPr>
        <w:t> </w:t>
      </w:r>
      <w:r>
        <w:rPr/>
        <w:t>members</w:t>
      </w:r>
      <w:r>
        <w:rPr>
          <w:spacing w:val="-2"/>
        </w:rPr>
        <w:t> </w:t>
      </w:r>
      <w:r>
        <w:rPr/>
        <w:t>of</w:t>
      </w:r>
      <w:r>
        <w:rPr>
          <w:spacing w:val="-1"/>
        </w:rPr>
        <w:t> </w:t>
      </w:r>
      <w:r>
        <w:rPr/>
        <w:t>relevant</w:t>
      </w:r>
      <w:r>
        <w:rPr>
          <w:spacing w:val="-2"/>
        </w:rPr>
        <w:t> </w:t>
      </w:r>
      <w:r>
        <w:rPr/>
        <w:t>user governance</w:t>
      </w:r>
      <w:r>
        <w:rPr>
          <w:spacing w:val="-1"/>
        </w:rPr>
        <w:t> </w:t>
      </w:r>
      <w:r>
        <w:rPr/>
        <w:t>arrangements.</w:t>
      </w:r>
      <w:r>
        <w:rPr>
          <w:spacing w:val="-2"/>
        </w:rPr>
        <w:t> </w:t>
      </w:r>
      <w:r>
        <w:rPr/>
        <w:t>The</w:t>
      </w:r>
      <w:r>
        <w:rPr>
          <w:spacing w:val="-1"/>
        </w:rPr>
        <w:t> </w:t>
      </w:r>
      <w:r>
        <w:rPr/>
        <w:t>findings</w:t>
      </w:r>
      <w:r>
        <w:rPr>
          <w:spacing w:val="-2"/>
        </w:rPr>
        <w:t> </w:t>
      </w:r>
      <w:r>
        <w:rPr/>
        <w:t>of</w:t>
      </w:r>
      <w:r>
        <w:rPr>
          <w:spacing w:val="-1"/>
        </w:rPr>
        <w:t> </w:t>
      </w:r>
      <w:r>
        <w:rPr/>
        <w:t>such</w:t>
      </w:r>
      <w:r>
        <w:rPr>
          <w:spacing w:val="-1"/>
        </w:rPr>
        <w:t> </w:t>
      </w:r>
      <w:r>
        <w:rPr/>
        <w:t>audits</w:t>
      </w:r>
      <w:r>
        <w:rPr>
          <w:spacing w:val="-2"/>
        </w:rPr>
        <w:t> </w:t>
      </w:r>
      <w:r>
        <w:rPr/>
        <w:t>may</w:t>
      </w:r>
      <w:r>
        <w:rPr>
          <w:spacing w:val="-1"/>
        </w:rPr>
        <w:t> </w:t>
      </w:r>
      <w:r>
        <w:rPr/>
        <w:t>be one input to any decision by the relevant regulators to employ the rule-making or arbitration powers once the supporting legislative framework is in place. The Agencies may additionally periodically request that ASX commission more detailed reviews of how particular aspects of its governance, pricing and access arrangements meet the Regulatory Expectations, or indeed carry out such reviews </w:t>
      </w:r>
      <w:r>
        <w:rPr>
          <w:spacing w:val="-2"/>
        </w:rPr>
        <w:t>themselves.</w:t>
      </w:r>
    </w:p>
    <w:p>
      <w:pPr>
        <w:pStyle w:val="BodyText"/>
        <w:spacing w:line="252" w:lineRule="auto" w:before="175"/>
        <w:ind w:left="108" w:right="102"/>
        <w:jc w:val="both"/>
      </w:pPr>
      <w:r>
        <w:rPr/>
        <w:t>Consistent with its existing arrangements to comply with its broader obligations under the </w:t>
      </w:r>
      <w:r>
        <w:rPr>
          <w:i/>
        </w:rPr>
        <w:t>Corporations</w:t>
      </w:r>
      <w:r>
        <w:rPr>
          <w:i/>
          <w:spacing w:val="-1"/>
        </w:rPr>
        <w:t> </w:t>
      </w:r>
      <w:r>
        <w:rPr>
          <w:i/>
        </w:rPr>
        <w:t>Act 2001</w:t>
      </w:r>
      <w:r>
        <w:rPr/>
        <w:t>, ASX should continue to capture any complaints submitted by users, as well as its corresponding responses, within its complaints-handling system.</w:t>
      </w:r>
    </w:p>
    <w:p>
      <w:pPr>
        <w:pStyle w:val="BodyText"/>
        <w:spacing w:before="162"/>
        <w:ind w:left="108"/>
        <w:jc w:val="both"/>
      </w:pPr>
      <w:r>
        <w:rPr/>
        <w:t>The</w:t>
      </w:r>
      <w:r>
        <w:rPr>
          <w:spacing w:val="-8"/>
        </w:rPr>
        <w:t> </w:t>
      </w:r>
      <w:r>
        <w:rPr/>
        <w:t>Regulatory</w:t>
      </w:r>
      <w:r>
        <w:rPr>
          <w:spacing w:val="-7"/>
        </w:rPr>
        <w:t> </w:t>
      </w:r>
      <w:r>
        <w:rPr/>
        <w:t>Expectations</w:t>
      </w:r>
      <w:r>
        <w:rPr>
          <w:spacing w:val="-6"/>
        </w:rPr>
        <w:t> </w:t>
      </w:r>
      <w:r>
        <w:rPr/>
        <w:t>comprise</w:t>
      </w:r>
      <w:r>
        <w:rPr>
          <w:spacing w:val="-5"/>
        </w:rPr>
        <w:t> </w:t>
      </w:r>
      <w:r>
        <w:rPr/>
        <w:t>the</w:t>
      </w:r>
      <w:r>
        <w:rPr>
          <w:spacing w:val="-7"/>
        </w:rPr>
        <w:t> </w:t>
      </w:r>
      <w:r>
        <w:rPr/>
        <w:t>elements</w:t>
      </w:r>
      <w:r>
        <w:rPr>
          <w:spacing w:val="-6"/>
        </w:rPr>
        <w:t> </w:t>
      </w:r>
      <w:r>
        <w:rPr/>
        <w:t>set</w:t>
      </w:r>
      <w:r>
        <w:rPr>
          <w:spacing w:val="-8"/>
        </w:rPr>
        <w:t> </w:t>
      </w:r>
      <w:r>
        <w:rPr/>
        <w:t>out</w:t>
      </w:r>
      <w:r>
        <w:rPr>
          <w:spacing w:val="-6"/>
        </w:rPr>
        <w:t> </w:t>
      </w:r>
      <w:r>
        <w:rPr>
          <w:spacing w:val="-2"/>
        </w:rPr>
        <w:t>below.</w:t>
      </w:r>
    </w:p>
    <w:p>
      <w:pPr>
        <w:pStyle w:val="BodyText"/>
        <w:spacing w:before="2"/>
        <w:rPr>
          <w:sz w:val="23"/>
        </w:rPr>
      </w:pPr>
    </w:p>
    <w:p>
      <w:pPr>
        <w:pStyle w:val="Heading2"/>
        <w:numPr>
          <w:ilvl w:val="0"/>
          <w:numId w:val="2"/>
        </w:numPr>
        <w:tabs>
          <w:tab w:pos="816" w:val="left" w:leader="none"/>
          <w:tab w:pos="817" w:val="left" w:leader="none"/>
        </w:tabs>
        <w:spacing w:line="240" w:lineRule="auto" w:before="0" w:after="0"/>
        <w:ind w:left="816" w:right="0" w:hanging="709"/>
        <w:jc w:val="left"/>
      </w:pPr>
      <w:bookmarkStart w:name="1. User input to governance" w:id="4"/>
      <w:bookmarkEnd w:id="4"/>
      <w:r>
        <w:rPr>
          <w:color w:val="007698"/>
        </w:rPr>
        <w:t>Us</w:t>
      </w:r>
      <w:r>
        <w:rPr>
          <w:color w:val="007698"/>
        </w:rPr>
        <w:t>er</w:t>
      </w:r>
      <w:r>
        <w:rPr>
          <w:color w:val="007698"/>
          <w:spacing w:val="-3"/>
        </w:rPr>
        <w:t> </w:t>
      </w:r>
      <w:r>
        <w:rPr>
          <w:color w:val="007698"/>
        </w:rPr>
        <w:t>input</w:t>
      </w:r>
      <w:r>
        <w:rPr>
          <w:color w:val="007698"/>
          <w:spacing w:val="-2"/>
        </w:rPr>
        <w:t> </w:t>
      </w:r>
      <w:r>
        <w:rPr>
          <w:color w:val="007698"/>
        </w:rPr>
        <w:t>to</w:t>
      </w:r>
      <w:r>
        <w:rPr>
          <w:color w:val="007698"/>
          <w:spacing w:val="-2"/>
        </w:rPr>
        <w:t> governance</w:t>
      </w:r>
    </w:p>
    <w:p>
      <w:pPr>
        <w:pStyle w:val="BodyText"/>
        <w:spacing w:line="252" w:lineRule="auto" w:before="131"/>
        <w:ind w:left="108" w:right="100"/>
        <w:jc w:val="both"/>
      </w:pPr>
      <w:r>
        <w:rPr/>
        <w:t>To ensure responsiveness to users’ evolving needs, transparent formal mechanisms should be maintained within ASX’s governance framework to give users a strong voice in strategy setting, operational arrangements and system design, and to make ASX’s monopoly cash equity CS services directly accountable to users. As part of this:</w:t>
      </w:r>
    </w:p>
    <w:p>
      <w:pPr>
        <w:pStyle w:val="ListParagraph"/>
        <w:numPr>
          <w:ilvl w:val="0"/>
          <w:numId w:val="3"/>
        </w:numPr>
        <w:tabs>
          <w:tab w:pos="537" w:val="left" w:leader="none"/>
        </w:tabs>
        <w:spacing w:line="252" w:lineRule="auto" w:before="162" w:after="0"/>
        <w:ind w:left="536" w:right="102" w:hanging="428"/>
        <w:jc w:val="both"/>
        <w:rPr>
          <w:sz w:val="21"/>
        </w:rPr>
      </w:pPr>
      <w:r>
        <w:rPr>
          <w:sz w:val="21"/>
        </w:rPr>
        <w:t>ASX should make an explicit public commitment to investing promptly and efficiently in the design, operation and development of the core CS infrastructure for the Australian cash equity market, including the Clearing House Electronic Sub-register System (CHESS) and any future replacement system. This commitment should be supported by governance processes that</w:t>
      </w:r>
      <w:r>
        <w:rPr>
          <w:spacing w:val="40"/>
          <w:sz w:val="21"/>
        </w:rPr>
        <w:t> </w:t>
      </w:r>
      <w:r>
        <w:rPr>
          <w:sz w:val="21"/>
        </w:rPr>
        <w:t>enable users to provide input on the setting of the investment strategy. Investments should ensure</w:t>
      </w:r>
      <w:r>
        <w:rPr>
          <w:spacing w:val="40"/>
          <w:sz w:val="21"/>
        </w:rPr>
        <w:t> </w:t>
      </w:r>
      <w:r>
        <w:rPr>
          <w:sz w:val="21"/>
        </w:rPr>
        <w:t>that,</w:t>
      </w:r>
      <w:r>
        <w:rPr>
          <w:spacing w:val="40"/>
          <w:sz w:val="21"/>
        </w:rPr>
        <w:t> </w:t>
      </w:r>
      <w:r>
        <w:rPr>
          <w:sz w:val="21"/>
        </w:rPr>
        <w:t>to</w:t>
      </w:r>
      <w:r>
        <w:rPr>
          <w:spacing w:val="40"/>
          <w:sz w:val="21"/>
        </w:rPr>
        <w:t> </w:t>
      </w:r>
      <w:r>
        <w:rPr>
          <w:sz w:val="21"/>
        </w:rPr>
        <w:t>the</w:t>
      </w:r>
      <w:r>
        <w:rPr>
          <w:spacing w:val="40"/>
          <w:sz w:val="21"/>
        </w:rPr>
        <w:t> </w:t>
      </w:r>
      <w:r>
        <w:rPr>
          <w:sz w:val="21"/>
        </w:rPr>
        <w:t>extent</w:t>
      </w:r>
      <w:r>
        <w:rPr>
          <w:spacing w:val="40"/>
          <w:sz w:val="21"/>
        </w:rPr>
        <w:t> </w:t>
      </w:r>
      <w:r>
        <w:rPr>
          <w:sz w:val="21"/>
        </w:rPr>
        <w:t>reasonably</w:t>
      </w:r>
      <w:r>
        <w:rPr>
          <w:spacing w:val="40"/>
          <w:sz w:val="21"/>
        </w:rPr>
        <w:t> </w:t>
      </w:r>
      <w:r>
        <w:rPr>
          <w:sz w:val="21"/>
        </w:rPr>
        <w:t>practicable,</w:t>
      </w:r>
      <w:r>
        <w:rPr>
          <w:spacing w:val="40"/>
          <w:sz w:val="21"/>
        </w:rPr>
        <w:t> </w:t>
      </w:r>
      <w:r>
        <w:rPr>
          <w:sz w:val="21"/>
        </w:rPr>
        <w:t>the</w:t>
      </w:r>
      <w:r>
        <w:rPr>
          <w:spacing w:val="40"/>
          <w:sz w:val="21"/>
        </w:rPr>
        <w:t> </w:t>
      </w:r>
      <w:r>
        <w:rPr>
          <w:sz w:val="21"/>
        </w:rPr>
        <w:t>performance,</w:t>
      </w:r>
      <w:r>
        <w:rPr>
          <w:spacing w:val="40"/>
          <w:sz w:val="21"/>
        </w:rPr>
        <w:t> </w:t>
      </w:r>
      <w:r>
        <w:rPr>
          <w:sz w:val="21"/>
        </w:rPr>
        <w:t>resilience,</w:t>
      </w:r>
      <w:r>
        <w:rPr>
          <w:spacing w:val="40"/>
          <w:sz w:val="21"/>
        </w:rPr>
        <w:t> </w:t>
      </w:r>
      <w:r>
        <w:rPr>
          <w:sz w:val="21"/>
        </w:rPr>
        <w:t>security</w:t>
      </w:r>
      <w:r>
        <w:rPr>
          <w:spacing w:val="40"/>
          <w:sz w:val="21"/>
        </w:rPr>
        <w:t> </w:t>
      </w:r>
      <w:r>
        <w:rPr>
          <w:sz w:val="21"/>
        </w:rPr>
        <w:t>and</w:t>
      </w:r>
    </w:p>
    <w:p>
      <w:pPr>
        <w:spacing w:after="0" w:line="252" w:lineRule="auto"/>
        <w:jc w:val="both"/>
        <w:rPr>
          <w:sz w:val="21"/>
        </w:rPr>
        <w:sectPr>
          <w:pgSz w:w="11910" w:h="16840"/>
          <w:pgMar w:header="0" w:footer="653" w:top="1580" w:bottom="840" w:left="1480" w:right="1480"/>
        </w:sectPr>
      </w:pPr>
    </w:p>
    <w:p>
      <w:pPr>
        <w:pStyle w:val="BodyText"/>
        <w:spacing w:line="252" w:lineRule="auto" w:before="114"/>
        <w:ind w:left="535" w:right="102"/>
        <w:jc w:val="both"/>
      </w:pPr>
      <w:r>
        <w:rPr/>
        <w:t>functionality of the core CS infrastructure meet the needs of users, recognising the diversity and differing needs of users. At a minimum, the core CS infrastructure should accommodate internationally accepted communication procedures and standards.</w:t>
      </w:r>
    </w:p>
    <w:p>
      <w:pPr>
        <w:pStyle w:val="ListParagraph"/>
        <w:numPr>
          <w:ilvl w:val="0"/>
          <w:numId w:val="3"/>
        </w:numPr>
        <w:tabs>
          <w:tab w:pos="534" w:val="left" w:leader="none"/>
        </w:tabs>
        <w:spacing w:line="252" w:lineRule="auto" w:before="162" w:after="0"/>
        <w:ind w:left="533" w:right="104" w:hanging="425"/>
        <w:jc w:val="both"/>
        <w:rPr>
          <w:sz w:val="21"/>
        </w:rPr>
      </w:pPr>
      <w:r>
        <w:rPr>
          <w:sz w:val="21"/>
        </w:rPr>
        <w:t>ASX should ensure that the membership of its user governance arrangements is representative</w:t>
      </w:r>
      <w:r>
        <w:rPr>
          <w:spacing w:val="80"/>
          <w:sz w:val="21"/>
        </w:rPr>
        <w:t> </w:t>
      </w:r>
      <w:r>
        <w:rPr>
          <w:sz w:val="21"/>
        </w:rPr>
        <w:t>of the user base of its CS services, and that members are able to have a strong input into the agenda and format of meetings or other user governance mechanisms and the setting of </w:t>
      </w:r>
      <w:r>
        <w:rPr>
          <w:spacing w:val="-2"/>
          <w:sz w:val="21"/>
        </w:rPr>
        <w:t>priorities.</w:t>
      </w:r>
    </w:p>
    <w:p>
      <w:pPr>
        <w:pStyle w:val="ListParagraph"/>
        <w:numPr>
          <w:ilvl w:val="0"/>
          <w:numId w:val="3"/>
        </w:numPr>
        <w:tabs>
          <w:tab w:pos="534" w:val="left" w:leader="none"/>
        </w:tabs>
        <w:spacing w:line="252" w:lineRule="auto" w:before="164" w:after="0"/>
        <w:ind w:left="533" w:right="100" w:hanging="425"/>
        <w:jc w:val="both"/>
        <w:rPr>
          <w:sz w:val="21"/>
        </w:rPr>
      </w:pPr>
      <w:r>
        <w:rPr>
          <w:sz w:val="21"/>
        </w:rPr>
        <w:t>ASX should demonstrate that it has had regard to the views of members in setting the terms of reference for the external audits of its governance, pricing and access arrangements carried out in accordance with the Regulatory Expectations. This may take the form of members’ non- objection of the proposed terms of reference. These terms of reference may change following any review of the Regulatory Expectations.</w:t>
      </w:r>
    </w:p>
    <w:p>
      <w:pPr>
        <w:pStyle w:val="ListParagraph"/>
        <w:numPr>
          <w:ilvl w:val="0"/>
          <w:numId w:val="3"/>
        </w:numPr>
        <w:tabs>
          <w:tab w:pos="537" w:val="left" w:leader="none"/>
        </w:tabs>
        <w:spacing w:line="252" w:lineRule="auto" w:before="164" w:after="0"/>
        <w:ind w:left="536" w:right="100" w:hanging="428"/>
        <w:jc w:val="both"/>
        <w:rPr>
          <w:sz w:val="21"/>
        </w:rPr>
      </w:pPr>
      <w:r>
        <w:rPr>
          <w:sz w:val="21"/>
        </w:rPr>
        <w:t>ASX should maintain accountability arrangements that provide for regular public attestations as to the effectiveness of its interactions with users. For example, the following arrangements</w:t>
      </w:r>
      <w:r>
        <w:rPr>
          <w:spacing w:val="40"/>
          <w:sz w:val="21"/>
        </w:rPr>
        <w:t> </w:t>
      </w:r>
      <w:r>
        <w:rPr>
          <w:sz w:val="21"/>
        </w:rPr>
        <w:t>would be appropriate:</w:t>
      </w:r>
    </w:p>
    <w:p>
      <w:pPr>
        <w:pStyle w:val="ListParagraph"/>
        <w:numPr>
          <w:ilvl w:val="1"/>
          <w:numId w:val="3"/>
        </w:numPr>
        <w:tabs>
          <w:tab w:pos="962" w:val="left" w:leader="none"/>
        </w:tabs>
        <w:spacing w:line="252" w:lineRule="auto" w:before="162" w:after="0"/>
        <w:ind w:left="961" w:right="101" w:hanging="425"/>
        <w:jc w:val="both"/>
        <w:rPr>
          <w:sz w:val="21"/>
        </w:rPr>
      </w:pPr>
      <w:r>
        <w:rPr>
          <w:sz w:val="21"/>
        </w:rPr>
        <w:t>ASX’s user governance mechanisms operate on a ‘comply or explain’ basis; that is, the relevant Board would take actions in accordance with recommendations from the user governance mechanisms, or else explain why such actions had not been taken.</w:t>
      </w:r>
    </w:p>
    <w:p>
      <w:pPr>
        <w:pStyle w:val="ListParagraph"/>
        <w:numPr>
          <w:ilvl w:val="1"/>
          <w:numId w:val="3"/>
        </w:numPr>
        <w:tabs>
          <w:tab w:pos="962" w:val="left" w:leader="none"/>
        </w:tabs>
        <w:spacing w:line="254" w:lineRule="auto" w:before="162" w:after="0"/>
        <w:ind w:left="961" w:right="103" w:hanging="425"/>
        <w:jc w:val="both"/>
        <w:rPr>
          <w:sz w:val="21"/>
        </w:rPr>
      </w:pPr>
      <w:r>
        <w:rPr>
          <w:sz w:val="21"/>
        </w:rPr>
        <w:t>ASX report, on at least an annual basis, the service developments and investment projects that it has progressed and how it has taken into consideration the views of users.</w:t>
      </w:r>
    </w:p>
    <w:p>
      <w:pPr>
        <w:pStyle w:val="ListParagraph"/>
        <w:numPr>
          <w:ilvl w:val="0"/>
          <w:numId w:val="3"/>
        </w:numPr>
        <w:tabs>
          <w:tab w:pos="537" w:val="left" w:leader="none"/>
        </w:tabs>
        <w:spacing w:line="252" w:lineRule="auto" w:before="158" w:after="0"/>
        <w:ind w:left="536" w:right="99" w:hanging="428"/>
        <w:jc w:val="both"/>
        <w:rPr>
          <w:sz w:val="21"/>
        </w:rPr>
      </w:pPr>
      <w:r>
        <w:rPr>
          <w:sz w:val="21"/>
        </w:rPr>
        <w:t>ASX should formally commit</w:t>
      </w:r>
      <w:r>
        <w:rPr>
          <w:spacing w:val="-3"/>
          <w:sz w:val="21"/>
        </w:rPr>
        <w:t> </w:t>
      </w:r>
      <w:r>
        <w:rPr>
          <w:sz w:val="21"/>
        </w:rPr>
        <w:t>to retaining a</w:t>
      </w:r>
      <w:r>
        <w:rPr>
          <w:spacing w:val="-2"/>
          <w:sz w:val="21"/>
        </w:rPr>
        <w:t> </w:t>
      </w:r>
      <w:r>
        <w:rPr>
          <w:sz w:val="21"/>
        </w:rPr>
        <w:t>Board</w:t>
      </w:r>
      <w:r>
        <w:rPr>
          <w:spacing w:val="-2"/>
          <w:sz w:val="21"/>
        </w:rPr>
        <w:t> </w:t>
      </w:r>
      <w:r>
        <w:rPr>
          <w:sz w:val="21"/>
        </w:rPr>
        <w:t>structure</w:t>
      </w:r>
      <w:r>
        <w:rPr>
          <w:spacing w:val="-1"/>
          <w:sz w:val="21"/>
        </w:rPr>
        <w:t> </w:t>
      </w:r>
      <w:r>
        <w:rPr>
          <w:sz w:val="21"/>
        </w:rPr>
        <w:t>for</w:t>
      </w:r>
      <w:r>
        <w:rPr>
          <w:spacing w:val="-1"/>
          <w:sz w:val="21"/>
        </w:rPr>
        <w:t> </w:t>
      </w:r>
      <w:r>
        <w:rPr>
          <w:sz w:val="21"/>
        </w:rPr>
        <w:t>ASX</w:t>
      </w:r>
      <w:r>
        <w:rPr>
          <w:spacing w:val="-1"/>
          <w:sz w:val="21"/>
        </w:rPr>
        <w:t> </w:t>
      </w:r>
      <w:r>
        <w:rPr>
          <w:sz w:val="21"/>
        </w:rPr>
        <w:t>Clear and</w:t>
      </w:r>
      <w:r>
        <w:rPr>
          <w:spacing w:val="-3"/>
          <w:sz w:val="21"/>
        </w:rPr>
        <w:t> </w:t>
      </w:r>
      <w:r>
        <w:rPr>
          <w:sz w:val="21"/>
        </w:rPr>
        <w:t>ASX Settlement</w:t>
      </w:r>
      <w:r>
        <w:rPr>
          <w:spacing w:val="-1"/>
          <w:sz w:val="21"/>
        </w:rPr>
        <w:t> </w:t>
      </w:r>
      <w:r>
        <w:rPr>
          <w:sz w:val="21"/>
        </w:rPr>
        <w:t>that comprises a minimum of</w:t>
      </w:r>
      <w:r>
        <w:rPr>
          <w:spacing w:val="-2"/>
          <w:sz w:val="21"/>
        </w:rPr>
        <w:t> </w:t>
      </w:r>
      <w:r>
        <w:rPr>
          <w:sz w:val="21"/>
        </w:rPr>
        <w:t>50</w:t>
      </w:r>
      <w:r>
        <w:rPr>
          <w:spacing w:val="-1"/>
          <w:sz w:val="21"/>
        </w:rPr>
        <w:t> </w:t>
      </w:r>
      <w:r>
        <w:rPr>
          <w:sz w:val="21"/>
        </w:rPr>
        <w:t>per cent</w:t>
      </w:r>
      <w:r>
        <w:rPr>
          <w:spacing w:val="-1"/>
          <w:sz w:val="21"/>
        </w:rPr>
        <w:t> </w:t>
      </w:r>
      <w:r>
        <w:rPr>
          <w:sz w:val="21"/>
        </w:rPr>
        <w:t>of non-executive directors</w:t>
      </w:r>
      <w:r>
        <w:rPr>
          <w:spacing w:val="-1"/>
          <w:sz w:val="21"/>
        </w:rPr>
        <w:t> </w:t>
      </w:r>
      <w:r>
        <w:rPr>
          <w:sz w:val="21"/>
        </w:rPr>
        <w:t>that</w:t>
      </w:r>
      <w:r>
        <w:rPr>
          <w:spacing w:val="-1"/>
          <w:sz w:val="21"/>
        </w:rPr>
        <w:t> </w:t>
      </w:r>
      <w:r>
        <w:rPr>
          <w:sz w:val="21"/>
        </w:rPr>
        <w:t>are also independent</w:t>
      </w:r>
      <w:r>
        <w:rPr>
          <w:spacing w:val="-1"/>
          <w:sz w:val="21"/>
        </w:rPr>
        <w:t> </w:t>
      </w:r>
      <w:r>
        <w:rPr>
          <w:sz w:val="21"/>
        </w:rPr>
        <w:t>of ASX Limited, and where a subset of these independent directors can form a quorum.</w:t>
      </w:r>
    </w:p>
    <w:p>
      <w:pPr>
        <w:pStyle w:val="ListParagraph"/>
        <w:numPr>
          <w:ilvl w:val="0"/>
          <w:numId w:val="3"/>
        </w:numPr>
        <w:tabs>
          <w:tab w:pos="537" w:val="left" w:leader="none"/>
        </w:tabs>
        <w:spacing w:line="252" w:lineRule="auto" w:before="162" w:after="0"/>
        <w:ind w:left="536" w:right="100" w:hanging="428"/>
        <w:jc w:val="both"/>
        <w:rPr>
          <w:sz w:val="21"/>
        </w:rPr>
      </w:pPr>
      <w:r>
        <w:rPr>
          <w:sz w:val="21"/>
        </w:rPr>
        <w:t>ASX should establish governance structures and reporting lines at the management and operational</w:t>
      </w:r>
      <w:r>
        <w:rPr>
          <w:spacing w:val="40"/>
          <w:sz w:val="21"/>
        </w:rPr>
        <w:t> </w:t>
      </w:r>
      <w:r>
        <w:rPr>
          <w:sz w:val="21"/>
        </w:rPr>
        <w:t>levels</w:t>
      </w:r>
      <w:r>
        <w:rPr>
          <w:spacing w:val="40"/>
          <w:sz w:val="21"/>
        </w:rPr>
        <w:t> </w:t>
      </w:r>
      <w:r>
        <w:rPr>
          <w:sz w:val="21"/>
        </w:rPr>
        <w:t>that</w:t>
      </w:r>
      <w:r>
        <w:rPr>
          <w:spacing w:val="40"/>
          <w:sz w:val="21"/>
        </w:rPr>
        <w:t> </w:t>
      </w:r>
      <w:r>
        <w:rPr>
          <w:sz w:val="21"/>
        </w:rPr>
        <w:t>promote</w:t>
      </w:r>
      <w:r>
        <w:rPr>
          <w:spacing w:val="40"/>
          <w:sz w:val="21"/>
        </w:rPr>
        <w:t> </w:t>
      </w:r>
      <w:r>
        <w:rPr>
          <w:sz w:val="21"/>
        </w:rPr>
        <w:t>access</w:t>
      </w:r>
      <w:r>
        <w:rPr>
          <w:spacing w:val="40"/>
          <w:sz w:val="21"/>
        </w:rPr>
        <w:t> </w:t>
      </w:r>
      <w:r>
        <w:rPr>
          <w:sz w:val="21"/>
        </w:rPr>
        <w:t>to</w:t>
      </w:r>
      <w:r>
        <w:rPr>
          <w:spacing w:val="40"/>
          <w:sz w:val="21"/>
        </w:rPr>
        <w:t> </w:t>
      </w:r>
      <w:r>
        <w:rPr>
          <w:sz w:val="21"/>
        </w:rPr>
        <w:t>its</w:t>
      </w:r>
      <w:r>
        <w:rPr>
          <w:spacing w:val="40"/>
          <w:sz w:val="21"/>
        </w:rPr>
        <w:t> </w:t>
      </w:r>
      <w:r>
        <w:rPr>
          <w:sz w:val="21"/>
        </w:rPr>
        <w:t>CS</w:t>
      </w:r>
      <w:r>
        <w:rPr>
          <w:spacing w:val="40"/>
          <w:sz w:val="21"/>
        </w:rPr>
        <w:t> </w:t>
      </w:r>
      <w:r>
        <w:rPr>
          <w:sz w:val="21"/>
        </w:rPr>
        <w:t>services</w:t>
      </w:r>
      <w:r>
        <w:rPr>
          <w:spacing w:val="40"/>
          <w:sz w:val="21"/>
        </w:rPr>
        <w:t> </w:t>
      </w:r>
      <w:r>
        <w:rPr>
          <w:sz w:val="21"/>
        </w:rPr>
        <w:t>on</w:t>
      </w:r>
      <w:r>
        <w:rPr>
          <w:spacing w:val="40"/>
          <w:sz w:val="21"/>
        </w:rPr>
        <w:t> </w:t>
      </w:r>
      <w:r>
        <w:rPr>
          <w:sz w:val="21"/>
        </w:rPr>
        <w:t>commercial,</w:t>
      </w:r>
      <w:r>
        <w:rPr>
          <w:spacing w:val="40"/>
          <w:sz w:val="21"/>
        </w:rPr>
        <w:t> </w:t>
      </w:r>
      <w:r>
        <w:rPr>
          <w:sz w:val="21"/>
        </w:rPr>
        <w:t>transparent</w:t>
      </w:r>
      <w:r>
        <w:rPr>
          <w:spacing w:val="40"/>
          <w:sz w:val="21"/>
        </w:rPr>
        <w:t> </w:t>
      </w:r>
      <w:r>
        <w:rPr>
          <w:sz w:val="21"/>
        </w:rPr>
        <w:t>and non-discriminatory terms. These arrangements should ensure that the interests of users are upheld in accordance with Regulatory Expectation 3. This may be demonstrated, for example, through the key performance indicators set for relevant management.</w:t>
      </w:r>
    </w:p>
    <w:p>
      <w:pPr>
        <w:pStyle w:val="BodyText"/>
        <w:spacing w:before="5"/>
        <w:rPr>
          <w:sz w:val="22"/>
        </w:rPr>
      </w:pPr>
    </w:p>
    <w:p>
      <w:pPr>
        <w:pStyle w:val="Heading2"/>
        <w:numPr>
          <w:ilvl w:val="0"/>
          <w:numId w:val="2"/>
        </w:numPr>
        <w:tabs>
          <w:tab w:pos="816" w:val="left" w:leader="none"/>
          <w:tab w:pos="817" w:val="left" w:leader="none"/>
        </w:tabs>
        <w:spacing w:line="240" w:lineRule="auto" w:before="0" w:after="0"/>
        <w:ind w:left="108" w:right="1018" w:firstLine="0"/>
        <w:jc w:val="left"/>
      </w:pPr>
      <w:bookmarkStart w:name="2. Transparent, non-discriminatory, and " w:id="5"/>
      <w:bookmarkEnd w:id="5"/>
      <w:r>
        <w:rPr>
          <w:color w:val="007698"/>
        </w:rPr>
        <w:t>T</w:t>
      </w:r>
      <w:r>
        <w:rPr>
          <w:color w:val="007698"/>
        </w:rPr>
        <w:t>ransparent,</w:t>
      </w:r>
      <w:r>
        <w:rPr>
          <w:color w:val="007698"/>
          <w:spacing w:val="-6"/>
        </w:rPr>
        <w:t> </w:t>
      </w:r>
      <w:r>
        <w:rPr>
          <w:color w:val="007698"/>
        </w:rPr>
        <w:t>non-discriminatory,</w:t>
      </w:r>
      <w:r>
        <w:rPr>
          <w:color w:val="007698"/>
          <w:spacing w:val="-6"/>
        </w:rPr>
        <w:t> </w:t>
      </w:r>
      <w:r>
        <w:rPr>
          <w:color w:val="007698"/>
        </w:rPr>
        <w:t>and</w:t>
      </w:r>
      <w:r>
        <w:rPr>
          <w:color w:val="007698"/>
          <w:spacing w:val="-7"/>
        </w:rPr>
        <w:t> </w:t>
      </w:r>
      <w:r>
        <w:rPr>
          <w:color w:val="007698"/>
        </w:rPr>
        <w:t>fair</w:t>
      </w:r>
      <w:r>
        <w:rPr>
          <w:color w:val="007698"/>
          <w:spacing w:val="-6"/>
        </w:rPr>
        <w:t> </w:t>
      </w:r>
      <w:r>
        <w:rPr>
          <w:color w:val="007698"/>
        </w:rPr>
        <w:t>and</w:t>
      </w:r>
      <w:r>
        <w:rPr>
          <w:color w:val="007698"/>
          <w:spacing w:val="-7"/>
        </w:rPr>
        <w:t> </w:t>
      </w:r>
      <w:r>
        <w:rPr>
          <w:color w:val="007698"/>
        </w:rPr>
        <w:t>reasonable pricing of CS services</w:t>
      </w:r>
    </w:p>
    <w:p>
      <w:pPr>
        <w:pStyle w:val="BodyText"/>
        <w:spacing w:line="252" w:lineRule="auto" w:before="131"/>
        <w:ind w:left="108" w:right="100"/>
        <w:jc w:val="both"/>
      </w:pPr>
      <w:r>
        <w:rPr/>
        <w:t>ASX should publicly commit to an appropriate minimum level of transparency of pricing across its range of monopoly cash equity CS services (including the provision of data). The pricing of these services should not discriminate in favour of ASX-affiliated entities (except to the extent that the efficient cost of providing the same service to another party was higher). Other than where pricing is anti-competitive or gives rise to financial stability or market functioning issues, the fees charged by ASX are</w:t>
      </w:r>
      <w:r>
        <w:rPr>
          <w:spacing w:val="-1"/>
        </w:rPr>
        <w:t> </w:t>
      </w:r>
      <w:r>
        <w:rPr/>
        <w:t>a commercial</w:t>
      </w:r>
      <w:r>
        <w:rPr>
          <w:spacing w:val="-2"/>
        </w:rPr>
        <w:t> </w:t>
      </w:r>
      <w:r>
        <w:rPr/>
        <w:t>matter for ASX and</w:t>
      </w:r>
      <w:r>
        <w:rPr>
          <w:spacing w:val="-2"/>
        </w:rPr>
        <w:t> </w:t>
      </w:r>
      <w:r>
        <w:rPr/>
        <w:t>its</w:t>
      </w:r>
      <w:r>
        <w:rPr>
          <w:spacing w:val="-1"/>
        </w:rPr>
        <w:t> </w:t>
      </w:r>
      <w:r>
        <w:rPr/>
        <w:t>customers.</w:t>
      </w:r>
      <w:r>
        <w:rPr>
          <w:spacing w:val="-2"/>
        </w:rPr>
        <w:t> </w:t>
      </w:r>
      <w:r>
        <w:rPr/>
        <w:t>Nevertheless, to</w:t>
      </w:r>
      <w:r>
        <w:rPr>
          <w:spacing w:val="-3"/>
        </w:rPr>
        <w:t> </w:t>
      </w:r>
      <w:r>
        <w:rPr/>
        <w:t>ensure</w:t>
      </w:r>
      <w:r>
        <w:rPr>
          <w:spacing w:val="-1"/>
        </w:rPr>
        <w:t> </w:t>
      </w:r>
      <w:r>
        <w:rPr/>
        <w:t>that</w:t>
      </w:r>
      <w:r>
        <w:rPr>
          <w:spacing w:val="-1"/>
        </w:rPr>
        <w:t> </w:t>
      </w:r>
      <w:r>
        <w:rPr/>
        <w:t>the fees</w:t>
      </w:r>
      <w:r>
        <w:rPr>
          <w:spacing w:val="-3"/>
        </w:rPr>
        <w:t> </w:t>
      </w:r>
      <w:r>
        <w:rPr/>
        <w:t>charged by ASX for its cash equity CS services are transparent, non-discriminatory, and fair and reasonable:</w:t>
      </w:r>
    </w:p>
    <w:p>
      <w:pPr>
        <w:pStyle w:val="ListParagraph"/>
        <w:numPr>
          <w:ilvl w:val="0"/>
          <w:numId w:val="4"/>
        </w:numPr>
        <w:tabs>
          <w:tab w:pos="537" w:val="left" w:leader="none"/>
        </w:tabs>
        <w:spacing w:line="254" w:lineRule="auto" w:before="165" w:after="0"/>
        <w:ind w:left="536" w:right="104" w:hanging="428"/>
        <w:jc w:val="both"/>
        <w:rPr>
          <w:sz w:val="21"/>
        </w:rPr>
      </w:pPr>
      <w:r>
        <w:rPr>
          <w:sz w:val="21"/>
        </w:rPr>
        <w:t>ASX should ensure that all prices of individually unbundled CS services, including rebates, revenue-sharing arrangements and discounts applicable to the use of these services:</w:t>
      </w:r>
    </w:p>
    <w:p>
      <w:pPr>
        <w:pStyle w:val="ListParagraph"/>
        <w:numPr>
          <w:ilvl w:val="1"/>
          <w:numId w:val="4"/>
        </w:numPr>
        <w:tabs>
          <w:tab w:pos="961" w:val="left" w:leader="none"/>
          <w:tab w:pos="962" w:val="left" w:leader="none"/>
        </w:tabs>
        <w:spacing w:line="240" w:lineRule="auto" w:before="157" w:after="0"/>
        <w:ind w:left="961" w:right="0" w:hanging="426"/>
        <w:jc w:val="left"/>
        <w:rPr>
          <w:sz w:val="21"/>
        </w:rPr>
      </w:pPr>
      <w:r>
        <w:rPr>
          <w:sz w:val="21"/>
        </w:rPr>
        <w:t>are</w:t>
      </w:r>
      <w:r>
        <w:rPr>
          <w:spacing w:val="-4"/>
          <w:sz w:val="21"/>
        </w:rPr>
        <w:t> </w:t>
      </w:r>
      <w:r>
        <w:rPr>
          <w:sz w:val="21"/>
        </w:rPr>
        <w:t>transparent</w:t>
      </w:r>
      <w:r>
        <w:rPr>
          <w:spacing w:val="-5"/>
          <w:sz w:val="21"/>
        </w:rPr>
        <w:t> </w:t>
      </w:r>
      <w:r>
        <w:rPr>
          <w:sz w:val="21"/>
        </w:rPr>
        <w:t>to</w:t>
      </w:r>
      <w:r>
        <w:rPr>
          <w:spacing w:val="-4"/>
          <w:sz w:val="21"/>
        </w:rPr>
        <w:t> </w:t>
      </w:r>
      <w:r>
        <w:rPr>
          <w:sz w:val="21"/>
        </w:rPr>
        <w:t>all</w:t>
      </w:r>
      <w:r>
        <w:rPr>
          <w:spacing w:val="-5"/>
          <w:sz w:val="21"/>
        </w:rPr>
        <w:t> </w:t>
      </w:r>
      <w:r>
        <w:rPr>
          <w:sz w:val="21"/>
        </w:rPr>
        <w:t>users</w:t>
      </w:r>
      <w:r>
        <w:rPr>
          <w:spacing w:val="-6"/>
          <w:sz w:val="21"/>
        </w:rPr>
        <w:t> </w:t>
      </w:r>
      <w:r>
        <w:rPr>
          <w:sz w:val="21"/>
        </w:rPr>
        <w:t>of</w:t>
      </w:r>
      <w:r>
        <w:rPr>
          <w:spacing w:val="-4"/>
          <w:sz w:val="21"/>
        </w:rPr>
        <w:t> </w:t>
      </w:r>
      <w:r>
        <w:rPr>
          <w:sz w:val="21"/>
        </w:rPr>
        <w:t>the</w:t>
      </w:r>
      <w:r>
        <w:rPr>
          <w:spacing w:val="-3"/>
          <w:sz w:val="21"/>
        </w:rPr>
        <w:t> </w:t>
      </w:r>
      <w:r>
        <w:rPr>
          <w:spacing w:val="-2"/>
          <w:sz w:val="21"/>
        </w:rPr>
        <w:t>services</w:t>
      </w:r>
    </w:p>
    <w:p>
      <w:pPr>
        <w:pStyle w:val="ListParagraph"/>
        <w:numPr>
          <w:ilvl w:val="1"/>
          <w:numId w:val="4"/>
        </w:numPr>
        <w:tabs>
          <w:tab w:pos="962" w:val="left" w:leader="none"/>
        </w:tabs>
        <w:spacing w:line="252" w:lineRule="auto" w:before="174" w:after="0"/>
        <w:ind w:left="961" w:right="104" w:hanging="425"/>
        <w:jc w:val="both"/>
        <w:rPr>
          <w:sz w:val="21"/>
        </w:rPr>
      </w:pPr>
      <w:r>
        <w:rPr>
          <w:sz w:val="21"/>
        </w:rPr>
        <w:t>do not discriminate in favour of ASX-affiliated entities, except to the extent that the</w:t>
      </w:r>
      <w:r>
        <w:rPr>
          <w:spacing w:val="80"/>
          <w:sz w:val="21"/>
        </w:rPr>
        <w:t> </w:t>
      </w:r>
      <w:r>
        <w:rPr>
          <w:sz w:val="21"/>
        </w:rPr>
        <w:t>efficient cost of providing the same service to another party was higher</w:t>
      </w:r>
    </w:p>
    <w:p>
      <w:pPr>
        <w:spacing w:after="0" w:line="252" w:lineRule="auto"/>
        <w:jc w:val="both"/>
        <w:rPr>
          <w:sz w:val="21"/>
        </w:rPr>
        <w:sectPr>
          <w:pgSz w:w="11910" w:h="16840"/>
          <w:pgMar w:header="0" w:footer="843" w:top="1580" w:bottom="1040" w:left="1480" w:right="1480"/>
        </w:sectPr>
      </w:pPr>
    </w:p>
    <w:p>
      <w:pPr>
        <w:pStyle w:val="ListParagraph"/>
        <w:numPr>
          <w:ilvl w:val="1"/>
          <w:numId w:val="4"/>
        </w:numPr>
        <w:tabs>
          <w:tab w:pos="961" w:val="left" w:leader="none"/>
        </w:tabs>
        <w:spacing w:line="252" w:lineRule="auto" w:before="114" w:after="0"/>
        <w:ind w:left="960" w:right="104" w:hanging="425"/>
        <w:jc w:val="left"/>
        <w:rPr>
          <w:sz w:val="21"/>
        </w:rPr>
      </w:pPr>
      <w:r>
        <w:rPr>
          <w:sz w:val="21"/>
        </w:rPr>
        <w:t>are made available to stakeholders in a form such that the impact of pricing changes can be readily understood.</w:t>
      </w:r>
    </w:p>
    <w:p>
      <w:pPr>
        <w:pStyle w:val="ListParagraph"/>
        <w:numPr>
          <w:ilvl w:val="0"/>
          <w:numId w:val="4"/>
        </w:numPr>
        <w:tabs>
          <w:tab w:pos="536" w:val="left" w:leader="none"/>
        </w:tabs>
        <w:spacing w:line="252" w:lineRule="auto" w:before="160" w:after="0"/>
        <w:ind w:left="535" w:right="100" w:hanging="428"/>
        <w:jc w:val="both"/>
        <w:rPr>
          <w:sz w:val="21"/>
        </w:rPr>
      </w:pPr>
      <w:r>
        <w:rPr>
          <w:sz w:val="21"/>
        </w:rPr>
        <w:t>ASX should maintain an appropriate method for determining the prices of its CS services so as to generate expected revenue that reflects the efficient costs of providing those services, including</w:t>
      </w:r>
      <w:r>
        <w:rPr>
          <w:spacing w:val="40"/>
          <w:sz w:val="21"/>
        </w:rPr>
        <w:t> </w:t>
      </w:r>
      <w:r>
        <w:rPr>
          <w:sz w:val="21"/>
        </w:rPr>
        <w:t>a return on investment commensurate with the commercial risks involved.</w:t>
      </w:r>
    </w:p>
    <w:p>
      <w:pPr>
        <w:pStyle w:val="ListParagraph"/>
        <w:numPr>
          <w:ilvl w:val="0"/>
          <w:numId w:val="4"/>
        </w:numPr>
        <w:tabs>
          <w:tab w:pos="536" w:val="left" w:leader="none"/>
        </w:tabs>
        <w:spacing w:line="252" w:lineRule="auto" w:before="165" w:after="0"/>
        <w:ind w:left="535" w:right="100" w:hanging="428"/>
        <w:jc w:val="both"/>
        <w:rPr>
          <w:sz w:val="21"/>
        </w:rPr>
      </w:pPr>
      <w:r>
        <w:rPr>
          <w:sz w:val="21"/>
        </w:rPr>
        <w:t>ASX should make an explicit public commitment that any changes in the prices of its CS services will not be implemented in a way that would materially shift revenue streams between aspects</w:t>
      </w:r>
      <w:r>
        <w:rPr>
          <w:spacing w:val="40"/>
          <w:sz w:val="21"/>
        </w:rPr>
        <w:t> </w:t>
      </w:r>
      <w:r>
        <w:rPr>
          <w:sz w:val="21"/>
        </w:rPr>
        <w:t>of its trading, clearing and settlement services.</w:t>
      </w:r>
    </w:p>
    <w:p>
      <w:pPr>
        <w:pStyle w:val="ListParagraph"/>
        <w:numPr>
          <w:ilvl w:val="0"/>
          <w:numId w:val="4"/>
        </w:numPr>
        <w:tabs>
          <w:tab w:pos="536" w:val="left" w:leader="none"/>
        </w:tabs>
        <w:spacing w:line="252" w:lineRule="auto" w:before="162" w:after="0"/>
        <w:ind w:left="535" w:right="102" w:hanging="428"/>
        <w:jc w:val="both"/>
        <w:rPr>
          <w:sz w:val="21"/>
        </w:rPr>
      </w:pPr>
      <w:r>
        <w:rPr>
          <w:sz w:val="21"/>
        </w:rPr>
        <w:t>ASX should publish any increases in its CS fee schedules along with an attestation justifying their reasonableness. For the most material such increases, this attestation would be expected to</w:t>
      </w:r>
      <w:r>
        <w:rPr>
          <w:spacing w:val="40"/>
          <w:sz w:val="21"/>
        </w:rPr>
        <w:t> </w:t>
      </w:r>
      <w:r>
        <w:rPr>
          <w:sz w:val="21"/>
        </w:rPr>
        <w:t>refer to relevant metrics and other evidence, such as the calculated return on equity, benchmarked price lists, or an independent review of how ASX’s cash equity CS fees compare with those of CS facilities in other markets.</w:t>
      </w:r>
    </w:p>
    <w:p>
      <w:pPr>
        <w:pStyle w:val="ListParagraph"/>
        <w:numPr>
          <w:ilvl w:val="0"/>
          <w:numId w:val="4"/>
        </w:numPr>
        <w:tabs>
          <w:tab w:pos="536" w:val="left" w:leader="none"/>
        </w:tabs>
        <w:spacing w:line="252" w:lineRule="auto" w:before="164" w:after="0"/>
        <w:ind w:left="535" w:right="102" w:hanging="428"/>
        <w:jc w:val="both"/>
        <w:rPr>
          <w:sz w:val="21"/>
        </w:rPr>
      </w:pPr>
      <w:r>
        <w:rPr>
          <w:sz w:val="21"/>
        </w:rPr>
        <w:t>ASX should maintain an appropriate model for the internal allocation of costs, including the cost of</w:t>
      </w:r>
      <w:r>
        <w:rPr>
          <w:spacing w:val="30"/>
          <w:sz w:val="21"/>
        </w:rPr>
        <w:t> </w:t>
      </w:r>
      <w:r>
        <w:rPr>
          <w:sz w:val="21"/>
        </w:rPr>
        <w:t>allocated</w:t>
      </w:r>
      <w:r>
        <w:rPr>
          <w:spacing w:val="29"/>
          <w:sz w:val="21"/>
        </w:rPr>
        <w:t> </w:t>
      </w:r>
      <w:r>
        <w:rPr>
          <w:sz w:val="21"/>
        </w:rPr>
        <w:t>capital,</w:t>
      </w:r>
      <w:r>
        <w:rPr>
          <w:spacing w:val="30"/>
          <w:sz w:val="21"/>
        </w:rPr>
        <w:t> </w:t>
      </w:r>
      <w:r>
        <w:rPr>
          <w:sz w:val="21"/>
        </w:rPr>
        <w:t>as</w:t>
      </w:r>
      <w:r>
        <w:rPr>
          <w:spacing w:val="31"/>
          <w:sz w:val="21"/>
        </w:rPr>
        <w:t> </w:t>
      </w:r>
      <w:r>
        <w:rPr>
          <w:sz w:val="21"/>
        </w:rPr>
        <w:t>well</w:t>
      </w:r>
      <w:r>
        <w:rPr>
          <w:spacing w:val="29"/>
          <w:sz w:val="21"/>
        </w:rPr>
        <w:t> </w:t>
      </w:r>
      <w:r>
        <w:rPr>
          <w:sz w:val="21"/>
        </w:rPr>
        <w:t>as</w:t>
      </w:r>
      <w:r>
        <w:rPr>
          <w:spacing w:val="29"/>
          <w:sz w:val="21"/>
        </w:rPr>
        <w:t> </w:t>
      </w:r>
      <w:r>
        <w:rPr>
          <w:sz w:val="21"/>
        </w:rPr>
        <w:t>policies</w:t>
      </w:r>
      <w:r>
        <w:rPr>
          <w:spacing w:val="31"/>
          <w:sz w:val="21"/>
        </w:rPr>
        <w:t> </w:t>
      </w:r>
      <w:r>
        <w:rPr>
          <w:sz w:val="21"/>
        </w:rPr>
        <w:t>to</w:t>
      </w:r>
      <w:r>
        <w:rPr>
          <w:spacing w:val="31"/>
          <w:sz w:val="21"/>
        </w:rPr>
        <w:t> </w:t>
      </w:r>
      <w:r>
        <w:rPr>
          <w:sz w:val="21"/>
        </w:rPr>
        <w:t>govern</w:t>
      </w:r>
      <w:r>
        <w:rPr>
          <w:spacing w:val="29"/>
          <w:sz w:val="21"/>
        </w:rPr>
        <w:t> </w:t>
      </w:r>
      <w:r>
        <w:rPr>
          <w:sz w:val="21"/>
        </w:rPr>
        <w:t>the</w:t>
      </w:r>
      <w:r>
        <w:rPr>
          <w:spacing w:val="30"/>
          <w:sz w:val="21"/>
        </w:rPr>
        <w:t> </w:t>
      </w:r>
      <w:r>
        <w:rPr>
          <w:sz w:val="21"/>
        </w:rPr>
        <w:t>transfer</w:t>
      </w:r>
      <w:r>
        <w:rPr>
          <w:spacing w:val="31"/>
          <w:sz w:val="21"/>
        </w:rPr>
        <w:t> </w:t>
      </w:r>
      <w:r>
        <w:rPr>
          <w:sz w:val="21"/>
        </w:rPr>
        <w:t>of</w:t>
      </w:r>
      <w:r>
        <w:rPr>
          <w:spacing w:val="30"/>
          <w:sz w:val="21"/>
        </w:rPr>
        <w:t> </w:t>
      </w:r>
      <w:r>
        <w:rPr>
          <w:sz w:val="21"/>
        </w:rPr>
        <w:t>prices</w:t>
      </w:r>
      <w:r>
        <w:rPr>
          <w:spacing w:val="29"/>
          <w:sz w:val="21"/>
        </w:rPr>
        <w:t> </w:t>
      </w:r>
      <w:r>
        <w:rPr>
          <w:sz w:val="21"/>
        </w:rPr>
        <w:t>between</w:t>
      </w:r>
      <w:r>
        <w:rPr>
          <w:spacing w:val="29"/>
          <w:sz w:val="21"/>
        </w:rPr>
        <w:t> </w:t>
      </w:r>
      <w:r>
        <w:rPr>
          <w:sz w:val="21"/>
        </w:rPr>
        <w:t>the</w:t>
      </w:r>
      <w:r>
        <w:rPr>
          <w:spacing w:val="30"/>
          <w:sz w:val="21"/>
        </w:rPr>
        <w:t> </w:t>
      </w:r>
      <w:r>
        <w:rPr>
          <w:sz w:val="21"/>
        </w:rPr>
        <w:t>relevant ASX</w:t>
      </w:r>
      <w:r>
        <w:rPr>
          <w:spacing w:val="-2"/>
          <w:sz w:val="21"/>
        </w:rPr>
        <w:t> </w:t>
      </w:r>
      <w:r>
        <w:rPr>
          <w:sz w:val="21"/>
        </w:rPr>
        <w:t>Group entities. Compliance with the model and policies would be expected to be subject to internal audit review. The model and policies should be based on reasonable cost allocation principles. For example:</w:t>
      </w:r>
    </w:p>
    <w:p>
      <w:pPr>
        <w:pStyle w:val="ListParagraph"/>
        <w:numPr>
          <w:ilvl w:val="1"/>
          <w:numId w:val="4"/>
        </w:numPr>
        <w:tabs>
          <w:tab w:pos="960" w:val="left" w:leader="none"/>
          <w:tab w:pos="961" w:val="left" w:leader="none"/>
        </w:tabs>
        <w:spacing w:line="240" w:lineRule="auto" w:before="163" w:after="0"/>
        <w:ind w:left="960" w:right="0" w:hanging="428"/>
        <w:jc w:val="left"/>
        <w:rPr>
          <w:sz w:val="21"/>
        </w:rPr>
      </w:pPr>
      <w:r>
        <w:rPr>
          <w:spacing w:val="-4"/>
          <w:sz w:val="21"/>
        </w:rPr>
        <w:t>where</w:t>
      </w:r>
      <w:r>
        <w:rPr>
          <w:spacing w:val="-6"/>
          <w:sz w:val="21"/>
        </w:rPr>
        <w:t> </w:t>
      </w:r>
      <w:r>
        <w:rPr>
          <w:spacing w:val="-4"/>
          <w:sz w:val="21"/>
        </w:rPr>
        <w:t>possible,</w:t>
      </w:r>
      <w:r>
        <w:rPr>
          <w:spacing w:val="-1"/>
          <w:sz w:val="21"/>
        </w:rPr>
        <w:t> </w:t>
      </w:r>
      <w:r>
        <w:rPr>
          <w:spacing w:val="-4"/>
          <w:sz w:val="21"/>
        </w:rPr>
        <w:t>costs</w:t>
      </w:r>
      <w:r>
        <w:rPr>
          <w:spacing w:val="-2"/>
          <w:sz w:val="21"/>
        </w:rPr>
        <w:t> </w:t>
      </w:r>
      <w:r>
        <w:rPr>
          <w:spacing w:val="-4"/>
          <w:sz w:val="21"/>
        </w:rPr>
        <w:t>should</w:t>
      </w:r>
      <w:r>
        <w:rPr>
          <w:spacing w:val="-6"/>
          <w:sz w:val="21"/>
        </w:rPr>
        <w:t> </w:t>
      </w:r>
      <w:r>
        <w:rPr>
          <w:spacing w:val="-4"/>
          <w:sz w:val="21"/>
        </w:rPr>
        <w:t>be directly</w:t>
      </w:r>
      <w:r>
        <w:rPr>
          <w:spacing w:val="-3"/>
          <w:sz w:val="21"/>
        </w:rPr>
        <w:t> </w:t>
      </w:r>
      <w:r>
        <w:rPr>
          <w:spacing w:val="-4"/>
          <w:sz w:val="21"/>
        </w:rPr>
        <w:t>allocated to</w:t>
      </w:r>
      <w:r>
        <w:rPr>
          <w:spacing w:val="-2"/>
          <w:sz w:val="21"/>
        </w:rPr>
        <w:t> </w:t>
      </w:r>
      <w:r>
        <w:rPr>
          <w:spacing w:val="-4"/>
          <w:sz w:val="21"/>
        </w:rPr>
        <w:t>the</w:t>
      </w:r>
      <w:r>
        <w:rPr>
          <w:sz w:val="21"/>
        </w:rPr>
        <w:t> </w:t>
      </w:r>
      <w:r>
        <w:rPr>
          <w:spacing w:val="-4"/>
          <w:sz w:val="21"/>
        </w:rPr>
        <w:t>service(s)</w:t>
      </w:r>
      <w:r>
        <w:rPr>
          <w:spacing w:val="-2"/>
          <w:sz w:val="21"/>
        </w:rPr>
        <w:t> </w:t>
      </w:r>
      <w:r>
        <w:rPr>
          <w:spacing w:val="-4"/>
          <w:sz w:val="21"/>
        </w:rPr>
        <w:t>which</w:t>
      </w:r>
      <w:r>
        <w:rPr>
          <w:spacing w:val="-5"/>
          <w:sz w:val="21"/>
        </w:rPr>
        <w:t> </w:t>
      </w:r>
      <w:r>
        <w:rPr>
          <w:spacing w:val="-4"/>
          <w:sz w:val="21"/>
        </w:rPr>
        <w:t>give</w:t>
      </w:r>
      <w:r>
        <w:rPr>
          <w:spacing w:val="-5"/>
          <w:sz w:val="21"/>
        </w:rPr>
        <w:t> </w:t>
      </w:r>
      <w:r>
        <w:rPr>
          <w:spacing w:val="-4"/>
          <w:sz w:val="21"/>
        </w:rPr>
        <w:t>rise</w:t>
      </w:r>
      <w:r>
        <w:rPr>
          <w:spacing w:val="-3"/>
          <w:sz w:val="21"/>
        </w:rPr>
        <w:t> </w:t>
      </w:r>
      <w:r>
        <w:rPr>
          <w:spacing w:val="-4"/>
          <w:sz w:val="21"/>
        </w:rPr>
        <w:t>to</w:t>
      </w:r>
      <w:r>
        <w:rPr>
          <w:spacing w:val="-3"/>
          <w:sz w:val="21"/>
        </w:rPr>
        <w:t> </w:t>
      </w:r>
      <w:r>
        <w:rPr>
          <w:spacing w:val="-4"/>
          <w:sz w:val="21"/>
        </w:rPr>
        <w:t>those</w:t>
      </w:r>
      <w:r>
        <w:rPr>
          <w:spacing w:val="1"/>
          <w:sz w:val="21"/>
        </w:rPr>
        <w:t> </w:t>
      </w:r>
      <w:r>
        <w:rPr>
          <w:spacing w:val="-4"/>
          <w:sz w:val="21"/>
        </w:rPr>
        <w:t>costs</w:t>
      </w:r>
    </w:p>
    <w:p>
      <w:pPr>
        <w:pStyle w:val="ListParagraph"/>
        <w:numPr>
          <w:ilvl w:val="1"/>
          <w:numId w:val="4"/>
        </w:numPr>
        <w:tabs>
          <w:tab w:pos="960" w:val="left" w:leader="none"/>
          <w:tab w:pos="961" w:val="left" w:leader="none"/>
        </w:tabs>
        <w:spacing w:line="240" w:lineRule="auto" w:before="174" w:after="0"/>
        <w:ind w:left="960" w:right="0" w:hanging="428"/>
        <w:jc w:val="left"/>
        <w:rPr>
          <w:sz w:val="21"/>
        </w:rPr>
      </w:pPr>
      <w:r>
        <w:rPr>
          <w:spacing w:val="-2"/>
          <w:sz w:val="21"/>
        </w:rPr>
        <w:t>shared</w:t>
      </w:r>
      <w:r>
        <w:rPr>
          <w:spacing w:val="-11"/>
          <w:sz w:val="21"/>
        </w:rPr>
        <w:t> </w:t>
      </w:r>
      <w:r>
        <w:rPr>
          <w:spacing w:val="-2"/>
          <w:sz w:val="21"/>
        </w:rPr>
        <w:t>costs</w:t>
      </w:r>
      <w:r>
        <w:rPr>
          <w:spacing w:val="-9"/>
          <w:sz w:val="21"/>
        </w:rPr>
        <w:t> </w:t>
      </w:r>
      <w:r>
        <w:rPr>
          <w:spacing w:val="-2"/>
          <w:sz w:val="21"/>
        </w:rPr>
        <w:t>should</w:t>
      </w:r>
      <w:r>
        <w:rPr>
          <w:spacing w:val="-8"/>
          <w:sz w:val="21"/>
        </w:rPr>
        <w:t> </w:t>
      </w:r>
      <w:r>
        <w:rPr>
          <w:spacing w:val="-2"/>
          <w:sz w:val="21"/>
        </w:rPr>
        <w:t>be</w:t>
      </w:r>
      <w:r>
        <w:rPr>
          <w:spacing w:val="-7"/>
          <w:sz w:val="21"/>
        </w:rPr>
        <w:t> </w:t>
      </w:r>
      <w:r>
        <w:rPr>
          <w:spacing w:val="-2"/>
          <w:sz w:val="21"/>
        </w:rPr>
        <w:t>allocated</w:t>
      </w:r>
      <w:r>
        <w:rPr>
          <w:spacing w:val="-8"/>
          <w:sz w:val="21"/>
        </w:rPr>
        <w:t> </w:t>
      </w:r>
      <w:r>
        <w:rPr>
          <w:spacing w:val="-2"/>
          <w:sz w:val="21"/>
        </w:rPr>
        <w:t>based</w:t>
      </w:r>
      <w:r>
        <w:rPr>
          <w:spacing w:val="-9"/>
          <w:sz w:val="21"/>
        </w:rPr>
        <w:t> </w:t>
      </w:r>
      <w:r>
        <w:rPr>
          <w:spacing w:val="-2"/>
          <w:sz w:val="21"/>
        </w:rPr>
        <w:t>on</w:t>
      </w:r>
      <w:r>
        <w:rPr>
          <w:spacing w:val="-8"/>
          <w:sz w:val="21"/>
        </w:rPr>
        <w:t> </w:t>
      </w:r>
      <w:r>
        <w:rPr>
          <w:spacing w:val="-2"/>
          <w:sz w:val="21"/>
        </w:rPr>
        <w:t>appropriate</w:t>
      </w:r>
      <w:r>
        <w:rPr>
          <w:spacing w:val="-7"/>
          <w:sz w:val="21"/>
        </w:rPr>
        <w:t> </w:t>
      </w:r>
      <w:r>
        <w:rPr>
          <w:spacing w:val="-2"/>
          <w:sz w:val="21"/>
        </w:rPr>
        <w:t>and</w:t>
      </w:r>
      <w:r>
        <w:rPr>
          <w:spacing w:val="-8"/>
          <w:sz w:val="21"/>
        </w:rPr>
        <w:t> </w:t>
      </w:r>
      <w:r>
        <w:rPr>
          <w:spacing w:val="-2"/>
          <w:sz w:val="21"/>
        </w:rPr>
        <w:t>transparent</w:t>
      </w:r>
      <w:r>
        <w:rPr>
          <w:spacing w:val="-9"/>
          <w:sz w:val="21"/>
        </w:rPr>
        <w:t> </w:t>
      </w:r>
      <w:r>
        <w:rPr>
          <w:spacing w:val="-2"/>
          <w:sz w:val="21"/>
        </w:rPr>
        <w:t>metrics.</w:t>
      </w:r>
    </w:p>
    <w:p>
      <w:pPr>
        <w:pStyle w:val="ListParagraph"/>
        <w:numPr>
          <w:ilvl w:val="0"/>
          <w:numId w:val="4"/>
        </w:numPr>
        <w:tabs>
          <w:tab w:pos="536" w:val="left" w:leader="none"/>
        </w:tabs>
        <w:spacing w:line="252" w:lineRule="auto" w:before="173" w:after="0"/>
        <w:ind w:left="535" w:right="103" w:hanging="428"/>
        <w:jc w:val="both"/>
        <w:rPr>
          <w:sz w:val="21"/>
        </w:rPr>
      </w:pPr>
      <w:r>
        <w:rPr>
          <w:sz w:val="21"/>
        </w:rPr>
        <w:t>ASX</w:t>
      </w:r>
      <w:r>
        <w:rPr>
          <w:spacing w:val="35"/>
          <w:sz w:val="21"/>
        </w:rPr>
        <w:t> </w:t>
      </w:r>
      <w:r>
        <w:rPr>
          <w:sz w:val="21"/>
        </w:rPr>
        <w:t>should</w:t>
      </w:r>
      <w:r>
        <w:rPr>
          <w:spacing w:val="34"/>
          <w:sz w:val="21"/>
        </w:rPr>
        <w:t> </w:t>
      </w:r>
      <w:r>
        <w:rPr>
          <w:sz w:val="21"/>
        </w:rPr>
        <w:t>negotiate</w:t>
      </w:r>
      <w:r>
        <w:rPr>
          <w:spacing w:val="35"/>
          <w:sz w:val="21"/>
        </w:rPr>
        <w:t> </w:t>
      </w:r>
      <w:r>
        <w:rPr>
          <w:sz w:val="21"/>
        </w:rPr>
        <w:t>commercially</w:t>
      </w:r>
      <w:r>
        <w:rPr>
          <w:spacing w:val="35"/>
          <w:sz w:val="21"/>
        </w:rPr>
        <w:t> </w:t>
      </w:r>
      <w:r>
        <w:rPr>
          <w:sz w:val="21"/>
        </w:rPr>
        <w:t>and</w:t>
      </w:r>
      <w:r>
        <w:rPr>
          <w:spacing w:val="34"/>
          <w:sz w:val="21"/>
        </w:rPr>
        <w:t> </w:t>
      </w:r>
      <w:r>
        <w:rPr>
          <w:sz w:val="21"/>
        </w:rPr>
        <w:t>in</w:t>
      </w:r>
      <w:r>
        <w:rPr>
          <w:spacing w:val="34"/>
          <w:sz w:val="21"/>
        </w:rPr>
        <w:t> </w:t>
      </w:r>
      <w:r>
        <w:rPr>
          <w:sz w:val="21"/>
        </w:rPr>
        <w:t>good</w:t>
      </w:r>
      <w:r>
        <w:rPr>
          <w:spacing w:val="34"/>
          <w:sz w:val="21"/>
        </w:rPr>
        <w:t> </w:t>
      </w:r>
      <w:r>
        <w:rPr>
          <w:sz w:val="21"/>
        </w:rPr>
        <w:t>faith</w:t>
      </w:r>
      <w:r>
        <w:rPr>
          <w:spacing w:val="34"/>
          <w:sz w:val="21"/>
        </w:rPr>
        <w:t> </w:t>
      </w:r>
      <w:r>
        <w:rPr>
          <w:sz w:val="21"/>
        </w:rPr>
        <w:t>with</w:t>
      </w:r>
      <w:r>
        <w:rPr>
          <w:spacing w:val="34"/>
          <w:sz w:val="21"/>
        </w:rPr>
        <w:t> </w:t>
      </w:r>
      <w:r>
        <w:rPr>
          <w:sz w:val="21"/>
        </w:rPr>
        <w:t>unaffiliated</w:t>
      </w:r>
      <w:r>
        <w:rPr>
          <w:spacing w:val="34"/>
          <w:sz w:val="21"/>
        </w:rPr>
        <w:t> </w:t>
      </w:r>
      <w:r>
        <w:rPr>
          <w:sz w:val="21"/>
        </w:rPr>
        <w:t>market</w:t>
      </w:r>
      <w:r>
        <w:rPr>
          <w:spacing w:val="33"/>
          <w:sz w:val="21"/>
        </w:rPr>
        <w:t> </w:t>
      </w:r>
      <w:r>
        <w:rPr>
          <w:sz w:val="21"/>
        </w:rPr>
        <w:t>operators</w:t>
      </w:r>
      <w:r>
        <w:rPr>
          <w:spacing w:val="34"/>
          <w:sz w:val="21"/>
        </w:rPr>
        <w:t> </w:t>
      </w:r>
      <w:r>
        <w:rPr>
          <w:sz w:val="21"/>
        </w:rPr>
        <w:t>and CS</w:t>
      </w:r>
      <w:r>
        <w:rPr>
          <w:spacing w:val="-2"/>
          <w:sz w:val="21"/>
        </w:rPr>
        <w:t> </w:t>
      </w:r>
      <w:r>
        <w:rPr>
          <w:sz w:val="21"/>
        </w:rPr>
        <w:t>facilities regarding fees and other financial contributions charged for any extensions to its monopoly CS services, and in particular those provided under the existing Trade Acceptance Service and the Settlement Facilitation Service.</w:t>
      </w:r>
    </w:p>
    <w:p>
      <w:pPr>
        <w:pStyle w:val="BodyText"/>
        <w:spacing w:before="5"/>
        <w:rPr>
          <w:sz w:val="22"/>
        </w:rPr>
      </w:pPr>
    </w:p>
    <w:p>
      <w:pPr>
        <w:pStyle w:val="Heading2"/>
        <w:numPr>
          <w:ilvl w:val="0"/>
          <w:numId w:val="2"/>
        </w:numPr>
        <w:tabs>
          <w:tab w:pos="816" w:val="left" w:leader="none"/>
          <w:tab w:pos="817" w:val="left" w:leader="none"/>
        </w:tabs>
        <w:spacing w:line="377" w:lineRule="exact" w:before="0" w:after="0"/>
        <w:ind w:left="816" w:right="0" w:hanging="709"/>
        <w:jc w:val="left"/>
      </w:pPr>
      <w:bookmarkStart w:name="3. Commercial, transparent and non-discr" w:id="6"/>
      <w:bookmarkEnd w:id="6"/>
      <w:r>
        <w:rPr>
          <w:color w:val="007698"/>
        </w:rPr>
        <w:t>Co</w:t>
      </w:r>
      <w:r>
        <w:rPr>
          <w:color w:val="007698"/>
        </w:rPr>
        <w:t>mmercial,</w:t>
      </w:r>
      <w:r>
        <w:rPr>
          <w:color w:val="007698"/>
          <w:spacing w:val="-10"/>
        </w:rPr>
        <w:t> </w:t>
      </w:r>
      <w:r>
        <w:rPr>
          <w:color w:val="007698"/>
        </w:rPr>
        <w:t>transparent</w:t>
      </w:r>
      <w:r>
        <w:rPr>
          <w:color w:val="007698"/>
          <w:spacing w:val="-7"/>
        </w:rPr>
        <w:t> </w:t>
      </w:r>
      <w:r>
        <w:rPr>
          <w:color w:val="007698"/>
        </w:rPr>
        <w:t>and</w:t>
      </w:r>
      <w:r>
        <w:rPr>
          <w:color w:val="007698"/>
          <w:spacing w:val="-8"/>
        </w:rPr>
        <w:t> </w:t>
      </w:r>
      <w:r>
        <w:rPr>
          <w:color w:val="007698"/>
        </w:rPr>
        <w:t>non-discriminatory</w:t>
      </w:r>
      <w:r>
        <w:rPr>
          <w:color w:val="007698"/>
          <w:spacing w:val="-10"/>
        </w:rPr>
        <w:t> </w:t>
      </w:r>
      <w:r>
        <w:rPr>
          <w:color w:val="007698"/>
        </w:rPr>
        <w:t>access</w:t>
      </w:r>
      <w:r>
        <w:rPr>
          <w:color w:val="007698"/>
          <w:spacing w:val="-6"/>
        </w:rPr>
        <w:t> </w:t>
      </w:r>
      <w:r>
        <w:rPr>
          <w:color w:val="007698"/>
          <w:spacing w:val="-5"/>
        </w:rPr>
        <w:t>to</w:t>
      </w:r>
    </w:p>
    <w:p>
      <w:pPr>
        <w:spacing w:line="377" w:lineRule="exact" w:before="0"/>
        <w:ind w:left="108" w:right="0" w:firstLine="0"/>
        <w:jc w:val="both"/>
        <w:rPr>
          <w:rFonts w:ascii="Palatino Linotype" w:hAnsi="Palatino Linotype"/>
          <w:sz w:val="28"/>
        </w:rPr>
      </w:pPr>
      <w:r>
        <w:rPr>
          <w:rFonts w:ascii="Palatino Linotype" w:hAnsi="Palatino Linotype"/>
          <w:color w:val="007698"/>
          <w:sz w:val="28"/>
        </w:rPr>
        <w:t>CS</w:t>
      </w:r>
      <w:r>
        <w:rPr>
          <w:rFonts w:ascii="Palatino Linotype" w:hAnsi="Palatino Linotype"/>
          <w:color w:val="007698"/>
          <w:spacing w:val="-7"/>
          <w:sz w:val="28"/>
        </w:rPr>
        <w:t> </w:t>
      </w:r>
      <w:r>
        <w:rPr>
          <w:rFonts w:ascii="Palatino Linotype" w:hAnsi="Palatino Linotype"/>
          <w:color w:val="007698"/>
          <w:sz w:val="28"/>
        </w:rPr>
        <w:t>services</w:t>
      </w:r>
      <w:r>
        <w:rPr>
          <w:rFonts w:ascii="Palatino Linotype" w:hAnsi="Palatino Linotype"/>
          <w:color w:val="007698"/>
          <w:spacing w:val="-5"/>
          <w:sz w:val="28"/>
        </w:rPr>
        <w:t> </w:t>
      </w:r>
      <w:r>
        <w:rPr>
          <w:rFonts w:ascii="Palatino Linotype" w:hAnsi="Palatino Linotype"/>
          <w:color w:val="007698"/>
          <w:sz w:val="28"/>
        </w:rPr>
        <w:t>–</w:t>
      </w:r>
      <w:r>
        <w:rPr>
          <w:rFonts w:ascii="Palatino Linotype" w:hAnsi="Palatino Linotype"/>
          <w:color w:val="007698"/>
          <w:spacing w:val="-3"/>
          <w:sz w:val="28"/>
        </w:rPr>
        <w:t> </w:t>
      </w:r>
      <w:r>
        <w:rPr>
          <w:rFonts w:ascii="Palatino Linotype" w:hAnsi="Palatino Linotype"/>
          <w:color w:val="007698"/>
          <w:sz w:val="28"/>
        </w:rPr>
        <w:t>service</w:t>
      </w:r>
      <w:r>
        <w:rPr>
          <w:rFonts w:ascii="Palatino Linotype" w:hAnsi="Palatino Linotype"/>
          <w:color w:val="007698"/>
          <w:spacing w:val="-3"/>
          <w:sz w:val="28"/>
        </w:rPr>
        <w:t> </w:t>
      </w:r>
      <w:r>
        <w:rPr>
          <w:rFonts w:ascii="Palatino Linotype" w:hAnsi="Palatino Linotype"/>
          <w:color w:val="007698"/>
          <w:sz w:val="28"/>
        </w:rPr>
        <w:t>levels,</w:t>
      </w:r>
      <w:r>
        <w:rPr>
          <w:rFonts w:ascii="Palatino Linotype" w:hAnsi="Palatino Linotype"/>
          <w:color w:val="007698"/>
          <w:spacing w:val="-4"/>
          <w:sz w:val="28"/>
        </w:rPr>
        <w:t> </w:t>
      </w:r>
      <w:r>
        <w:rPr>
          <w:rFonts w:ascii="Palatino Linotype" w:hAnsi="Palatino Linotype"/>
          <w:color w:val="007698"/>
          <w:sz w:val="28"/>
        </w:rPr>
        <w:t>information</w:t>
      </w:r>
      <w:r>
        <w:rPr>
          <w:rFonts w:ascii="Palatino Linotype" w:hAnsi="Palatino Linotype"/>
          <w:color w:val="007698"/>
          <w:spacing w:val="-4"/>
          <w:sz w:val="28"/>
        </w:rPr>
        <w:t> </w:t>
      </w:r>
      <w:r>
        <w:rPr>
          <w:rFonts w:ascii="Palatino Linotype" w:hAnsi="Palatino Linotype"/>
          <w:color w:val="007698"/>
          <w:sz w:val="28"/>
        </w:rPr>
        <w:t>handling</w:t>
      </w:r>
      <w:r>
        <w:rPr>
          <w:rFonts w:ascii="Palatino Linotype" w:hAnsi="Palatino Linotype"/>
          <w:color w:val="007698"/>
          <w:spacing w:val="-4"/>
          <w:sz w:val="28"/>
        </w:rPr>
        <w:t> </w:t>
      </w:r>
      <w:r>
        <w:rPr>
          <w:rFonts w:ascii="Palatino Linotype" w:hAnsi="Palatino Linotype"/>
          <w:color w:val="007698"/>
          <w:sz w:val="28"/>
        </w:rPr>
        <w:t>and</w:t>
      </w:r>
      <w:r>
        <w:rPr>
          <w:rFonts w:ascii="Palatino Linotype" w:hAnsi="Palatino Linotype"/>
          <w:color w:val="007698"/>
          <w:spacing w:val="-4"/>
          <w:sz w:val="28"/>
        </w:rPr>
        <w:t> </w:t>
      </w:r>
      <w:r>
        <w:rPr>
          <w:rFonts w:ascii="Palatino Linotype" w:hAnsi="Palatino Linotype"/>
          <w:color w:val="007698"/>
          <w:spacing w:val="-2"/>
          <w:sz w:val="28"/>
        </w:rPr>
        <w:t>confidentiality</w:t>
      </w:r>
    </w:p>
    <w:p>
      <w:pPr>
        <w:pStyle w:val="BodyText"/>
        <w:spacing w:line="252" w:lineRule="auto" w:before="132"/>
        <w:ind w:left="109" w:right="101" w:hanging="1"/>
        <w:jc w:val="both"/>
      </w:pPr>
      <w:r>
        <w:rPr/>
        <w:t>ASX should facilitate access to its cash equity CS services (including data) on commercial, transparent and non-discriminatory terms. Non-discriminatory terms in this context are terms that do not discriminate in favour of ASX-affiliated entities (except to the extent that the cost of providing the same service to another party is higher). As part of this:</w:t>
      </w:r>
    </w:p>
    <w:p>
      <w:pPr>
        <w:pStyle w:val="ListParagraph"/>
        <w:numPr>
          <w:ilvl w:val="0"/>
          <w:numId w:val="5"/>
        </w:numPr>
        <w:tabs>
          <w:tab w:pos="537" w:val="left" w:leader="none"/>
        </w:tabs>
        <w:spacing w:line="252" w:lineRule="auto" w:before="164" w:after="0"/>
        <w:ind w:left="536" w:right="102" w:hanging="428"/>
        <w:jc w:val="both"/>
        <w:rPr>
          <w:sz w:val="21"/>
        </w:rPr>
      </w:pPr>
      <w:r>
        <w:rPr>
          <w:sz w:val="21"/>
        </w:rPr>
        <w:t>ASX should have objectives for its CS services that include an explicit public overarching commitment to supporting access to its CS services on commercial, transparent and non- discriminatory terms. ASX should maintain standard user terms and conditions that are</w:t>
      </w:r>
      <w:r>
        <w:rPr>
          <w:spacing w:val="40"/>
          <w:sz w:val="21"/>
        </w:rPr>
        <w:t> </w:t>
      </w:r>
      <w:r>
        <w:rPr>
          <w:sz w:val="21"/>
        </w:rPr>
        <w:t>consistent</w:t>
      </w:r>
      <w:r>
        <w:rPr>
          <w:spacing w:val="-1"/>
          <w:sz w:val="21"/>
        </w:rPr>
        <w:t> </w:t>
      </w:r>
      <w:r>
        <w:rPr>
          <w:sz w:val="21"/>
        </w:rPr>
        <w:t>with these objectives, taking into account</w:t>
      </w:r>
      <w:r>
        <w:rPr>
          <w:spacing w:val="-1"/>
          <w:sz w:val="21"/>
        </w:rPr>
        <w:t> </w:t>
      </w:r>
      <w:r>
        <w:rPr>
          <w:sz w:val="21"/>
        </w:rPr>
        <w:t>the legitimate business interests</w:t>
      </w:r>
      <w:r>
        <w:rPr>
          <w:spacing w:val="-1"/>
          <w:sz w:val="21"/>
        </w:rPr>
        <w:t> </w:t>
      </w:r>
      <w:r>
        <w:rPr>
          <w:sz w:val="21"/>
        </w:rPr>
        <w:t>of ASX and any parties seeking access to its CS services.</w:t>
      </w:r>
    </w:p>
    <w:p>
      <w:pPr>
        <w:pStyle w:val="ListParagraph"/>
        <w:numPr>
          <w:ilvl w:val="0"/>
          <w:numId w:val="5"/>
        </w:numPr>
        <w:tabs>
          <w:tab w:pos="537" w:val="left" w:leader="none"/>
        </w:tabs>
        <w:spacing w:line="252" w:lineRule="auto" w:before="164" w:after="0"/>
        <w:ind w:left="536" w:right="100" w:hanging="428"/>
        <w:jc w:val="both"/>
        <w:rPr>
          <w:sz w:val="21"/>
        </w:rPr>
      </w:pPr>
      <w:r>
        <w:rPr>
          <w:sz w:val="21"/>
        </w:rPr>
        <w:t>Service level</w:t>
      </w:r>
      <w:r>
        <w:rPr>
          <w:spacing w:val="-2"/>
          <w:sz w:val="21"/>
        </w:rPr>
        <w:t> </w:t>
      </w:r>
      <w:r>
        <w:rPr>
          <w:sz w:val="21"/>
        </w:rPr>
        <w:t>agreements</w:t>
      </w:r>
      <w:r>
        <w:rPr>
          <w:spacing w:val="-1"/>
          <w:sz w:val="21"/>
        </w:rPr>
        <w:t> </w:t>
      </w:r>
      <w:r>
        <w:rPr>
          <w:sz w:val="21"/>
        </w:rPr>
        <w:t>should commit</w:t>
      </w:r>
      <w:r>
        <w:rPr>
          <w:spacing w:val="-1"/>
          <w:sz w:val="21"/>
        </w:rPr>
        <w:t> </w:t>
      </w:r>
      <w:r>
        <w:rPr>
          <w:sz w:val="21"/>
        </w:rPr>
        <w:t>ASX to providing access</w:t>
      </w:r>
      <w:r>
        <w:rPr>
          <w:spacing w:val="-1"/>
          <w:sz w:val="21"/>
        </w:rPr>
        <w:t> </w:t>
      </w:r>
      <w:r>
        <w:rPr>
          <w:sz w:val="21"/>
        </w:rPr>
        <w:t>to its</w:t>
      </w:r>
      <w:r>
        <w:rPr>
          <w:spacing w:val="-1"/>
          <w:sz w:val="21"/>
        </w:rPr>
        <w:t> </w:t>
      </w:r>
      <w:r>
        <w:rPr>
          <w:sz w:val="21"/>
        </w:rPr>
        <w:t>CS</w:t>
      </w:r>
      <w:r>
        <w:rPr>
          <w:spacing w:val="-1"/>
          <w:sz w:val="21"/>
        </w:rPr>
        <w:t> </w:t>
      </w:r>
      <w:r>
        <w:rPr>
          <w:sz w:val="21"/>
        </w:rPr>
        <w:t>services</w:t>
      </w:r>
      <w:r>
        <w:rPr>
          <w:spacing w:val="-3"/>
          <w:sz w:val="21"/>
        </w:rPr>
        <w:t> </w:t>
      </w:r>
      <w:r>
        <w:rPr>
          <w:sz w:val="21"/>
        </w:rPr>
        <w:t>for unaffiliated market operators and CS facilities on operational and commercial terms and service levels that are materially equivalent to those that apply to ASX as a market operator or CS facility.</w:t>
      </w:r>
    </w:p>
    <w:p>
      <w:pPr>
        <w:spacing w:after="0" w:line="252" w:lineRule="auto"/>
        <w:jc w:val="both"/>
        <w:rPr>
          <w:sz w:val="21"/>
        </w:rPr>
        <w:sectPr>
          <w:pgSz w:w="11910" w:h="16840"/>
          <w:pgMar w:header="0" w:footer="653" w:top="1580" w:bottom="840" w:left="1480" w:right="1480"/>
        </w:sectPr>
      </w:pPr>
    </w:p>
    <w:p>
      <w:pPr>
        <w:pStyle w:val="ListParagraph"/>
        <w:numPr>
          <w:ilvl w:val="0"/>
          <w:numId w:val="5"/>
        </w:numPr>
        <w:tabs>
          <w:tab w:pos="537" w:val="left" w:leader="none"/>
        </w:tabs>
        <w:spacing w:line="252" w:lineRule="auto" w:before="114" w:after="0"/>
        <w:ind w:left="536" w:right="102" w:hanging="428"/>
        <w:jc w:val="both"/>
        <w:rPr>
          <w:sz w:val="21"/>
        </w:rPr>
      </w:pPr>
      <w:r>
        <w:rPr>
          <w:sz w:val="21"/>
        </w:rPr>
        <w:t>ASX should publish and adhere to protocols for dealing fairly and in a timely manner with requests for access. These protocols should include reasonable timeframes for responding to enquiries and arrangements for dealing with disputes. Nothing in the protocols should affect either party’s right to refer a dispute to arbitration by the ACCC once the arbitration regime is </w:t>
      </w:r>
      <w:r>
        <w:rPr>
          <w:spacing w:val="-2"/>
          <w:sz w:val="21"/>
        </w:rPr>
        <w:t>implemented.</w:t>
      </w:r>
    </w:p>
    <w:p>
      <w:pPr>
        <w:pStyle w:val="ListParagraph"/>
        <w:numPr>
          <w:ilvl w:val="0"/>
          <w:numId w:val="5"/>
        </w:numPr>
        <w:tabs>
          <w:tab w:pos="536" w:val="left" w:leader="none"/>
        </w:tabs>
        <w:spacing w:line="252" w:lineRule="auto" w:before="164" w:after="0"/>
        <w:ind w:left="535" w:right="103" w:hanging="428"/>
        <w:jc w:val="both"/>
        <w:rPr>
          <w:sz w:val="21"/>
        </w:rPr>
      </w:pPr>
      <w:r>
        <w:rPr>
          <w:sz w:val="21"/>
        </w:rPr>
        <w:t>ASX should make an explicit commitment to ensuring that any investments in the systems and technology</w:t>
      </w:r>
      <w:r>
        <w:rPr>
          <w:spacing w:val="-8"/>
          <w:sz w:val="21"/>
        </w:rPr>
        <w:t> </w:t>
      </w:r>
      <w:r>
        <w:rPr>
          <w:sz w:val="21"/>
        </w:rPr>
        <w:t>that</w:t>
      </w:r>
      <w:r>
        <w:rPr>
          <w:spacing w:val="-10"/>
          <w:sz w:val="21"/>
        </w:rPr>
        <w:t> </w:t>
      </w:r>
      <w:r>
        <w:rPr>
          <w:sz w:val="21"/>
        </w:rPr>
        <w:t>support</w:t>
      </w:r>
      <w:r>
        <w:rPr>
          <w:spacing w:val="-10"/>
          <w:sz w:val="21"/>
        </w:rPr>
        <w:t> </w:t>
      </w:r>
      <w:r>
        <w:rPr>
          <w:sz w:val="21"/>
        </w:rPr>
        <w:t>its</w:t>
      </w:r>
      <w:r>
        <w:rPr>
          <w:spacing w:val="-10"/>
          <w:sz w:val="21"/>
        </w:rPr>
        <w:t> </w:t>
      </w:r>
      <w:r>
        <w:rPr>
          <w:sz w:val="21"/>
        </w:rPr>
        <w:t>cash</w:t>
      </w:r>
      <w:r>
        <w:rPr>
          <w:spacing w:val="-9"/>
          <w:sz w:val="21"/>
        </w:rPr>
        <w:t> </w:t>
      </w:r>
      <w:r>
        <w:rPr>
          <w:sz w:val="21"/>
        </w:rPr>
        <w:t>equity</w:t>
      </w:r>
      <w:r>
        <w:rPr>
          <w:spacing w:val="-8"/>
          <w:sz w:val="21"/>
        </w:rPr>
        <w:t> </w:t>
      </w:r>
      <w:r>
        <w:rPr>
          <w:sz w:val="21"/>
        </w:rPr>
        <w:t>CS</w:t>
      </w:r>
      <w:r>
        <w:rPr>
          <w:spacing w:val="-7"/>
          <w:sz w:val="21"/>
        </w:rPr>
        <w:t> </w:t>
      </w:r>
      <w:r>
        <w:rPr>
          <w:sz w:val="21"/>
        </w:rPr>
        <w:t>services</w:t>
      </w:r>
      <w:r>
        <w:rPr>
          <w:spacing w:val="-10"/>
          <w:sz w:val="21"/>
        </w:rPr>
        <w:t> </w:t>
      </w:r>
      <w:r>
        <w:rPr>
          <w:sz w:val="21"/>
        </w:rPr>
        <w:t>do</w:t>
      </w:r>
      <w:r>
        <w:rPr>
          <w:spacing w:val="-10"/>
          <w:sz w:val="21"/>
        </w:rPr>
        <w:t> </w:t>
      </w:r>
      <w:r>
        <w:rPr>
          <w:sz w:val="21"/>
        </w:rPr>
        <w:t>not</w:t>
      </w:r>
      <w:r>
        <w:rPr>
          <w:spacing w:val="-7"/>
          <w:sz w:val="21"/>
        </w:rPr>
        <w:t> </w:t>
      </w:r>
      <w:r>
        <w:rPr>
          <w:sz w:val="21"/>
        </w:rPr>
        <w:t>raise</w:t>
      </w:r>
      <w:r>
        <w:rPr>
          <w:spacing w:val="-8"/>
          <w:sz w:val="21"/>
        </w:rPr>
        <w:t> </w:t>
      </w:r>
      <w:r>
        <w:rPr>
          <w:sz w:val="21"/>
        </w:rPr>
        <w:t>barriers</w:t>
      </w:r>
      <w:r>
        <w:rPr>
          <w:spacing w:val="-10"/>
          <w:sz w:val="21"/>
        </w:rPr>
        <w:t> </w:t>
      </w:r>
      <w:r>
        <w:rPr>
          <w:sz w:val="21"/>
        </w:rPr>
        <w:t>to</w:t>
      </w:r>
      <w:r>
        <w:rPr>
          <w:spacing w:val="-10"/>
          <w:sz w:val="21"/>
        </w:rPr>
        <w:t> </w:t>
      </w:r>
      <w:r>
        <w:rPr>
          <w:sz w:val="21"/>
        </w:rPr>
        <w:t>access</w:t>
      </w:r>
      <w:r>
        <w:rPr>
          <w:spacing w:val="-10"/>
          <w:sz w:val="21"/>
        </w:rPr>
        <w:t> </w:t>
      </w:r>
      <w:r>
        <w:rPr>
          <w:sz w:val="21"/>
        </w:rPr>
        <w:t>from</w:t>
      </w:r>
      <w:r>
        <w:rPr>
          <w:spacing w:val="-7"/>
          <w:sz w:val="21"/>
        </w:rPr>
        <w:t> </w:t>
      </w:r>
      <w:r>
        <w:rPr>
          <w:sz w:val="21"/>
        </w:rPr>
        <w:t>unaffiliated market</w:t>
      </w:r>
      <w:r>
        <w:rPr>
          <w:spacing w:val="-4"/>
          <w:sz w:val="21"/>
        </w:rPr>
        <w:t> </w:t>
      </w:r>
      <w:r>
        <w:rPr>
          <w:sz w:val="21"/>
        </w:rPr>
        <w:t>operators</w:t>
      </w:r>
      <w:r>
        <w:rPr>
          <w:spacing w:val="-4"/>
          <w:sz w:val="21"/>
        </w:rPr>
        <w:t> </w:t>
      </w:r>
      <w:r>
        <w:rPr>
          <w:sz w:val="21"/>
        </w:rPr>
        <w:t>or</w:t>
      </w:r>
      <w:r>
        <w:rPr>
          <w:spacing w:val="-3"/>
          <w:sz w:val="21"/>
        </w:rPr>
        <w:t> </w:t>
      </w:r>
      <w:r>
        <w:rPr>
          <w:sz w:val="21"/>
        </w:rPr>
        <w:t>CS</w:t>
      </w:r>
      <w:r>
        <w:rPr>
          <w:spacing w:val="-4"/>
          <w:sz w:val="21"/>
        </w:rPr>
        <w:t> </w:t>
      </w:r>
      <w:r>
        <w:rPr>
          <w:sz w:val="21"/>
        </w:rPr>
        <w:t>facilities.</w:t>
      </w:r>
      <w:r>
        <w:rPr>
          <w:spacing w:val="-4"/>
          <w:sz w:val="21"/>
        </w:rPr>
        <w:t> </w:t>
      </w:r>
      <w:r>
        <w:rPr>
          <w:sz w:val="21"/>
        </w:rPr>
        <w:t>Announcements</w:t>
      </w:r>
      <w:r>
        <w:rPr>
          <w:spacing w:val="-2"/>
          <w:sz w:val="21"/>
        </w:rPr>
        <w:t> </w:t>
      </w:r>
      <w:r>
        <w:rPr>
          <w:sz w:val="21"/>
        </w:rPr>
        <w:t>of</w:t>
      </w:r>
      <w:r>
        <w:rPr>
          <w:spacing w:val="-3"/>
          <w:sz w:val="21"/>
        </w:rPr>
        <w:t> </w:t>
      </w:r>
      <w:r>
        <w:rPr>
          <w:sz w:val="21"/>
        </w:rPr>
        <w:t>any</w:t>
      </w:r>
      <w:r>
        <w:rPr>
          <w:spacing w:val="-1"/>
          <w:sz w:val="21"/>
        </w:rPr>
        <w:t> </w:t>
      </w:r>
      <w:r>
        <w:rPr>
          <w:sz w:val="21"/>
        </w:rPr>
        <w:t>material</w:t>
      </w:r>
      <w:r>
        <w:rPr>
          <w:spacing w:val="-4"/>
          <w:sz w:val="21"/>
        </w:rPr>
        <w:t> </w:t>
      </w:r>
      <w:r>
        <w:rPr>
          <w:sz w:val="21"/>
        </w:rPr>
        <w:t>investments</w:t>
      </w:r>
      <w:r>
        <w:rPr>
          <w:spacing w:val="-4"/>
          <w:sz w:val="21"/>
        </w:rPr>
        <w:t> </w:t>
      </w:r>
      <w:r>
        <w:rPr>
          <w:sz w:val="21"/>
        </w:rPr>
        <w:t>in</w:t>
      </w:r>
      <w:r>
        <w:rPr>
          <w:spacing w:val="-4"/>
          <w:sz w:val="21"/>
        </w:rPr>
        <w:t> </w:t>
      </w:r>
      <w:r>
        <w:rPr>
          <w:sz w:val="21"/>
        </w:rPr>
        <w:t>the</w:t>
      </w:r>
      <w:r>
        <w:rPr>
          <w:spacing w:val="-1"/>
          <w:sz w:val="21"/>
        </w:rPr>
        <w:t> </w:t>
      </w:r>
      <w:r>
        <w:rPr>
          <w:sz w:val="21"/>
        </w:rPr>
        <w:t>systems</w:t>
      </w:r>
      <w:r>
        <w:rPr>
          <w:spacing w:val="-4"/>
          <w:sz w:val="21"/>
        </w:rPr>
        <w:t> </w:t>
      </w:r>
      <w:r>
        <w:rPr>
          <w:sz w:val="21"/>
        </w:rPr>
        <w:t>and technology that support ASX’s cash equity CS services should be accompanied by a public attestation</w:t>
      </w:r>
      <w:r>
        <w:rPr>
          <w:spacing w:val="-5"/>
          <w:sz w:val="21"/>
        </w:rPr>
        <w:t> </w:t>
      </w:r>
      <w:r>
        <w:rPr>
          <w:sz w:val="21"/>
        </w:rPr>
        <w:t>that</w:t>
      </w:r>
      <w:r>
        <w:rPr>
          <w:spacing w:val="-6"/>
          <w:sz w:val="21"/>
        </w:rPr>
        <w:t> </w:t>
      </w:r>
      <w:r>
        <w:rPr>
          <w:sz w:val="21"/>
        </w:rPr>
        <w:t>those</w:t>
      </w:r>
      <w:r>
        <w:rPr>
          <w:spacing w:val="-4"/>
          <w:sz w:val="21"/>
        </w:rPr>
        <w:t> </w:t>
      </w:r>
      <w:r>
        <w:rPr>
          <w:sz w:val="21"/>
        </w:rPr>
        <w:t>investments</w:t>
      </w:r>
      <w:r>
        <w:rPr>
          <w:spacing w:val="-6"/>
          <w:sz w:val="21"/>
        </w:rPr>
        <w:t> </w:t>
      </w:r>
      <w:r>
        <w:rPr>
          <w:sz w:val="21"/>
        </w:rPr>
        <w:t>will</w:t>
      </w:r>
      <w:r>
        <w:rPr>
          <w:spacing w:val="-5"/>
          <w:sz w:val="21"/>
        </w:rPr>
        <w:t> </w:t>
      </w:r>
      <w:r>
        <w:rPr>
          <w:sz w:val="21"/>
        </w:rPr>
        <w:t>be</w:t>
      </w:r>
      <w:r>
        <w:rPr>
          <w:spacing w:val="-4"/>
          <w:sz w:val="21"/>
        </w:rPr>
        <w:t> </w:t>
      </w:r>
      <w:r>
        <w:rPr>
          <w:sz w:val="21"/>
        </w:rPr>
        <w:t>designed</w:t>
      </w:r>
      <w:r>
        <w:rPr>
          <w:spacing w:val="-5"/>
          <w:sz w:val="21"/>
        </w:rPr>
        <w:t> </w:t>
      </w:r>
      <w:r>
        <w:rPr>
          <w:sz w:val="21"/>
        </w:rPr>
        <w:t>in</w:t>
      </w:r>
      <w:r>
        <w:rPr>
          <w:spacing w:val="-5"/>
          <w:sz w:val="21"/>
        </w:rPr>
        <w:t> </w:t>
      </w:r>
      <w:r>
        <w:rPr>
          <w:sz w:val="21"/>
        </w:rPr>
        <w:t>a</w:t>
      </w:r>
      <w:r>
        <w:rPr>
          <w:spacing w:val="-5"/>
          <w:sz w:val="21"/>
        </w:rPr>
        <w:t> </w:t>
      </w:r>
      <w:r>
        <w:rPr>
          <w:sz w:val="21"/>
        </w:rPr>
        <w:t>way</w:t>
      </w:r>
      <w:r>
        <w:rPr>
          <w:spacing w:val="-4"/>
          <w:sz w:val="21"/>
        </w:rPr>
        <w:t> </w:t>
      </w:r>
      <w:r>
        <w:rPr>
          <w:sz w:val="21"/>
        </w:rPr>
        <w:t>that</w:t>
      </w:r>
      <w:r>
        <w:rPr>
          <w:spacing w:val="-6"/>
          <w:sz w:val="21"/>
        </w:rPr>
        <w:t> </w:t>
      </w:r>
      <w:r>
        <w:rPr>
          <w:sz w:val="21"/>
        </w:rPr>
        <w:t>does</w:t>
      </w:r>
      <w:r>
        <w:rPr>
          <w:spacing w:val="-3"/>
          <w:sz w:val="21"/>
        </w:rPr>
        <w:t> </w:t>
      </w:r>
      <w:r>
        <w:rPr>
          <w:sz w:val="21"/>
        </w:rPr>
        <w:t>not</w:t>
      </w:r>
      <w:r>
        <w:rPr>
          <w:spacing w:val="-6"/>
          <w:sz w:val="21"/>
        </w:rPr>
        <w:t> </w:t>
      </w:r>
      <w:r>
        <w:rPr>
          <w:sz w:val="21"/>
        </w:rPr>
        <w:t>raise</w:t>
      </w:r>
      <w:r>
        <w:rPr>
          <w:spacing w:val="-4"/>
          <w:sz w:val="21"/>
        </w:rPr>
        <w:t> </w:t>
      </w:r>
      <w:r>
        <w:rPr>
          <w:sz w:val="21"/>
        </w:rPr>
        <w:t>such</w:t>
      </w:r>
      <w:r>
        <w:rPr>
          <w:spacing w:val="-5"/>
          <w:sz w:val="21"/>
        </w:rPr>
        <w:t> </w:t>
      </w:r>
      <w:r>
        <w:rPr>
          <w:sz w:val="21"/>
        </w:rPr>
        <w:t>barriers.</w:t>
      </w:r>
    </w:p>
    <w:p>
      <w:pPr>
        <w:pStyle w:val="ListParagraph"/>
        <w:numPr>
          <w:ilvl w:val="0"/>
          <w:numId w:val="5"/>
        </w:numPr>
        <w:tabs>
          <w:tab w:pos="536" w:val="left" w:leader="none"/>
        </w:tabs>
        <w:spacing w:line="252" w:lineRule="auto" w:before="164" w:after="0"/>
        <w:ind w:left="535" w:right="101" w:hanging="427"/>
        <w:jc w:val="both"/>
        <w:rPr>
          <w:sz w:val="21"/>
        </w:rPr>
      </w:pPr>
      <w:r>
        <w:rPr>
          <w:sz w:val="21"/>
        </w:rPr>
        <w:t>ASX should retain, and periodically review, its standards for the handling of sensitive or confidential information. Consistent with governance arrangements that promote access on commercial, transparent and non-discriminatory terms (see Regulatory Expectation 1(e)), these arrangements should ensure that conflict sensitive information pertaining to the strategic plans of unaffiliated market operators or CS facilities is handled sensitively and confidentially, and cannot be used to advance the interests of ASX as a market operator or CS facility.</w:t>
      </w:r>
    </w:p>
    <w:sectPr>
      <w:pgSz w:w="11910" w:h="16840"/>
      <w:pgMar w:header="0" w:footer="843" w:top="1580" w:bottom="1040" w:left="14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9.399994pt;margin-top:788.785706pt;width:260.7pt;height:18.6pt;mso-position-horizontal-relative:page;mso-position-vertical-relative:page;z-index:-15836160" type="#_x0000_t202" id="docshape2" filled="false" stroked="false">
          <v:textbox inset="0,0,0,0">
            <w:txbxContent>
              <w:p>
                <w:pPr>
                  <w:spacing w:line="164" w:lineRule="exact" w:before="0"/>
                  <w:ind w:left="0" w:right="78" w:firstLine="0"/>
                  <w:jc w:val="right"/>
                  <w:rPr>
                    <w:rFonts w:ascii="Palatino Linotype"/>
                    <w:sz w:val="14"/>
                  </w:rPr>
                </w:pPr>
                <w:r>
                  <w:rPr>
                    <w:rFonts w:ascii="Palatino Linotype"/>
                    <w:color w:val="007698"/>
                    <w:w w:val="95"/>
                    <w:sz w:val="14"/>
                  </w:rPr>
                  <w:t>REGULATORY</w:t>
                </w:r>
                <w:r>
                  <w:rPr>
                    <w:rFonts w:ascii="Palatino Linotype"/>
                    <w:color w:val="007698"/>
                    <w:spacing w:val="8"/>
                    <w:sz w:val="14"/>
                  </w:rPr>
                  <w:t> </w:t>
                </w:r>
                <w:r>
                  <w:rPr>
                    <w:rFonts w:ascii="Palatino Linotype"/>
                    <w:color w:val="007698"/>
                    <w:w w:val="95"/>
                    <w:sz w:val="14"/>
                  </w:rPr>
                  <w:t>EXPECTATIONS</w:t>
                </w:r>
                <w:r>
                  <w:rPr>
                    <w:rFonts w:ascii="Palatino Linotype"/>
                    <w:color w:val="007698"/>
                    <w:spacing w:val="11"/>
                    <w:sz w:val="14"/>
                  </w:rPr>
                  <w:t> </w:t>
                </w:r>
                <w:r>
                  <w:rPr>
                    <w:rFonts w:ascii="Palatino Linotype"/>
                    <w:color w:val="007698"/>
                    <w:w w:val="95"/>
                    <w:sz w:val="14"/>
                  </w:rPr>
                  <w:t>FOR</w:t>
                </w:r>
                <w:r>
                  <w:rPr>
                    <w:rFonts w:ascii="Palatino Linotype"/>
                    <w:color w:val="007698"/>
                    <w:spacing w:val="13"/>
                    <w:sz w:val="14"/>
                  </w:rPr>
                  <w:t> </w:t>
                </w:r>
                <w:r>
                  <w:rPr>
                    <w:rFonts w:ascii="Palatino Linotype"/>
                    <w:color w:val="007698"/>
                    <w:w w:val="95"/>
                    <w:sz w:val="14"/>
                  </w:rPr>
                  <w:t>CONDUCT</w:t>
                </w:r>
                <w:r>
                  <w:rPr>
                    <w:rFonts w:ascii="Palatino Linotype"/>
                    <w:color w:val="007698"/>
                    <w:spacing w:val="10"/>
                    <w:sz w:val="14"/>
                  </w:rPr>
                  <w:t> </w:t>
                </w:r>
                <w:r>
                  <w:rPr>
                    <w:rFonts w:ascii="Palatino Linotype"/>
                    <w:color w:val="007698"/>
                    <w:w w:val="95"/>
                    <w:sz w:val="14"/>
                  </w:rPr>
                  <w:t>IN</w:t>
                </w:r>
                <w:r>
                  <w:rPr>
                    <w:rFonts w:ascii="Palatino Linotype"/>
                    <w:color w:val="007698"/>
                    <w:spacing w:val="8"/>
                    <w:sz w:val="14"/>
                  </w:rPr>
                  <w:t> </w:t>
                </w:r>
                <w:r>
                  <w:rPr>
                    <w:rFonts w:ascii="Palatino Linotype"/>
                    <w:color w:val="007698"/>
                    <w:w w:val="95"/>
                    <w:sz w:val="14"/>
                  </w:rPr>
                  <w:t>OPERATING</w:t>
                </w:r>
                <w:r>
                  <w:rPr>
                    <w:rFonts w:ascii="Palatino Linotype"/>
                    <w:color w:val="007698"/>
                    <w:spacing w:val="10"/>
                    <w:sz w:val="14"/>
                  </w:rPr>
                  <w:t> </w:t>
                </w:r>
                <w:r>
                  <w:rPr>
                    <w:rFonts w:ascii="Palatino Linotype"/>
                    <w:color w:val="007698"/>
                    <w:w w:val="95"/>
                    <w:sz w:val="14"/>
                  </w:rPr>
                  <w:t>CASH</w:t>
                </w:r>
                <w:r>
                  <w:rPr>
                    <w:rFonts w:ascii="Palatino Linotype"/>
                    <w:color w:val="007698"/>
                    <w:spacing w:val="8"/>
                    <w:sz w:val="14"/>
                  </w:rPr>
                  <w:t> </w:t>
                </w:r>
                <w:r>
                  <w:rPr>
                    <w:rFonts w:ascii="Palatino Linotype"/>
                    <w:color w:val="007698"/>
                    <w:spacing w:val="-2"/>
                    <w:w w:val="95"/>
                    <w:sz w:val="14"/>
                  </w:rPr>
                  <w:t>EQUITY</w:t>
                </w:r>
              </w:p>
              <w:p>
                <w:pPr>
                  <w:spacing w:before="0"/>
                  <w:ind w:left="0" w:right="81" w:firstLine="0"/>
                  <w:jc w:val="right"/>
                  <w:rPr>
                    <w:rFonts w:ascii="Palatino Linotype"/>
                    <w:sz w:val="14"/>
                  </w:rPr>
                </w:pPr>
                <w:r>
                  <w:rPr>
                    <w:rFonts w:ascii="Palatino Linotype"/>
                    <w:color w:val="007698"/>
                    <w:w w:val="95"/>
                    <w:sz w:val="14"/>
                  </w:rPr>
                  <w:t>CLEARING</w:t>
                </w:r>
                <w:r>
                  <w:rPr>
                    <w:rFonts w:ascii="Palatino Linotype"/>
                    <w:color w:val="007698"/>
                    <w:spacing w:val="6"/>
                    <w:sz w:val="14"/>
                  </w:rPr>
                  <w:t> </w:t>
                </w:r>
                <w:r>
                  <w:rPr>
                    <w:rFonts w:ascii="Palatino Linotype"/>
                    <w:color w:val="007698"/>
                    <w:w w:val="95"/>
                    <w:sz w:val="14"/>
                  </w:rPr>
                  <w:t>AND</w:t>
                </w:r>
                <w:r>
                  <w:rPr>
                    <w:rFonts w:ascii="Palatino Linotype"/>
                    <w:color w:val="007698"/>
                    <w:spacing w:val="8"/>
                    <w:sz w:val="14"/>
                  </w:rPr>
                  <w:t> </w:t>
                </w:r>
                <w:r>
                  <w:rPr>
                    <w:rFonts w:ascii="Palatino Linotype"/>
                    <w:color w:val="007698"/>
                    <w:w w:val="95"/>
                    <w:sz w:val="14"/>
                  </w:rPr>
                  <w:t>SETTLEMENT</w:t>
                </w:r>
                <w:r>
                  <w:rPr>
                    <w:rFonts w:ascii="Palatino Linotype"/>
                    <w:color w:val="007698"/>
                    <w:spacing w:val="9"/>
                    <w:sz w:val="14"/>
                  </w:rPr>
                  <w:t> </w:t>
                </w:r>
                <w:r>
                  <w:rPr>
                    <w:rFonts w:ascii="Palatino Linotype"/>
                    <w:color w:val="007698"/>
                    <w:w w:val="95"/>
                    <w:sz w:val="14"/>
                  </w:rPr>
                  <w:t>SERVICES</w:t>
                </w:r>
                <w:r>
                  <w:rPr>
                    <w:rFonts w:ascii="Palatino Linotype"/>
                    <w:color w:val="007698"/>
                    <w:spacing w:val="9"/>
                    <w:sz w:val="14"/>
                  </w:rPr>
                  <w:t> </w:t>
                </w:r>
                <w:r>
                  <w:rPr>
                    <w:rFonts w:ascii="Palatino Linotype"/>
                    <w:color w:val="007698"/>
                    <w:w w:val="95"/>
                    <w:sz w:val="14"/>
                  </w:rPr>
                  <w:t>IN</w:t>
                </w:r>
                <w:r>
                  <w:rPr>
                    <w:rFonts w:ascii="Palatino Linotype"/>
                    <w:color w:val="007698"/>
                    <w:spacing w:val="10"/>
                    <w:sz w:val="14"/>
                  </w:rPr>
                  <w:t> </w:t>
                </w:r>
                <w:r>
                  <w:rPr>
                    <w:rFonts w:ascii="Palatino Linotype"/>
                    <w:color w:val="007698"/>
                    <w:w w:val="95"/>
                    <w:sz w:val="14"/>
                  </w:rPr>
                  <w:t>AUSTRALIA|</w:t>
                </w:r>
                <w:r>
                  <w:rPr>
                    <w:rFonts w:ascii="Palatino Linotype"/>
                    <w:color w:val="007698"/>
                    <w:spacing w:val="15"/>
                    <w:sz w:val="14"/>
                  </w:rPr>
                  <w:t> </w:t>
                </w:r>
                <w:r>
                  <w:rPr>
                    <w:rFonts w:ascii="Palatino Linotype"/>
                    <w:spacing w:val="-10"/>
                    <w:w w:val="95"/>
                    <w:sz w:val="14"/>
                  </w:rPr>
                  <w:fldChar w:fldCharType="begin"/>
                </w:r>
                <w:r>
                  <w:rPr>
                    <w:rFonts w:ascii="Palatino Linotype"/>
                    <w:spacing w:val="-10"/>
                    <w:w w:val="95"/>
                    <w:sz w:val="14"/>
                  </w:rPr>
                  <w:instrText> PAGE </w:instrText>
                </w:r>
                <w:r>
                  <w:rPr>
                    <w:rFonts w:ascii="Palatino Linotype"/>
                    <w:spacing w:val="-10"/>
                    <w:w w:val="95"/>
                    <w:sz w:val="14"/>
                  </w:rPr>
                  <w:fldChar w:fldCharType="separate"/>
                </w:r>
                <w:r>
                  <w:rPr>
                    <w:rFonts w:ascii="Palatino Linotype"/>
                    <w:spacing w:val="-10"/>
                    <w:w w:val="95"/>
                    <w:sz w:val="14"/>
                  </w:rPr>
                  <w:t>3</w:t>
                </w:r>
                <w:r>
                  <w:rPr>
                    <w:rFonts w:ascii="Palatino Linotype"/>
                    <w:spacing w:val="-10"/>
                    <w:w w:val="95"/>
                    <w:sz w:val="1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40002pt;margin-top:798.265747pt;width:149.550pt;height:9.1pt;mso-position-horizontal-relative:page;mso-position-vertical-relative:page;z-index:-15835648" type="#_x0000_t202" id="docshape3" filled="false" stroked="false">
          <v:textbox inset="0,0,0,0">
            <w:txbxContent>
              <w:p>
                <w:pPr>
                  <w:spacing w:line="164" w:lineRule="exact" w:before="0"/>
                  <w:ind w:left="60" w:right="0" w:firstLine="0"/>
                  <w:jc w:val="left"/>
                  <w:rPr>
                    <w:rFonts w:ascii="Palatino Linotype"/>
                    <w:b/>
                    <w:sz w:val="14"/>
                  </w:rPr>
                </w:pPr>
                <w:r>
                  <w:rPr>
                    <w:rFonts w:ascii="Palatino Linotype"/>
                    <w:sz w:val="14"/>
                  </w:rPr>
                  <w:fldChar w:fldCharType="begin"/>
                </w:r>
                <w:r>
                  <w:rPr>
                    <w:rFonts w:ascii="Palatino Linotype"/>
                    <w:sz w:val="14"/>
                  </w:rPr>
                  <w:instrText> PAGE </w:instrText>
                </w:r>
                <w:r>
                  <w:rPr>
                    <w:rFonts w:ascii="Palatino Linotype"/>
                    <w:sz w:val="14"/>
                  </w:rPr>
                  <w:fldChar w:fldCharType="separate"/>
                </w:r>
                <w:r>
                  <w:rPr>
                    <w:rFonts w:ascii="Palatino Linotype"/>
                    <w:sz w:val="14"/>
                  </w:rPr>
                  <w:t>4</w:t>
                </w:r>
                <w:r>
                  <w:rPr>
                    <w:rFonts w:ascii="Palatino Linotype"/>
                    <w:sz w:val="14"/>
                  </w:rPr>
                  <w:fldChar w:fldCharType="end"/>
                </w:r>
                <w:r>
                  <w:rPr>
                    <w:rFonts w:ascii="Palatino Linotype"/>
                    <w:spacing w:val="-4"/>
                    <w:sz w:val="14"/>
                  </w:rPr>
                  <w:t> </w:t>
                </w:r>
                <w:r>
                  <w:rPr>
                    <w:rFonts w:ascii="Palatino Linotype"/>
                    <w:b/>
                    <w:sz w:val="14"/>
                  </w:rPr>
                  <w:t>COUNCIL</w:t>
                </w:r>
                <w:r>
                  <w:rPr>
                    <w:rFonts w:ascii="Palatino Linotype"/>
                    <w:b/>
                    <w:spacing w:val="-4"/>
                    <w:sz w:val="14"/>
                  </w:rPr>
                  <w:t> </w:t>
                </w:r>
                <w:r>
                  <w:rPr>
                    <w:rFonts w:ascii="Palatino Linotype"/>
                    <w:b/>
                    <w:sz w:val="14"/>
                  </w:rPr>
                  <w:t>OF</w:t>
                </w:r>
                <w:r>
                  <w:rPr>
                    <w:rFonts w:ascii="Palatino Linotype"/>
                    <w:b/>
                    <w:spacing w:val="-4"/>
                    <w:sz w:val="14"/>
                  </w:rPr>
                  <w:t> </w:t>
                </w:r>
                <w:r>
                  <w:rPr>
                    <w:rFonts w:ascii="Palatino Linotype"/>
                    <w:b/>
                    <w:sz w:val="14"/>
                  </w:rPr>
                  <w:t>FINANCIAL</w:t>
                </w:r>
                <w:r>
                  <w:rPr>
                    <w:rFonts w:ascii="Palatino Linotype"/>
                    <w:b/>
                    <w:spacing w:val="-1"/>
                    <w:sz w:val="14"/>
                  </w:rPr>
                  <w:t> </w:t>
                </w:r>
                <w:r>
                  <w:rPr>
                    <w:rFonts w:ascii="Palatino Linotype"/>
                    <w:b/>
                    <w:spacing w:val="-2"/>
                    <w:sz w:val="14"/>
                  </w:rPr>
                  <w:t>REGULATORS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536" w:hanging="428"/>
        <w:jc w:val="left"/>
      </w:pPr>
      <w:rPr>
        <w:rFonts w:hint="default" w:ascii="Calibri" w:hAnsi="Calibri" w:eastAsia="Calibri" w:cs="Calibri"/>
        <w:b w:val="0"/>
        <w:bCs w:val="0"/>
        <w:i w:val="0"/>
        <w:iCs w:val="0"/>
        <w:spacing w:val="-1"/>
        <w:w w:val="100"/>
        <w:sz w:val="21"/>
        <w:szCs w:val="21"/>
        <w:lang w:val="en-au" w:eastAsia="en-US" w:bidi="ar-SA"/>
      </w:rPr>
    </w:lvl>
    <w:lvl w:ilvl="1">
      <w:start w:val="0"/>
      <w:numFmt w:val="bullet"/>
      <w:lvlText w:val="•"/>
      <w:lvlJc w:val="left"/>
      <w:pPr>
        <w:ind w:left="1380" w:hanging="428"/>
      </w:pPr>
      <w:rPr>
        <w:rFonts w:hint="default"/>
        <w:lang w:val="en-au" w:eastAsia="en-US" w:bidi="ar-SA"/>
      </w:rPr>
    </w:lvl>
    <w:lvl w:ilvl="2">
      <w:start w:val="0"/>
      <w:numFmt w:val="bullet"/>
      <w:lvlText w:val="•"/>
      <w:lvlJc w:val="left"/>
      <w:pPr>
        <w:ind w:left="2221" w:hanging="428"/>
      </w:pPr>
      <w:rPr>
        <w:rFonts w:hint="default"/>
        <w:lang w:val="en-au" w:eastAsia="en-US" w:bidi="ar-SA"/>
      </w:rPr>
    </w:lvl>
    <w:lvl w:ilvl="3">
      <w:start w:val="0"/>
      <w:numFmt w:val="bullet"/>
      <w:lvlText w:val="•"/>
      <w:lvlJc w:val="left"/>
      <w:pPr>
        <w:ind w:left="3061" w:hanging="428"/>
      </w:pPr>
      <w:rPr>
        <w:rFonts w:hint="default"/>
        <w:lang w:val="en-au" w:eastAsia="en-US" w:bidi="ar-SA"/>
      </w:rPr>
    </w:lvl>
    <w:lvl w:ilvl="4">
      <w:start w:val="0"/>
      <w:numFmt w:val="bullet"/>
      <w:lvlText w:val="•"/>
      <w:lvlJc w:val="left"/>
      <w:pPr>
        <w:ind w:left="3902" w:hanging="428"/>
      </w:pPr>
      <w:rPr>
        <w:rFonts w:hint="default"/>
        <w:lang w:val="en-au" w:eastAsia="en-US" w:bidi="ar-SA"/>
      </w:rPr>
    </w:lvl>
    <w:lvl w:ilvl="5">
      <w:start w:val="0"/>
      <w:numFmt w:val="bullet"/>
      <w:lvlText w:val="•"/>
      <w:lvlJc w:val="left"/>
      <w:pPr>
        <w:ind w:left="4743" w:hanging="428"/>
      </w:pPr>
      <w:rPr>
        <w:rFonts w:hint="default"/>
        <w:lang w:val="en-au" w:eastAsia="en-US" w:bidi="ar-SA"/>
      </w:rPr>
    </w:lvl>
    <w:lvl w:ilvl="6">
      <w:start w:val="0"/>
      <w:numFmt w:val="bullet"/>
      <w:lvlText w:val="•"/>
      <w:lvlJc w:val="left"/>
      <w:pPr>
        <w:ind w:left="5583" w:hanging="428"/>
      </w:pPr>
      <w:rPr>
        <w:rFonts w:hint="default"/>
        <w:lang w:val="en-au" w:eastAsia="en-US" w:bidi="ar-SA"/>
      </w:rPr>
    </w:lvl>
    <w:lvl w:ilvl="7">
      <w:start w:val="0"/>
      <w:numFmt w:val="bullet"/>
      <w:lvlText w:val="•"/>
      <w:lvlJc w:val="left"/>
      <w:pPr>
        <w:ind w:left="6424" w:hanging="428"/>
      </w:pPr>
      <w:rPr>
        <w:rFonts w:hint="default"/>
        <w:lang w:val="en-au" w:eastAsia="en-US" w:bidi="ar-SA"/>
      </w:rPr>
    </w:lvl>
    <w:lvl w:ilvl="8">
      <w:start w:val="0"/>
      <w:numFmt w:val="bullet"/>
      <w:lvlText w:val="•"/>
      <w:lvlJc w:val="left"/>
      <w:pPr>
        <w:ind w:left="7265" w:hanging="428"/>
      </w:pPr>
      <w:rPr>
        <w:rFonts w:hint="default"/>
        <w:lang w:val="en-au" w:eastAsia="en-US" w:bidi="ar-SA"/>
      </w:rPr>
    </w:lvl>
  </w:abstractNum>
  <w:abstractNum w:abstractNumId="3">
    <w:multiLevelType w:val="hybridMultilevel"/>
    <w:lvl w:ilvl="0">
      <w:start w:val="1"/>
      <w:numFmt w:val="lowerLetter"/>
      <w:lvlText w:val="(%1)"/>
      <w:lvlJc w:val="left"/>
      <w:pPr>
        <w:ind w:left="536" w:hanging="428"/>
        <w:jc w:val="left"/>
      </w:pPr>
      <w:rPr>
        <w:rFonts w:hint="default" w:ascii="Calibri" w:hAnsi="Calibri" w:eastAsia="Calibri" w:cs="Calibri"/>
        <w:b w:val="0"/>
        <w:bCs w:val="0"/>
        <w:i w:val="0"/>
        <w:iCs w:val="0"/>
        <w:spacing w:val="-1"/>
        <w:w w:val="100"/>
        <w:sz w:val="21"/>
        <w:szCs w:val="21"/>
        <w:lang w:val="en-au" w:eastAsia="en-US" w:bidi="ar-SA"/>
      </w:rPr>
    </w:lvl>
    <w:lvl w:ilvl="1">
      <w:start w:val="1"/>
      <w:numFmt w:val="lowerRoman"/>
      <w:lvlText w:val="(%2)"/>
      <w:lvlJc w:val="left"/>
      <w:pPr>
        <w:ind w:left="961" w:hanging="425"/>
        <w:jc w:val="left"/>
      </w:pPr>
      <w:rPr>
        <w:rFonts w:hint="default" w:ascii="Calibri" w:hAnsi="Calibri" w:eastAsia="Calibri" w:cs="Calibri"/>
        <w:b w:val="0"/>
        <w:bCs w:val="0"/>
        <w:i w:val="0"/>
        <w:iCs w:val="0"/>
        <w:spacing w:val="-1"/>
        <w:w w:val="100"/>
        <w:sz w:val="21"/>
        <w:szCs w:val="21"/>
        <w:lang w:val="en-au" w:eastAsia="en-US" w:bidi="ar-SA"/>
      </w:rPr>
    </w:lvl>
    <w:lvl w:ilvl="2">
      <w:start w:val="0"/>
      <w:numFmt w:val="bullet"/>
      <w:lvlText w:val="•"/>
      <w:lvlJc w:val="left"/>
      <w:pPr>
        <w:ind w:left="1847" w:hanging="425"/>
      </w:pPr>
      <w:rPr>
        <w:rFonts w:hint="default"/>
        <w:lang w:val="en-au" w:eastAsia="en-US" w:bidi="ar-SA"/>
      </w:rPr>
    </w:lvl>
    <w:lvl w:ilvl="3">
      <w:start w:val="0"/>
      <w:numFmt w:val="bullet"/>
      <w:lvlText w:val="•"/>
      <w:lvlJc w:val="left"/>
      <w:pPr>
        <w:ind w:left="2734" w:hanging="425"/>
      </w:pPr>
      <w:rPr>
        <w:rFonts w:hint="default"/>
        <w:lang w:val="en-au" w:eastAsia="en-US" w:bidi="ar-SA"/>
      </w:rPr>
    </w:lvl>
    <w:lvl w:ilvl="4">
      <w:start w:val="0"/>
      <w:numFmt w:val="bullet"/>
      <w:lvlText w:val="•"/>
      <w:lvlJc w:val="left"/>
      <w:pPr>
        <w:ind w:left="3622" w:hanging="425"/>
      </w:pPr>
      <w:rPr>
        <w:rFonts w:hint="default"/>
        <w:lang w:val="en-au" w:eastAsia="en-US" w:bidi="ar-SA"/>
      </w:rPr>
    </w:lvl>
    <w:lvl w:ilvl="5">
      <w:start w:val="0"/>
      <w:numFmt w:val="bullet"/>
      <w:lvlText w:val="•"/>
      <w:lvlJc w:val="left"/>
      <w:pPr>
        <w:ind w:left="4509" w:hanging="425"/>
      </w:pPr>
      <w:rPr>
        <w:rFonts w:hint="default"/>
        <w:lang w:val="en-au" w:eastAsia="en-US" w:bidi="ar-SA"/>
      </w:rPr>
    </w:lvl>
    <w:lvl w:ilvl="6">
      <w:start w:val="0"/>
      <w:numFmt w:val="bullet"/>
      <w:lvlText w:val="•"/>
      <w:lvlJc w:val="left"/>
      <w:pPr>
        <w:ind w:left="5396" w:hanging="425"/>
      </w:pPr>
      <w:rPr>
        <w:rFonts w:hint="default"/>
        <w:lang w:val="en-au" w:eastAsia="en-US" w:bidi="ar-SA"/>
      </w:rPr>
    </w:lvl>
    <w:lvl w:ilvl="7">
      <w:start w:val="0"/>
      <w:numFmt w:val="bullet"/>
      <w:lvlText w:val="•"/>
      <w:lvlJc w:val="left"/>
      <w:pPr>
        <w:ind w:left="6284" w:hanging="425"/>
      </w:pPr>
      <w:rPr>
        <w:rFonts w:hint="default"/>
        <w:lang w:val="en-au" w:eastAsia="en-US" w:bidi="ar-SA"/>
      </w:rPr>
    </w:lvl>
    <w:lvl w:ilvl="8">
      <w:start w:val="0"/>
      <w:numFmt w:val="bullet"/>
      <w:lvlText w:val="•"/>
      <w:lvlJc w:val="left"/>
      <w:pPr>
        <w:ind w:left="7171" w:hanging="425"/>
      </w:pPr>
      <w:rPr>
        <w:rFonts w:hint="default"/>
        <w:lang w:val="en-au" w:eastAsia="en-US" w:bidi="ar-SA"/>
      </w:rPr>
    </w:lvl>
  </w:abstractNum>
  <w:abstractNum w:abstractNumId="2">
    <w:multiLevelType w:val="hybridMultilevel"/>
    <w:lvl w:ilvl="0">
      <w:start w:val="1"/>
      <w:numFmt w:val="lowerLetter"/>
      <w:lvlText w:val="(%1)"/>
      <w:lvlJc w:val="left"/>
      <w:pPr>
        <w:ind w:left="536" w:hanging="428"/>
        <w:jc w:val="left"/>
      </w:pPr>
      <w:rPr>
        <w:rFonts w:hint="default" w:ascii="Calibri" w:hAnsi="Calibri" w:eastAsia="Calibri" w:cs="Calibri"/>
        <w:b w:val="0"/>
        <w:bCs w:val="0"/>
        <w:i w:val="0"/>
        <w:iCs w:val="0"/>
        <w:spacing w:val="-1"/>
        <w:w w:val="100"/>
        <w:sz w:val="21"/>
        <w:szCs w:val="21"/>
        <w:lang w:val="en-au" w:eastAsia="en-US" w:bidi="ar-SA"/>
      </w:rPr>
    </w:lvl>
    <w:lvl w:ilvl="1">
      <w:start w:val="1"/>
      <w:numFmt w:val="lowerRoman"/>
      <w:lvlText w:val="(%2)"/>
      <w:lvlJc w:val="left"/>
      <w:pPr>
        <w:ind w:left="961" w:hanging="425"/>
        <w:jc w:val="left"/>
      </w:pPr>
      <w:rPr>
        <w:rFonts w:hint="default" w:ascii="Calibri" w:hAnsi="Calibri" w:eastAsia="Calibri" w:cs="Calibri"/>
        <w:b w:val="0"/>
        <w:bCs w:val="0"/>
        <w:i w:val="0"/>
        <w:iCs w:val="0"/>
        <w:spacing w:val="-1"/>
        <w:w w:val="100"/>
        <w:sz w:val="21"/>
        <w:szCs w:val="21"/>
        <w:lang w:val="en-au" w:eastAsia="en-US" w:bidi="ar-SA"/>
      </w:rPr>
    </w:lvl>
    <w:lvl w:ilvl="2">
      <w:start w:val="0"/>
      <w:numFmt w:val="bullet"/>
      <w:lvlText w:val="•"/>
      <w:lvlJc w:val="left"/>
      <w:pPr>
        <w:ind w:left="1847" w:hanging="425"/>
      </w:pPr>
      <w:rPr>
        <w:rFonts w:hint="default"/>
        <w:lang w:val="en-au" w:eastAsia="en-US" w:bidi="ar-SA"/>
      </w:rPr>
    </w:lvl>
    <w:lvl w:ilvl="3">
      <w:start w:val="0"/>
      <w:numFmt w:val="bullet"/>
      <w:lvlText w:val="•"/>
      <w:lvlJc w:val="left"/>
      <w:pPr>
        <w:ind w:left="2734" w:hanging="425"/>
      </w:pPr>
      <w:rPr>
        <w:rFonts w:hint="default"/>
        <w:lang w:val="en-au" w:eastAsia="en-US" w:bidi="ar-SA"/>
      </w:rPr>
    </w:lvl>
    <w:lvl w:ilvl="4">
      <w:start w:val="0"/>
      <w:numFmt w:val="bullet"/>
      <w:lvlText w:val="•"/>
      <w:lvlJc w:val="left"/>
      <w:pPr>
        <w:ind w:left="3622" w:hanging="425"/>
      </w:pPr>
      <w:rPr>
        <w:rFonts w:hint="default"/>
        <w:lang w:val="en-au" w:eastAsia="en-US" w:bidi="ar-SA"/>
      </w:rPr>
    </w:lvl>
    <w:lvl w:ilvl="5">
      <w:start w:val="0"/>
      <w:numFmt w:val="bullet"/>
      <w:lvlText w:val="•"/>
      <w:lvlJc w:val="left"/>
      <w:pPr>
        <w:ind w:left="4509" w:hanging="425"/>
      </w:pPr>
      <w:rPr>
        <w:rFonts w:hint="default"/>
        <w:lang w:val="en-au" w:eastAsia="en-US" w:bidi="ar-SA"/>
      </w:rPr>
    </w:lvl>
    <w:lvl w:ilvl="6">
      <w:start w:val="0"/>
      <w:numFmt w:val="bullet"/>
      <w:lvlText w:val="•"/>
      <w:lvlJc w:val="left"/>
      <w:pPr>
        <w:ind w:left="5396" w:hanging="425"/>
      </w:pPr>
      <w:rPr>
        <w:rFonts w:hint="default"/>
        <w:lang w:val="en-au" w:eastAsia="en-US" w:bidi="ar-SA"/>
      </w:rPr>
    </w:lvl>
    <w:lvl w:ilvl="7">
      <w:start w:val="0"/>
      <w:numFmt w:val="bullet"/>
      <w:lvlText w:val="•"/>
      <w:lvlJc w:val="left"/>
      <w:pPr>
        <w:ind w:left="6284" w:hanging="425"/>
      </w:pPr>
      <w:rPr>
        <w:rFonts w:hint="default"/>
        <w:lang w:val="en-au" w:eastAsia="en-US" w:bidi="ar-SA"/>
      </w:rPr>
    </w:lvl>
    <w:lvl w:ilvl="8">
      <w:start w:val="0"/>
      <w:numFmt w:val="bullet"/>
      <w:lvlText w:val="•"/>
      <w:lvlJc w:val="left"/>
      <w:pPr>
        <w:ind w:left="7171" w:hanging="425"/>
      </w:pPr>
      <w:rPr>
        <w:rFonts w:hint="default"/>
        <w:lang w:val="en-au" w:eastAsia="en-US" w:bidi="ar-SA"/>
      </w:rPr>
    </w:lvl>
  </w:abstractNum>
  <w:abstractNum w:abstractNumId="1">
    <w:multiLevelType w:val="hybridMultilevel"/>
    <w:lvl w:ilvl="0">
      <w:start w:val="1"/>
      <w:numFmt w:val="decimal"/>
      <w:lvlText w:val="%1."/>
      <w:lvlJc w:val="left"/>
      <w:pPr>
        <w:ind w:left="816" w:hanging="708"/>
        <w:jc w:val="left"/>
      </w:pPr>
      <w:rPr>
        <w:rFonts w:hint="default" w:ascii="Palatino Linotype" w:hAnsi="Palatino Linotype" w:eastAsia="Palatino Linotype" w:cs="Palatino Linotype"/>
        <w:b w:val="0"/>
        <w:bCs w:val="0"/>
        <w:i w:val="0"/>
        <w:iCs w:val="0"/>
        <w:color w:val="007698"/>
        <w:spacing w:val="0"/>
        <w:w w:val="100"/>
        <w:sz w:val="28"/>
        <w:szCs w:val="28"/>
        <w:lang w:val="en-au" w:eastAsia="en-US" w:bidi="ar-SA"/>
      </w:rPr>
    </w:lvl>
    <w:lvl w:ilvl="1">
      <w:start w:val="0"/>
      <w:numFmt w:val="bullet"/>
      <w:lvlText w:val="•"/>
      <w:lvlJc w:val="left"/>
      <w:pPr>
        <w:ind w:left="1632" w:hanging="708"/>
      </w:pPr>
      <w:rPr>
        <w:rFonts w:hint="default"/>
        <w:lang w:val="en-au" w:eastAsia="en-US" w:bidi="ar-SA"/>
      </w:rPr>
    </w:lvl>
    <w:lvl w:ilvl="2">
      <w:start w:val="0"/>
      <w:numFmt w:val="bullet"/>
      <w:lvlText w:val="•"/>
      <w:lvlJc w:val="left"/>
      <w:pPr>
        <w:ind w:left="2445" w:hanging="708"/>
      </w:pPr>
      <w:rPr>
        <w:rFonts w:hint="default"/>
        <w:lang w:val="en-au" w:eastAsia="en-US" w:bidi="ar-SA"/>
      </w:rPr>
    </w:lvl>
    <w:lvl w:ilvl="3">
      <w:start w:val="0"/>
      <w:numFmt w:val="bullet"/>
      <w:lvlText w:val="•"/>
      <w:lvlJc w:val="left"/>
      <w:pPr>
        <w:ind w:left="3257" w:hanging="708"/>
      </w:pPr>
      <w:rPr>
        <w:rFonts w:hint="default"/>
        <w:lang w:val="en-au" w:eastAsia="en-US" w:bidi="ar-SA"/>
      </w:rPr>
    </w:lvl>
    <w:lvl w:ilvl="4">
      <w:start w:val="0"/>
      <w:numFmt w:val="bullet"/>
      <w:lvlText w:val="•"/>
      <w:lvlJc w:val="left"/>
      <w:pPr>
        <w:ind w:left="4070" w:hanging="708"/>
      </w:pPr>
      <w:rPr>
        <w:rFonts w:hint="default"/>
        <w:lang w:val="en-au" w:eastAsia="en-US" w:bidi="ar-SA"/>
      </w:rPr>
    </w:lvl>
    <w:lvl w:ilvl="5">
      <w:start w:val="0"/>
      <w:numFmt w:val="bullet"/>
      <w:lvlText w:val="•"/>
      <w:lvlJc w:val="left"/>
      <w:pPr>
        <w:ind w:left="4883" w:hanging="708"/>
      </w:pPr>
      <w:rPr>
        <w:rFonts w:hint="default"/>
        <w:lang w:val="en-au" w:eastAsia="en-US" w:bidi="ar-SA"/>
      </w:rPr>
    </w:lvl>
    <w:lvl w:ilvl="6">
      <w:start w:val="0"/>
      <w:numFmt w:val="bullet"/>
      <w:lvlText w:val="•"/>
      <w:lvlJc w:val="left"/>
      <w:pPr>
        <w:ind w:left="5695" w:hanging="708"/>
      </w:pPr>
      <w:rPr>
        <w:rFonts w:hint="default"/>
        <w:lang w:val="en-au" w:eastAsia="en-US" w:bidi="ar-SA"/>
      </w:rPr>
    </w:lvl>
    <w:lvl w:ilvl="7">
      <w:start w:val="0"/>
      <w:numFmt w:val="bullet"/>
      <w:lvlText w:val="•"/>
      <w:lvlJc w:val="left"/>
      <w:pPr>
        <w:ind w:left="6508" w:hanging="708"/>
      </w:pPr>
      <w:rPr>
        <w:rFonts w:hint="default"/>
        <w:lang w:val="en-au" w:eastAsia="en-US" w:bidi="ar-SA"/>
      </w:rPr>
    </w:lvl>
    <w:lvl w:ilvl="8">
      <w:start w:val="0"/>
      <w:numFmt w:val="bullet"/>
      <w:lvlText w:val="•"/>
      <w:lvlJc w:val="left"/>
      <w:pPr>
        <w:ind w:left="7321" w:hanging="708"/>
      </w:pPr>
      <w:rPr>
        <w:rFonts w:hint="default"/>
        <w:lang w:val="en-au" w:eastAsia="en-US" w:bidi="ar-SA"/>
      </w:rPr>
    </w:lvl>
  </w:abstractNum>
  <w:abstractNum w:abstractNumId="0">
    <w:multiLevelType w:val="hybridMultilevel"/>
    <w:lvl w:ilvl="0">
      <w:start w:val="1"/>
      <w:numFmt w:val="decimal"/>
      <w:lvlText w:val="%1"/>
      <w:lvlJc w:val="left"/>
      <w:pPr>
        <w:ind w:left="391" w:hanging="284"/>
        <w:jc w:val="left"/>
      </w:pPr>
      <w:rPr>
        <w:rFonts w:hint="default" w:ascii="Calibri" w:hAnsi="Calibri" w:eastAsia="Calibri" w:cs="Calibri"/>
        <w:b w:val="0"/>
        <w:bCs w:val="0"/>
        <w:i w:val="0"/>
        <w:iCs w:val="0"/>
        <w:w w:val="100"/>
        <w:sz w:val="18"/>
        <w:szCs w:val="18"/>
        <w:lang w:val="en-au" w:eastAsia="en-US" w:bidi="ar-SA"/>
      </w:rPr>
    </w:lvl>
    <w:lvl w:ilvl="1">
      <w:start w:val="0"/>
      <w:numFmt w:val="bullet"/>
      <w:lvlText w:val="•"/>
      <w:lvlJc w:val="left"/>
      <w:pPr>
        <w:ind w:left="1254" w:hanging="284"/>
      </w:pPr>
      <w:rPr>
        <w:rFonts w:hint="default"/>
        <w:lang w:val="en-au" w:eastAsia="en-US" w:bidi="ar-SA"/>
      </w:rPr>
    </w:lvl>
    <w:lvl w:ilvl="2">
      <w:start w:val="0"/>
      <w:numFmt w:val="bullet"/>
      <w:lvlText w:val="•"/>
      <w:lvlJc w:val="left"/>
      <w:pPr>
        <w:ind w:left="2109" w:hanging="284"/>
      </w:pPr>
      <w:rPr>
        <w:rFonts w:hint="default"/>
        <w:lang w:val="en-au" w:eastAsia="en-US" w:bidi="ar-SA"/>
      </w:rPr>
    </w:lvl>
    <w:lvl w:ilvl="3">
      <w:start w:val="0"/>
      <w:numFmt w:val="bullet"/>
      <w:lvlText w:val="•"/>
      <w:lvlJc w:val="left"/>
      <w:pPr>
        <w:ind w:left="2963" w:hanging="284"/>
      </w:pPr>
      <w:rPr>
        <w:rFonts w:hint="default"/>
        <w:lang w:val="en-au" w:eastAsia="en-US" w:bidi="ar-SA"/>
      </w:rPr>
    </w:lvl>
    <w:lvl w:ilvl="4">
      <w:start w:val="0"/>
      <w:numFmt w:val="bullet"/>
      <w:lvlText w:val="•"/>
      <w:lvlJc w:val="left"/>
      <w:pPr>
        <w:ind w:left="3818" w:hanging="284"/>
      </w:pPr>
      <w:rPr>
        <w:rFonts w:hint="default"/>
        <w:lang w:val="en-au" w:eastAsia="en-US" w:bidi="ar-SA"/>
      </w:rPr>
    </w:lvl>
    <w:lvl w:ilvl="5">
      <w:start w:val="0"/>
      <w:numFmt w:val="bullet"/>
      <w:lvlText w:val="•"/>
      <w:lvlJc w:val="left"/>
      <w:pPr>
        <w:ind w:left="4673" w:hanging="284"/>
      </w:pPr>
      <w:rPr>
        <w:rFonts w:hint="default"/>
        <w:lang w:val="en-au" w:eastAsia="en-US" w:bidi="ar-SA"/>
      </w:rPr>
    </w:lvl>
    <w:lvl w:ilvl="6">
      <w:start w:val="0"/>
      <w:numFmt w:val="bullet"/>
      <w:lvlText w:val="•"/>
      <w:lvlJc w:val="left"/>
      <w:pPr>
        <w:ind w:left="5527" w:hanging="284"/>
      </w:pPr>
      <w:rPr>
        <w:rFonts w:hint="default"/>
        <w:lang w:val="en-au" w:eastAsia="en-US" w:bidi="ar-SA"/>
      </w:rPr>
    </w:lvl>
    <w:lvl w:ilvl="7">
      <w:start w:val="0"/>
      <w:numFmt w:val="bullet"/>
      <w:lvlText w:val="•"/>
      <w:lvlJc w:val="left"/>
      <w:pPr>
        <w:ind w:left="6382" w:hanging="284"/>
      </w:pPr>
      <w:rPr>
        <w:rFonts w:hint="default"/>
        <w:lang w:val="en-au" w:eastAsia="en-US" w:bidi="ar-SA"/>
      </w:rPr>
    </w:lvl>
    <w:lvl w:ilvl="8">
      <w:start w:val="0"/>
      <w:numFmt w:val="bullet"/>
      <w:lvlText w:val="•"/>
      <w:lvlJc w:val="left"/>
      <w:pPr>
        <w:ind w:left="7237" w:hanging="284"/>
      </w:pPr>
      <w:rPr>
        <w:rFonts w:hint="default"/>
        <w:lang w:val="en-au"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1"/>
      <w:szCs w:val="21"/>
      <w:lang w:val="en-au" w:eastAsia="en-US" w:bidi="ar-SA"/>
    </w:rPr>
  </w:style>
  <w:style w:styleId="Heading1" w:type="paragraph">
    <w:name w:val="Heading 1"/>
    <w:basedOn w:val="Normal"/>
    <w:uiPriority w:val="1"/>
    <w:qFormat/>
    <w:pPr>
      <w:ind w:left="108"/>
      <w:outlineLvl w:val="1"/>
    </w:pPr>
    <w:rPr>
      <w:rFonts w:ascii="Palatino Linotype" w:hAnsi="Palatino Linotype" w:eastAsia="Palatino Linotype" w:cs="Palatino Linotype"/>
      <w:sz w:val="32"/>
      <w:szCs w:val="32"/>
      <w:lang w:val="en-au" w:eastAsia="en-US" w:bidi="ar-SA"/>
    </w:rPr>
  </w:style>
  <w:style w:styleId="Heading2" w:type="paragraph">
    <w:name w:val="Heading 2"/>
    <w:basedOn w:val="Normal"/>
    <w:uiPriority w:val="1"/>
    <w:qFormat/>
    <w:pPr>
      <w:ind w:left="108"/>
      <w:outlineLvl w:val="2"/>
    </w:pPr>
    <w:rPr>
      <w:rFonts w:ascii="Palatino Linotype" w:hAnsi="Palatino Linotype" w:eastAsia="Palatino Linotype" w:cs="Palatino Linotype"/>
      <w:sz w:val="28"/>
      <w:szCs w:val="28"/>
      <w:lang w:val="en-au" w:eastAsia="en-US" w:bidi="ar-SA"/>
    </w:rPr>
  </w:style>
  <w:style w:styleId="Title" w:type="paragraph">
    <w:name w:val="Title"/>
    <w:basedOn w:val="Normal"/>
    <w:uiPriority w:val="1"/>
    <w:qFormat/>
    <w:pPr>
      <w:ind w:left="141"/>
    </w:pPr>
    <w:rPr>
      <w:rFonts w:ascii="Palatino Linotype" w:hAnsi="Palatino Linotype" w:eastAsia="Palatino Linotype" w:cs="Palatino Linotype"/>
      <w:sz w:val="56"/>
      <w:szCs w:val="56"/>
      <w:lang w:val="en-au" w:eastAsia="en-US" w:bidi="ar-SA"/>
    </w:rPr>
  </w:style>
  <w:style w:styleId="ListParagraph" w:type="paragraph">
    <w:name w:val="List Paragraph"/>
    <w:basedOn w:val="Normal"/>
    <w:uiPriority w:val="1"/>
    <w:qFormat/>
    <w:pPr>
      <w:spacing w:before="162"/>
      <w:ind w:left="536" w:right="100" w:hanging="428"/>
      <w:jc w:val="both"/>
    </w:pPr>
    <w:rPr>
      <w:rFonts w:ascii="Calibri" w:hAnsi="Calibri" w:eastAsia="Calibri" w:cs="Calibri"/>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www.treasury.gov.au/" TargetMode="Externa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hyperlink" Target="http://www.cfr.gov.au/publications/cfr-publications/2017/safe-"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DOCID-322795542-26560</_dlc_DocId>
    <_dlc_DocIdUrl xmlns="4195ad5f-cdf2-4c4a-8d9b-b7944a108e98">
      <Url>https://pmc01.sharepoint.com/sites/CRMOBPR/_layouts/15/DocIdRedir.aspx?ID=DOCID-322795542-26560</Url>
      <Description>DOCID-322795542-26560</Description>
    </_dlc_DocIdUrl>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1468DC-8852-4F40-96B8-F43CDC43A1B3}"/>
</file>

<file path=customXml/itemProps2.xml><?xml version="1.0" encoding="utf-8"?>
<ds:datastoreItem xmlns:ds="http://schemas.openxmlformats.org/officeDocument/2006/customXml" ds:itemID="{FA674FF9-A990-4F86-ACAB-CEE7DB49DDFF}"/>
</file>

<file path=customXml/itemProps3.xml><?xml version="1.0" encoding="utf-8"?>
<ds:datastoreItem xmlns:ds="http://schemas.openxmlformats.org/officeDocument/2006/customXml" ds:itemID="{B5AD0EF9-2921-4CFC-A187-D75194ADA0B8}"/>
</file>

<file path=customXml/itemProps4.xml><?xml version="1.0" encoding="utf-8"?>
<ds:datastoreItem xmlns:ds="http://schemas.openxmlformats.org/officeDocument/2006/customXml" ds:itemID="{20DEF04B-25EF-4388-8B7E-3A2669E8B2A2}"/>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Expectations for Conduct in operating Cash Equity Clearing and Settlement Services in Australia</dc:title>
  <dc:creator>KOPYL, Kateryna</dc:creator>
  <dcterms:created xsi:type="dcterms:W3CDTF">2022-07-05T01:39:01Z</dcterms:created>
  <dcterms:modified xsi:type="dcterms:W3CDTF">2022-07-05T01:39:01Z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Acrobat PDFMaker 11 for Word</vt:lpwstr>
  </property>
  <property fmtid="{D5CDD505-2E9C-101B-9397-08002B2CF9AE}" pid="4" name="LastSaved">
    <vt:filetime>2022-07-05T00:00:00Z</vt:filetime>
  </property>
  <property fmtid="{D5CDD505-2E9C-101B-9397-08002B2CF9AE}" pid="5" name="ContentTypeId">
    <vt:lpwstr>0x0101009CA239676470E04B809DDC4E24CF2322</vt:lpwstr>
  </property>
  <property fmtid="{D5CDD505-2E9C-101B-9397-08002B2CF9AE}" pid="6" name="eTheme">
    <vt:lpwstr>1;#Financial System|047002ef-5ee0-47ee-8184-5f4aaddfe3b3</vt:lpwstr>
  </property>
  <property fmtid="{D5CDD505-2E9C-101B-9397-08002B2CF9AE}" pid="7" name="_dlc_DocIdItemGuid">
    <vt:lpwstr>c500657b-2ded-4bb1-a60b-54e32afe613d</vt:lpwstr>
  </property>
  <property fmtid="{D5CDD505-2E9C-101B-9397-08002B2CF9AE}" pid="8" name="eDocumentType">
    <vt:lpwstr>71;#Paper (Analysis or Research or Report)|6ad78538-b056-4e5b-8c06-e0b6c43f0ffa</vt:lpwstr>
  </property>
  <property fmtid="{D5CDD505-2E9C-101B-9397-08002B2CF9AE}" pid="9" name="eTopic">
    <vt:lpwstr>63;#Clearing and settlement|8c34b893-9c9c-40c9-afcc-4be76d248902;#22;#CFR|d8213157-58c2-4960-b99b-b9eb513594c0</vt:lpwstr>
  </property>
  <property fmtid="{D5CDD505-2E9C-101B-9397-08002B2CF9AE}" pid="10" name="eActivity">
    <vt:lpwstr>7;#Advice|7410e4fa-f399-413c-bf77-fd52474fcb91</vt:lpwstr>
  </property>
  <property fmtid="{D5CDD505-2E9C-101B-9397-08002B2CF9AE}" pid="11" name="MediaServiceImageTags">
    <vt:lpwstr/>
  </property>
</Properties>
</file>