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657" w:lineRule="exact"/>
      </w:pPr>
      <w:r>
        <w:rPr/>
        <w:pict>
          <v:rect style="position:absolute;margin-left:70.559998pt;margin-top:187.319977pt;width:454.2pt;height:3pt;mso-position-horizontal-relative:page;mso-position-vertical-relative:page;z-index:15729152" id="docshape1" filled="true" fillcolor="#a98e35" stroked="false">
            <v:fill type="solid"/>
            <w10:wrap type="none"/>
          </v:rect>
        </w:pict>
      </w:r>
      <w:bookmarkStart w:name="Minimum Conditions for Safe and Effectiv" w:id="1"/>
      <w:bookmarkEnd w:id="1"/>
      <w:r>
        <w:rPr/>
      </w:r>
      <w:r>
        <w:rPr>
          <w:color w:val="595958"/>
        </w:rPr>
        <w:t>Minimum</w:t>
      </w:r>
      <w:r>
        <w:rPr>
          <w:color w:val="595958"/>
          <w:spacing w:val="-17"/>
        </w:rPr>
        <w:t> </w:t>
      </w:r>
      <w:r>
        <w:rPr>
          <w:color w:val="595958"/>
        </w:rPr>
        <w:t>Conditions</w:t>
      </w:r>
      <w:r>
        <w:rPr>
          <w:color w:val="595958"/>
          <w:spacing w:val="-17"/>
        </w:rPr>
        <w:t> </w:t>
      </w:r>
      <w:r>
        <w:rPr>
          <w:color w:val="595958"/>
        </w:rPr>
        <w:t>for</w:t>
      </w:r>
      <w:r>
        <w:rPr>
          <w:color w:val="595958"/>
          <w:spacing w:val="-17"/>
        </w:rPr>
        <w:t> </w:t>
      </w:r>
      <w:r>
        <w:rPr>
          <w:color w:val="595958"/>
        </w:rPr>
        <w:t>Safe</w:t>
      </w:r>
      <w:r>
        <w:rPr>
          <w:color w:val="595958"/>
          <w:spacing w:val="-16"/>
        </w:rPr>
        <w:t> </w:t>
      </w:r>
      <w:r>
        <w:rPr>
          <w:color w:val="595958"/>
          <w:spacing w:val="-5"/>
        </w:rPr>
        <w:t>and</w:t>
      </w:r>
    </w:p>
    <w:p>
      <w:pPr>
        <w:pStyle w:val="Title"/>
      </w:pPr>
      <w:r>
        <w:rPr>
          <w:color w:val="595958"/>
        </w:rPr>
        <w:t>Effective Competition in Cash Equity</w:t>
      </w:r>
      <w:r>
        <w:rPr>
          <w:color w:val="595958"/>
          <w:spacing w:val="-11"/>
        </w:rPr>
        <w:t> </w:t>
      </w:r>
      <w:r>
        <w:rPr>
          <w:color w:val="595958"/>
        </w:rPr>
        <w:t>Settlement</w:t>
      </w:r>
      <w:r>
        <w:rPr>
          <w:color w:val="595958"/>
          <w:spacing w:val="-14"/>
        </w:rPr>
        <w:t> </w:t>
      </w:r>
      <w:r>
        <w:rPr>
          <w:color w:val="595958"/>
        </w:rPr>
        <w:t>in</w:t>
      </w:r>
      <w:r>
        <w:rPr>
          <w:color w:val="595958"/>
          <w:spacing w:val="-12"/>
        </w:rPr>
        <w:t> </w:t>
      </w:r>
      <w:r>
        <w:rPr>
          <w:color w:val="595958"/>
        </w:rPr>
        <w:t>Australia</w:t>
      </w:r>
    </w:p>
    <w:p>
      <w:pPr>
        <w:pStyle w:val="BodyText"/>
        <w:rPr>
          <w:rFonts w:ascii="Palatino Linotype"/>
          <w:sz w:val="20"/>
        </w:rPr>
      </w:pPr>
    </w:p>
    <w:p>
      <w:pPr>
        <w:pStyle w:val="BodyText"/>
        <w:rPr>
          <w:rFonts w:ascii="Palatino Linotype"/>
        </w:rPr>
      </w:pPr>
    </w:p>
    <w:p>
      <w:pPr>
        <w:spacing w:before="12"/>
        <w:ind w:left="140" w:right="4628" w:firstLine="0"/>
        <w:jc w:val="left"/>
        <w:rPr>
          <w:rFonts w:ascii="Palatino Linotype"/>
          <w:sz w:val="28"/>
        </w:rPr>
      </w:pPr>
      <w:r>
        <w:rPr>
          <w:rFonts w:ascii="Palatino Linotype"/>
          <w:color w:val="007698"/>
          <w:sz w:val="28"/>
        </w:rPr>
        <w:t>A Policy Statement by the Council</w:t>
      </w:r>
      <w:r>
        <w:rPr>
          <w:rFonts w:ascii="Palatino Linotype"/>
          <w:color w:val="007698"/>
          <w:spacing w:val="-12"/>
          <w:sz w:val="28"/>
        </w:rPr>
        <w:t> </w:t>
      </w:r>
      <w:r>
        <w:rPr>
          <w:rFonts w:ascii="Palatino Linotype"/>
          <w:color w:val="007698"/>
          <w:sz w:val="28"/>
        </w:rPr>
        <w:t>of</w:t>
      </w:r>
      <w:r>
        <w:rPr>
          <w:rFonts w:ascii="Palatino Linotype"/>
          <w:color w:val="007698"/>
          <w:spacing w:val="-12"/>
          <w:sz w:val="28"/>
        </w:rPr>
        <w:t> </w:t>
      </w:r>
      <w:r>
        <w:rPr>
          <w:rFonts w:ascii="Palatino Linotype"/>
          <w:color w:val="007698"/>
          <w:sz w:val="28"/>
        </w:rPr>
        <w:t>Financial</w:t>
      </w:r>
      <w:r>
        <w:rPr>
          <w:rFonts w:ascii="Palatino Linotype"/>
          <w:color w:val="007698"/>
          <w:spacing w:val="-12"/>
          <w:sz w:val="28"/>
        </w:rPr>
        <w:t> </w:t>
      </w:r>
      <w:r>
        <w:rPr>
          <w:rFonts w:ascii="Palatino Linotype"/>
          <w:color w:val="007698"/>
          <w:sz w:val="28"/>
        </w:rPr>
        <w:t>Regulators</w:t>
      </w:r>
    </w:p>
    <w:p>
      <w:pPr>
        <w:spacing w:before="161"/>
        <w:ind w:left="140" w:right="0" w:firstLine="0"/>
        <w:jc w:val="left"/>
        <w:rPr>
          <w:rFonts w:ascii="Palatino Linotype"/>
          <w:sz w:val="28"/>
        </w:rPr>
      </w:pPr>
      <w:r>
        <w:rPr>
          <w:rFonts w:ascii="Palatino Linotype"/>
          <w:color w:val="007698"/>
          <w:sz w:val="28"/>
        </w:rPr>
        <w:t>September</w:t>
      </w:r>
      <w:r>
        <w:rPr>
          <w:rFonts w:ascii="Palatino Linotype"/>
          <w:color w:val="007698"/>
          <w:spacing w:val="-8"/>
          <w:sz w:val="28"/>
        </w:rPr>
        <w:t> </w:t>
      </w:r>
      <w:r>
        <w:rPr>
          <w:rFonts w:ascii="Palatino Linotype"/>
          <w:color w:val="007698"/>
          <w:spacing w:val="-4"/>
          <w:sz w:val="28"/>
        </w:rPr>
        <w:t>2017</w:t>
      </w: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14"/>
        </w:rPr>
      </w:pPr>
      <w:r>
        <w:rPr/>
        <w:drawing>
          <wp:anchor distT="0" distB="0" distL="0" distR="0" allowOverlap="1" layoutInCell="1" locked="0" behindDoc="0" simplePos="0" relativeHeight="0">
            <wp:simplePos x="0" y="0"/>
            <wp:positionH relativeFrom="page">
              <wp:posOffset>952342</wp:posOffset>
            </wp:positionH>
            <wp:positionV relativeFrom="paragraph">
              <wp:posOffset>135176</wp:posOffset>
            </wp:positionV>
            <wp:extent cx="3038127" cy="660082"/>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3038127" cy="660082"/>
                    </a:xfrm>
                    <a:prstGeom prst="rect">
                      <a:avLst/>
                    </a:prstGeom>
                  </pic:spPr>
                </pic:pic>
              </a:graphicData>
            </a:graphic>
          </wp:anchor>
        </w:drawing>
      </w:r>
    </w:p>
    <w:p>
      <w:pPr>
        <w:spacing w:after="0"/>
        <w:rPr>
          <w:rFonts w:ascii="Palatino Linotype"/>
          <w:sz w:val="14"/>
        </w:rPr>
        <w:sectPr>
          <w:footerReference w:type="default" r:id="rId5"/>
          <w:type w:val="continuous"/>
          <w:pgSz w:w="11900" w:h="16850"/>
          <w:pgMar w:footer="0" w:header="0" w:top="1540" w:bottom="280" w:left="1300" w:right="1680"/>
          <w:pgNumType w:start="1"/>
        </w:sect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spacing w:before="3"/>
        <w:rPr>
          <w:rFonts w:ascii="Palatino Linotype"/>
          <w:sz w:val="26"/>
        </w:rPr>
      </w:pPr>
    </w:p>
    <w:p>
      <w:pPr>
        <w:spacing w:line="254" w:lineRule="auto" w:before="59"/>
        <w:ind w:left="120" w:right="156" w:firstLine="0"/>
        <w:jc w:val="both"/>
        <w:rPr>
          <w:sz w:val="21"/>
        </w:rPr>
      </w:pPr>
      <w:r>
        <w:rPr>
          <w:sz w:val="21"/>
        </w:rPr>
        <w:t>© Australian Prudential Regulation Authority, Australian Securities and Investments Commission, Reserve Bank of Australia and the Department of the Treasury 2017. All rights reserved.</w:t>
      </w:r>
    </w:p>
    <w:p>
      <w:pPr>
        <w:spacing w:line="252" w:lineRule="auto" w:before="157"/>
        <w:ind w:left="120" w:right="110" w:firstLine="0"/>
        <w:jc w:val="both"/>
        <w:rPr>
          <w:sz w:val="21"/>
        </w:rPr>
      </w:pPr>
      <w:r>
        <w:rPr>
          <w:sz w:val="21"/>
        </w:rPr>
        <w:t>The contents of this publication shall not be reproduced, sold or distributed without the prior consent of the Australian Prudential Regulation Authority, Australian Securities and Investments Commission, Reserve Bank of Australia and the Department of the Treasury.</w:t>
      </w:r>
    </w:p>
    <w:p>
      <w:pPr>
        <w:spacing w:before="162"/>
        <w:ind w:left="120" w:right="0" w:firstLine="0"/>
        <w:jc w:val="both"/>
        <w:rPr>
          <w:sz w:val="21"/>
        </w:rPr>
      </w:pPr>
      <w:r>
        <w:rPr>
          <w:spacing w:val="-2"/>
          <w:sz w:val="21"/>
        </w:rPr>
        <w:t>ISBN</w:t>
      </w:r>
      <w:r>
        <w:rPr>
          <w:spacing w:val="8"/>
          <w:sz w:val="21"/>
        </w:rPr>
        <w:t> </w:t>
      </w:r>
      <w:r>
        <w:rPr>
          <w:spacing w:val="-2"/>
          <w:sz w:val="21"/>
        </w:rPr>
        <w:t>978-0-6480470-3-2</w:t>
      </w:r>
      <w:r>
        <w:rPr>
          <w:spacing w:val="10"/>
          <w:sz w:val="21"/>
        </w:rPr>
        <w:t> </w:t>
      </w:r>
      <w:r>
        <w:rPr>
          <w:spacing w:val="-2"/>
          <w:sz w:val="21"/>
        </w:rPr>
        <w:t>(Online)</w:t>
      </w:r>
    </w:p>
    <w:p>
      <w:pPr>
        <w:spacing w:after="0"/>
        <w:jc w:val="both"/>
        <w:rPr>
          <w:sz w:val="21"/>
        </w:rPr>
        <w:sectPr>
          <w:pgSz w:w="11910" w:h="16840"/>
          <w:pgMar w:header="0" w:footer="0" w:top="1580" w:bottom="280" w:left="1320" w:right="1160"/>
        </w:sectPr>
      </w:pPr>
    </w:p>
    <w:p>
      <w:pPr>
        <w:spacing w:line="413" w:lineRule="exact" w:before="0"/>
        <w:ind w:left="120" w:right="0" w:firstLine="0"/>
        <w:jc w:val="left"/>
        <w:rPr>
          <w:rFonts w:ascii="Palatino Linotype"/>
          <w:sz w:val="32"/>
        </w:rPr>
      </w:pPr>
      <w:bookmarkStart w:name="Background" w:id="2"/>
      <w:bookmarkEnd w:id="2"/>
      <w:r>
        <w:rPr/>
      </w:r>
      <w:r>
        <w:rPr>
          <w:rFonts w:ascii="Palatino Linotype"/>
          <w:color w:val="007698"/>
          <w:spacing w:val="-2"/>
          <w:sz w:val="32"/>
        </w:rPr>
        <w:t>Background</w:t>
      </w:r>
    </w:p>
    <w:p>
      <w:pPr>
        <w:pStyle w:val="BodyText"/>
        <w:spacing w:before="158"/>
        <w:ind w:left="119" w:right="273"/>
        <w:jc w:val="both"/>
      </w:pPr>
      <w:r>
        <w:rPr/>
        <w:t>In March 2016, the Government endorsed the recommendations of a review of competition in clearing cash equities in Australia carried out by the Council of Financial Regulators (CFR) and the Australian</w:t>
      </w:r>
      <w:r>
        <w:rPr>
          <w:spacing w:val="-3"/>
        </w:rPr>
        <w:t> </w:t>
      </w:r>
      <w:r>
        <w:rPr/>
        <w:t>Competition</w:t>
      </w:r>
      <w:r>
        <w:rPr>
          <w:spacing w:val="-3"/>
        </w:rPr>
        <w:t> </w:t>
      </w:r>
      <w:r>
        <w:rPr/>
        <w:t>and</w:t>
      </w:r>
      <w:r>
        <w:rPr>
          <w:spacing w:val="-3"/>
        </w:rPr>
        <w:t> </w:t>
      </w:r>
      <w:r>
        <w:rPr/>
        <w:t>Consumer</w:t>
      </w:r>
      <w:r>
        <w:rPr>
          <w:spacing w:val="-2"/>
        </w:rPr>
        <w:t> </w:t>
      </w:r>
      <w:r>
        <w:rPr/>
        <w:t>Commission</w:t>
      </w:r>
      <w:r>
        <w:rPr>
          <w:spacing w:val="-3"/>
        </w:rPr>
        <w:t> </w:t>
      </w:r>
      <w:r>
        <w:rPr/>
        <w:t>(ACCC)</w:t>
      </w:r>
      <w:r>
        <w:rPr>
          <w:spacing w:val="-2"/>
        </w:rPr>
        <w:t> </w:t>
      </w:r>
      <w:r>
        <w:rPr/>
        <w:t>–</w:t>
      </w:r>
      <w:r>
        <w:rPr>
          <w:spacing w:val="-2"/>
        </w:rPr>
        <w:t> </w:t>
      </w:r>
      <w:r>
        <w:rPr/>
        <w:t>together,</w:t>
      </w:r>
      <w:r>
        <w:rPr>
          <w:spacing w:val="-2"/>
        </w:rPr>
        <w:t> </w:t>
      </w:r>
      <w:r>
        <w:rPr/>
        <w:t>the</w:t>
      </w:r>
      <w:r>
        <w:rPr>
          <w:spacing w:val="-1"/>
        </w:rPr>
        <w:t> </w:t>
      </w:r>
      <w:r>
        <w:rPr/>
        <w:t>Agencies.</w:t>
      </w:r>
      <w:r>
        <w:rPr>
          <w:spacing w:val="-2"/>
        </w:rPr>
        <w:t> </w:t>
      </w:r>
      <w:r>
        <w:rPr/>
        <w:t>Importantly,</w:t>
      </w:r>
      <w:r>
        <w:rPr>
          <w:spacing w:val="-2"/>
        </w:rPr>
        <w:t> </w:t>
      </w:r>
      <w:r>
        <w:rPr/>
        <w:t>the Government’s endorsement included a policy stance of openness to competition. The conclusions from that review are set out in the Agencies’ report, </w:t>
      </w:r>
      <w:r>
        <w:rPr>
          <w:i/>
        </w:rPr>
        <w:t>Review of Competition in Clearing Australian</w:t>
      </w:r>
      <w:r>
        <w:rPr>
          <w:i/>
        </w:rPr>
        <w:t> Cash Equities: Conclusions </w:t>
      </w:r>
      <w:r>
        <w:rPr/>
        <w:t>(the Conclusions).</w:t>
      </w:r>
      <w:r>
        <w:rPr>
          <w:vertAlign w:val="superscript"/>
        </w:rPr>
        <w:t>1</w:t>
      </w:r>
    </w:p>
    <w:p>
      <w:pPr>
        <w:spacing w:before="119"/>
        <w:ind w:left="119" w:right="272" w:firstLine="0"/>
        <w:jc w:val="both"/>
        <w:rPr>
          <w:sz w:val="22"/>
        </w:rPr>
      </w:pPr>
      <w:r>
        <w:rPr>
          <w:sz w:val="22"/>
        </w:rPr>
        <w:t>As per the recommendations from the Conclusions, the CFR released two policy statements in October</w:t>
      </w:r>
      <w:r>
        <w:rPr>
          <w:spacing w:val="-4"/>
          <w:sz w:val="22"/>
        </w:rPr>
        <w:t> </w:t>
      </w:r>
      <w:r>
        <w:rPr>
          <w:sz w:val="22"/>
        </w:rPr>
        <w:t>2016:</w:t>
      </w:r>
      <w:r>
        <w:rPr>
          <w:spacing w:val="-1"/>
          <w:sz w:val="22"/>
        </w:rPr>
        <w:t> </w:t>
      </w:r>
      <w:r>
        <w:rPr>
          <w:i/>
          <w:sz w:val="22"/>
        </w:rPr>
        <w:t>Regulatory</w:t>
      </w:r>
      <w:r>
        <w:rPr>
          <w:i/>
          <w:spacing w:val="-5"/>
          <w:sz w:val="22"/>
        </w:rPr>
        <w:t> </w:t>
      </w:r>
      <w:r>
        <w:rPr>
          <w:i/>
          <w:sz w:val="22"/>
        </w:rPr>
        <w:t>Expectations</w:t>
      </w:r>
      <w:r>
        <w:rPr>
          <w:i/>
          <w:spacing w:val="-1"/>
          <w:sz w:val="22"/>
        </w:rPr>
        <w:t> </w:t>
      </w:r>
      <w:r>
        <w:rPr>
          <w:i/>
          <w:sz w:val="22"/>
        </w:rPr>
        <w:t>for</w:t>
      </w:r>
      <w:r>
        <w:rPr>
          <w:i/>
          <w:spacing w:val="-1"/>
          <w:sz w:val="22"/>
        </w:rPr>
        <w:t> </w:t>
      </w:r>
      <w:r>
        <w:rPr>
          <w:i/>
          <w:sz w:val="22"/>
        </w:rPr>
        <w:t>Conduct</w:t>
      </w:r>
      <w:r>
        <w:rPr>
          <w:i/>
          <w:spacing w:val="-1"/>
          <w:sz w:val="22"/>
        </w:rPr>
        <w:t> </w:t>
      </w:r>
      <w:r>
        <w:rPr>
          <w:i/>
          <w:sz w:val="22"/>
        </w:rPr>
        <w:t>in</w:t>
      </w:r>
      <w:r>
        <w:rPr>
          <w:i/>
          <w:spacing w:val="-5"/>
          <w:sz w:val="22"/>
        </w:rPr>
        <w:t> </w:t>
      </w:r>
      <w:r>
        <w:rPr>
          <w:i/>
          <w:sz w:val="22"/>
        </w:rPr>
        <w:t>Operating</w:t>
      </w:r>
      <w:r>
        <w:rPr>
          <w:i/>
          <w:spacing w:val="-3"/>
          <w:sz w:val="22"/>
        </w:rPr>
        <w:t> </w:t>
      </w:r>
      <w:r>
        <w:rPr>
          <w:i/>
          <w:sz w:val="22"/>
        </w:rPr>
        <w:t>Cash</w:t>
      </w:r>
      <w:r>
        <w:rPr>
          <w:i/>
          <w:spacing w:val="-5"/>
          <w:sz w:val="22"/>
        </w:rPr>
        <w:t> </w:t>
      </w:r>
      <w:r>
        <w:rPr>
          <w:i/>
          <w:sz w:val="22"/>
        </w:rPr>
        <w:t>Equity</w:t>
      </w:r>
      <w:r>
        <w:rPr>
          <w:i/>
          <w:spacing w:val="-2"/>
          <w:sz w:val="22"/>
        </w:rPr>
        <w:t> </w:t>
      </w:r>
      <w:r>
        <w:rPr>
          <w:i/>
          <w:sz w:val="22"/>
        </w:rPr>
        <w:t>Clearing</w:t>
      </w:r>
      <w:r>
        <w:rPr>
          <w:i/>
          <w:spacing w:val="-3"/>
          <w:sz w:val="22"/>
        </w:rPr>
        <w:t> </w:t>
      </w:r>
      <w:r>
        <w:rPr>
          <w:i/>
          <w:sz w:val="22"/>
        </w:rPr>
        <w:t>and</w:t>
      </w:r>
      <w:r>
        <w:rPr>
          <w:i/>
          <w:spacing w:val="-3"/>
          <w:sz w:val="22"/>
        </w:rPr>
        <w:t> </w:t>
      </w:r>
      <w:r>
        <w:rPr>
          <w:i/>
          <w:sz w:val="22"/>
        </w:rPr>
        <w:t>Settlement</w:t>
      </w:r>
      <w:r>
        <w:rPr>
          <w:i/>
          <w:sz w:val="22"/>
        </w:rPr>
        <w:t> Services in Australia </w:t>
      </w:r>
      <w:r>
        <w:rPr>
          <w:sz w:val="22"/>
        </w:rPr>
        <w:t>(Regulatory Expectations) and </w:t>
      </w:r>
      <w:r>
        <w:rPr>
          <w:i/>
          <w:sz w:val="22"/>
        </w:rPr>
        <w:t>Minimum Conditions for Safe and Effective</w:t>
      </w:r>
      <w:r>
        <w:rPr>
          <w:i/>
          <w:sz w:val="22"/>
        </w:rPr>
        <w:t> Competition in Cash Equity Clearing in Australia </w:t>
      </w:r>
      <w:r>
        <w:rPr>
          <w:sz w:val="22"/>
        </w:rPr>
        <w:t>(the Minimum Conditions (Clearing)).</w:t>
      </w:r>
      <w:r>
        <w:rPr>
          <w:sz w:val="22"/>
          <w:vertAlign w:val="superscript"/>
        </w:rPr>
        <w:t>2</w:t>
      </w:r>
    </w:p>
    <w:p>
      <w:pPr>
        <w:pStyle w:val="BodyText"/>
        <w:spacing w:before="121"/>
        <w:ind w:left="120" w:right="273"/>
        <w:jc w:val="both"/>
      </w:pPr>
      <w:r>
        <w:rPr/>
        <w:t>These policy statements were developed with reference to the prevailing market structure in settlement – in which there is a sole provider of settlement services. However, the Agencies considered it appropriate to explore the prospect of competition emerging in settlement and the need for additional policy guidance to support safe and effective competition, should it emerge.</w:t>
      </w:r>
    </w:p>
    <w:p>
      <w:pPr>
        <w:pStyle w:val="BodyText"/>
        <w:spacing w:before="118"/>
        <w:ind w:left="120" w:right="277"/>
        <w:jc w:val="both"/>
      </w:pPr>
      <w:r>
        <w:rPr/>
        <w:t>For this purpose, the Agencies released a consultation paper on Safe and Effective Competition in Cash Equity Settlement in Australia in March 2017.</w:t>
      </w:r>
      <w:r>
        <w:rPr>
          <w:vertAlign w:val="superscript"/>
        </w:rPr>
        <w:t>3</w:t>
      </w:r>
      <w:r>
        <w:rPr>
          <w:vertAlign w:val="baseline"/>
        </w:rPr>
        <w:t> The Agencies also met with a number of interested parties to discuss their views on the prospect of competition and the need for policy </w:t>
      </w:r>
      <w:r>
        <w:rPr>
          <w:spacing w:val="-2"/>
          <w:vertAlign w:val="baseline"/>
        </w:rPr>
        <w:t>guidance.</w:t>
      </w:r>
    </w:p>
    <w:p>
      <w:pPr>
        <w:pStyle w:val="BodyText"/>
        <w:spacing w:before="121"/>
        <w:ind w:left="120" w:right="274"/>
        <w:jc w:val="both"/>
      </w:pPr>
      <w:r>
        <w:rPr/>
        <w:t>Feedback received from stakeholders during consultation acknowledged that the prospect of competition in settlement had increased, but also highlighted some of the barriers to entry, as well as some potential risks, cost and efficiency implications of competition in settlement.</w:t>
      </w:r>
      <w:r>
        <w:rPr>
          <w:vertAlign w:val="superscript"/>
        </w:rPr>
        <w:t>4</w:t>
      </w:r>
    </w:p>
    <w:p>
      <w:pPr>
        <w:pStyle w:val="BodyText"/>
        <w:spacing w:before="119"/>
        <w:ind w:left="119" w:right="275"/>
        <w:jc w:val="both"/>
      </w:pPr>
      <w:r>
        <w:rPr/>
        <w:t>Accordingly, to address the identified barriers and risks, the Agencies have undertaken to set out Minimum Conditions for Safe and Effective Competition in Cash Equity Settlement in Australia (Minimum Conditions (Settlement)). The Minimum Conditions (Settlement) apply when the same equity security can be settled in more than one Security Settlement Facility (SSF).</w:t>
      </w:r>
    </w:p>
    <w:p>
      <w:pPr>
        <w:pStyle w:val="BodyText"/>
        <w:spacing w:before="120"/>
        <w:ind w:left="119" w:right="274"/>
        <w:jc w:val="both"/>
      </w:pPr>
      <w:r>
        <w:rPr/>
        <w:t>The Minimum Conditions (Settlement) aim to give prospective providers of settlement services sufficient clarity as to the measures that the Australian Securities and Investments Commission</w:t>
      </w:r>
      <w:r>
        <w:rPr>
          <w:spacing w:val="40"/>
        </w:rPr>
        <w:t> </w:t>
      </w:r>
      <w:r>
        <w:rPr/>
        <w:t>(ASIC) and the Reserve Bank of Australia (the Bank) would require be taken before they could advise in favour of a licence application. This should assist in establishing the business case for any competing provider. In addition to meeting existing licensing requirements under the </w:t>
      </w:r>
      <w:r>
        <w:rPr>
          <w:i/>
        </w:rPr>
        <w:t>Corporations</w:t>
      </w:r>
      <w:r>
        <w:rPr>
          <w:i/>
        </w:rPr>
        <w:t> Act 2001 </w:t>
      </w:r>
      <w:r>
        <w:rPr/>
        <w:t>(the Corporations Act), any licence applicant would be expected to demonstrate that it could viably provide services in this market in a manner consistent with the Minimum Conditions </w:t>
      </w:r>
      <w:r>
        <w:rPr>
          <w:spacing w:val="-2"/>
        </w:rPr>
        <w:t>(Settlement).</w:t>
      </w:r>
    </w:p>
    <w:p>
      <w:pPr>
        <w:pStyle w:val="BodyText"/>
        <w:rPr>
          <w:sz w:val="20"/>
        </w:rPr>
      </w:pPr>
    </w:p>
    <w:p>
      <w:pPr>
        <w:pStyle w:val="BodyText"/>
        <w:spacing w:before="8"/>
        <w:rPr>
          <w:sz w:val="26"/>
        </w:rPr>
      </w:pPr>
      <w:r>
        <w:rPr/>
        <w:pict>
          <v:rect style="position:absolute;margin-left:72pt;margin-top:17.488667pt;width:144pt;height:.72pt;mso-position-horizontal-relative:page;mso-position-vertical-relative:paragraph;z-index:-15727616;mso-wrap-distance-left:0;mso-wrap-distance-right:0" id="docshape4" filled="true" fillcolor="#000000" stroked="false">
            <v:fill type="solid"/>
            <w10:wrap type="topAndBottom"/>
          </v:rect>
        </w:pict>
      </w:r>
    </w:p>
    <w:p>
      <w:pPr>
        <w:pStyle w:val="ListParagraph"/>
        <w:numPr>
          <w:ilvl w:val="0"/>
          <w:numId w:val="1"/>
        </w:numPr>
        <w:tabs>
          <w:tab w:pos="404" w:val="left" w:leader="none"/>
        </w:tabs>
        <w:spacing w:line="240" w:lineRule="auto" w:before="102" w:after="0"/>
        <w:ind w:left="403" w:right="0" w:hanging="284"/>
        <w:jc w:val="left"/>
        <w:rPr>
          <w:sz w:val="18"/>
        </w:rPr>
      </w:pPr>
      <w:r>
        <w:rPr>
          <w:sz w:val="18"/>
        </w:rPr>
        <w:t>The</w:t>
      </w:r>
      <w:r>
        <w:rPr>
          <w:spacing w:val="-5"/>
          <w:sz w:val="18"/>
        </w:rPr>
        <w:t> </w:t>
      </w:r>
      <w:r>
        <w:rPr>
          <w:sz w:val="18"/>
        </w:rPr>
        <w:t>Conclusions</w:t>
      </w:r>
      <w:r>
        <w:rPr>
          <w:spacing w:val="-3"/>
          <w:sz w:val="18"/>
        </w:rPr>
        <w:t> </w:t>
      </w:r>
      <w:r>
        <w:rPr>
          <w:sz w:val="18"/>
        </w:rPr>
        <w:t>and</w:t>
      </w:r>
      <w:r>
        <w:rPr>
          <w:spacing w:val="-2"/>
          <w:sz w:val="18"/>
        </w:rPr>
        <w:t> </w:t>
      </w:r>
      <w:r>
        <w:rPr>
          <w:sz w:val="18"/>
        </w:rPr>
        <w:t>the</w:t>
      </w:r>
      <w:r>
        <w:rPr>
          <w:spacing w:val="-3"/>
          <w:sz w:val="18"/>
        </w:rPr>
        <w:t> </w:t>
      </w:r>
      <w:r>
        <w:rPr>
          <w:sz w:val="18"/>
        </w:rPr>
        <w:t>Government’s</w:t>
      </w:r>
      <w:r>
        <w:rPr>
          <w:spacing w:val="-3"/>
          <w:sz w:val="18"/>
        </w:rPr>
        <w:t> </w:t>
      </w:r>
      <w:r>
        <w:rPr>
          <w:sz w:val="18"/>
        </w:rPr>
        <w:t>response</w:t>
      </w:r>
      <w:r>
        <w:rPr>
          <w:spacing w:val="-2"/>
          <w:sz w:val="18"/>
        </w:rPr>
        <w:t> </w:t>
      </w:r>
      <w:r>
        <w:rPr>
          <w:sz w:val="18"/>
        </w:rPr>
        <w:t>are</w:t>
      </w:r>
      <w:r>
        <w:rPr>
          <w:spacing w:val="-3"/>
          <w:sz w:val="18"/>
        </w:rPr>
        <w:t> </w:t>
      </w:r>
      <w:r>
        <w:rPr>
          <w:sz w:val="18"/>
        </w:rPr>
        <w:t>available</w:t>
      </w:r>
      <w:r>
        <w:rPr>
          <w:spacing w:val="-2"/>
          <w:sz w:val="18"/>
        </w:rPr>
        <w:t> </w:t>
      </w:r>
      <w:r>
        <w:rPr>
          <w:spacing w:val="-5"/>
          <w:sz w:val="18"/>
        </w:rPr>
        <w:t>at</w:t>
      </w:r>
    </w:p>
    <w:p>
      <w:pPr>
        <w:spacing w:before="1"/>
        <w:ind w:left="403" w:right="791" w:hanging="1"/>
        <w:jc w:val="left"/>
        <w:rPr>
          <w:sz w:val="18"/>
        </w:rPr>
      </w:pPr>
      <w:r>
        <w:rPr>
          <w:spacing w:val="-2"/>
          <w:sz w:val="18"/>
        </w:rPr>
        <w:t>&lt;</w:t>
      </w:r>
      <w:hyperlink r:id="rId9">
        <w:r>
          <w:rPr>
            <w:spacing w:val="-2"/>
            <w:sz w:val="18"/>
          </w:rPr>
          <w:t>http://www.treasury.gov.au/ConsultationsandReviews/Consultations/2015/Review-of-competition-in-clearing-</w:t>
        </w:r>
      </w:hyperlink>
      <w:r>
        <w:rPr>
          <w:sz w:val="18"/>
        </w:rPr>
        <w:t> </w:t>
      </w:r>
      <w:r>
        <w:rPr>
          <w:spacing w:val="-2"/>
          <w:sz w:val="18"/>
        </w:rPr>
        <w:t>Australian-cash-equities&gt;.</w:t>
      </w:r>
    </w:p>
    <w:p>
      <w:pPr>
        <w:pStyle w:val="ListParagraph"/>
        <w:numPr>
          <w:ilvl w:val="0"/>
          <w:numId w:val="1"/>
        </w:numPr>
        <w:tabs>
          <w:tab w:pos="404" w:val="left" w:leader="none"/>
        </w:tabs>
        <w:spacing w:line="240" w:lineRule="auto" w:before="0" w:after="0"/>
        <w:ind w:left="403" w:right="958" w:hanging="284"/>
        <w:jc w:val="left"/>
        <w:rPr>
          <w:sz w:val="18"/>
        </w:rPr>
      </w:pPr>
      <w:r>
        <w:rPr>
          <w:sz w:val="18"/>
        </w:rPr>
        <w:t>The Minimum Conditions (Clearing) is available at &lt; https://</w:t>
      </w:r>
      <w:hyperlink r:id="rId10">
        <w:r>
          <w:rPr>
            <w:sz w:val="18"/>
          </w:rPr>
          <w:t>www.cfr.gov.au/publications/cfr-</w:t>
        </w:r>
      </w:hyperlink>
      <w:r>
        <w:rPr>
          <w:sz w:val="18"/>
        </w:rPr>
        <w:t> publications/2016/minimum-conditions-safe-effective-cash-equity/pdf/policy-statement.pdf&gt;;</w:t>
      </w:r>
      <w:r>
        <w:rPr>
          <w:spacing w:val="-11"/>
          <w:sz w:val="18"/>
        </w:rPr>
        <w:t> </w:t>
      </w:r>
      <w:r>
        <w:rPr>
          <w:sz w:val="18"/>
        </w:rPr>
        <w:t>The</w:t>
      </w:r>
      <w:r>
        <w:rPr>
          <w:spacing w:val="-10"/>
          <w:sz w:val="18"/>
        </w:rPr>
        <w:t> </w:t>
      </w:r>
      <w:r>
        <w:rPr>
          <w:sz w:val="18"/>
        </w:rPr>
        <w:t>Regulatory Expectations are available at</w:t>
      </w:r>
    </w:p>
    <w:p>
      <w:pPr>
        <w:spacing w:before="0"/>
        <w:ind w:left="403" w:right="0" w:hanging="1"/>
        <w:jc w:val="left"/>
        <w:rPr>
          <w:sz w:val="18"/>
        </w:rPr>
      </w:pPr>
      <w:r>
        <w:rPr>
          <w:spacing w:val="-2"/>
          <w:sz w:val="18"/>
        </w:rPr>
        <w:t>&lt;https://</w:t>
      </w:r>
      <w:hyperlink r:id="rId11">
        <w:r>
          <w:rPr>
            <w:spacing w:val="-2"/>
            <w:sz w:val="18"/>
          </w:rPr>
          <w:t>www.cfr.gov.au/publications/cfr-publications/2016/regulatory-expectations-policy-statement/pdf/policy-</w:t>
        </w:r>
      </w:hyperlink>
      <w:r>
        <w:rPr>
          <w:sz w:val="18"/>
        </w:rPr>
        <w:t> </w:t>
      </w:r>
      <w:r>
        <w:rPr>
          <w:spacing w:val="-2"/>
          <w:sz w:val="18"/>
        </w:rPr>
        <w:t>statement.pdf&gt;.</w:t>
      </w:r>
    </w:p>
    <w:p>
      <w:pPr>
        <w:pStyle w:val="ListParagraph"/>
        <w:numPr>
          <w:ilvl w:val="0"/>
          <w:numId w:val="1"/>
        </w:numPr>
        <w:tabs>
          <w:tab w:pos="404" w:val="left" w:leader="none"/>
        </w:tabs>
        <w:spacing w:line="240" w:lineRule="auto" w:before="0" w:after="0"/>
        <w:ind w:left="404" w:right="320" w:hanging="284"/>
        <w:jc w:val="left"/>
        <w:rPr>
          <w:sz w:val="18"/>
        </w:rPr>
      </w:pPr>
      <w:r>
        <w:rPr>
          <w:sz w:val="18"/>
        </w:rPr>
        <w:t>The</w:t>
      </w:r>
      <w:r>
        <w:rPr>
          <w:spacing w:val="-8"/>
          <w:sz w:val="18"/>
        </w:rPr>
        <w:t> </w:t>
      </w:r>
      <w:r>
        <w:rPr>
          <w:sz w:val="18"/>
        </w:rPr>
        <w:t>consultation</w:t>
      </w:r>
      <w:r>
        <w:rPr>
          <w:spacing w:val="-8"/>
          <w:sz w:val="18"/>
        </w:rPr>
        <w:t> </w:t>
      </w:r>
      <w:r>
        <w:rPr>
          <w:sz w:val="18"/>
        </w:rPr>
        <w:t>is</w:t>
      </w:r>
      <w:r>
        <w:rPr>
          <w:spacing w:val="-8"/>
          <w:sz w:val="18"/>
        </w:rPr>
        <w:t> </w:t>
      </w:r>
      <w:r>
        <w:rPr>
          <w:sz w:val="18"/>
        </w:rPr>
        <w:t>available</w:t>
      </w:r>
      <w:r>
        <w:rPr>
          <w:spacing w:val="-8"/>
          <w:sz w:val="18"/>
        </w:rPr>
        <w:t> </w:t>
      </w:r>
      <w:r>
        <w:rPr>
          <w:sz w:val="18"/>
        </w:rPr>
        <w:t>at</w:t>
      </w:r>
      <w:r>
        <w:rPr>
          <w:spacing w:val="-8"/>
          <w:sz w:val="18"/>
        </w:rPr>
        <w:t> </w:t>
      </w:r>
      <w:r>
        <w:rPr>
          <w:sz w:val="18"/>
        </w:rPr>
        <w:t>&lt;https://</w:t>
      </w:r>
      <w:hyperlink r:id="rId12">
        <w:r>
          <w:rPr>
            <w:sz w:val="18"/>
          </w:rPr>
          <w:t>www.cfr.gov.au/publications/consultations/safe-and-effective-competition-in-</w:t>
        </w:r>
      </w:hyperlink>
      <w:r>
        <w:rPr>
          <w:sz w:val="18"/>
        </w:rPr>
        <w:t> </w:t>
      </w:r>
      <w:r>
        <w:rPr>
          <w:spacing w:val="-2"/>
          <w:sz w:val="18"/>
        </w:rPr>
        <w:t>cash-equity-settlement-in-australia/index.html&gt;.</w:t>
      </w:r>
    </w:p>
    <w:p>
      <w:pPr>
        <w:pStyle w:val="ListParagraph"/>
        <w:numPr>
          <w:ilvl w:val="0"/>
          <w:numId w:val="1"/>
        </w:numPr>
        <w:tabs>
          <w:tab w:pos="405" w:val="left" w:leader="none"/>
        </w:tabs>
        <w:spacing w:line="240" w:lineRule="auto" w:before="0" w:after="0"/>
        <w:ind w:left="404" w:right="381" w:hanging="284"/>
        <w:jc w:val="left"/>
        <w:rPr>
          <w:sz w:val="18"/>
        </w:rPr>
      </w:pPr>
      <w:r>
        <w:rPr>
          <w:sz w:val="18"/>
        </w:rPr>
        <w:t>A</w:t>
      </w:r>
      <w:r>
        <w:rPr>
          <w:spacing w:val="-3"/>
          <w:sz w:val="18"/>
        </w:rPr>
        <w:t> </w:t>
      </w:r>
      <w:r>
        <w:rPr>
          <w:sz w:val="18"/>
        </w:rPr>
        <w:t>more</w:t>
      </w:r>
      <w:r>
        <w:rPr>
          <w:spacing w:val="-3"/>
          <w:sz w:val="18"/>
        </w:rPr>
        <w:t> </w:t>
      </w:r>
      <w:r>
        <w:rPr>
          <w:sz w:val="18"/>
        </w:rPr>
        <w:t>detailed</w:t>
      </w:r>
      <w:r>
        <w:rPr>
          <w:spacing w:val="-3"/>
          <w:sz w:val="18"/>
        </w:rPr>
        <w:t> </w:t>
      </w:r>
      <w:r>
        <w:rPr>
          <w:sz w:val="18"/>
        </w:rPr>
        <w:t>summary</w:t>
      </w:r>
      <w:r>
        <w:rPr>
          <w:spacing w:val="-2"/>
          <w:sz w:val="18"/>
        </w:rPr>
        <w:t> </w:t>
      </w:r>
      <w:r>
        <w:rPr>
          <w:sz w:val="18"/>
        </w:rPr>
        <w:t>of</w:t>
      </w:r>
      <w:r>
        <w:rPr>
          <w:spacing w:val="-2"/>
          <w:sz w:val="18"/>
        </w:rPr>
        <w:t> </w:t>
      </w:r>
      <w:r>
        <w:rPr>
          <w:sz w:val="18"/>
        </w:rPr>
        <w:t>the</w:t>
      </w:r>
      <w:r>
        <w:rPr>
          <w:spacing w:val="-1"/>
          <w:sz w:val="18"/>
        </w:rPr>
        <w:t> </w:t>
      </w:r>
      <w:r>
        <w:rPr>
          <w:sz w:val="18"/>
        </w:rPr>
        <w:t>feedback</w:t>
      </w:r>
      <w:r>
        <w:rPr>
          <w:spacing w:val="-3"/>
          <w:sz w:val="18"/>
        </w:rPr>
        <w:t> </w:t>
      </w:r>
      <w:r>
        <w:rPr>
          <w:sz w:val="18"/>
        </w:rPr>
        <w:t>received</w:t>
      </w:r>
      <w:r>
        <w:rPr>
          <w:spacing w:val="-1"/>
          <w:sz w:val="18"/>
        </w:rPr>
        <w:t> </w:t>
      </w:r>
      <w:r>
        <w:rPr>
          <w:sz w:val="18"/>
        </w:rPr>
        <w:t>is</w:t>
      </w:r>
      <w:r>
        <w:rPr>
          <w:spacing w:val="-3"/>
          <w:sz w:val="18"/>
        </w:rPr>
        <w:t> </w:t>
      </w:r>
      <w:r>
        <w:rPr>
          <w:sz w:val="18"/>
        </w:rPr>
        <w:t>available</w:t>
      </w:r>
      <w:r>
        <w:rPr>
          <w:spacing w:val="-3"/>
          <w:sz w:val="18"/>
        </w:rPr>
        <w:t> </w:t>
      </w:r>
      <w:r>
        <w:rPr>
          <w:sz w:val="18"/>
        </w:rPr>
        <w:t>in</w:t>
      </w:r>
      <w:r>
        <w:rPr>
          <w:spacing w:val="-1"/>
          <w:sz w:val="18"/>
        </w:rPr>
        <w:t> </w:t>
      </w:r>
      <w:r>
        <w:rPr>
          <w:sz w:val="18"/>
        </w:rPr>
        <w:t>the</w:t>
      </w:r>
      <w:r>
        <w:rPr>
          <w:spacing w:val="-3"/>
          <w:sz w:val="18"/>
        </w:rPr>
        <w:t> </w:t>
      </w:r>
      <w:r>
        <w:rPr>
          <w:sz w:val="18"/>
        </w:rPr>
        <w:t>Agencies’</w:t>
      </w:r>
      <w:r>
        <w:rPr>
          <w:spacing w:val="-2"/>
          <w:sz w:val="18"/>
        </w:rPr>
        <w:t> </w:t>
      </w:r>
      <w:r>
        <w:rPr>
          <w:sz w:val="18"/>
        </w:rPr>
        <w:t>report:</w:t>
      </w:r>
      <w:r>
        <w:rPr>
          <w:spacing w:val="-1"/>
          <w:sz w:val="18"/>
        </w:rPr>
        <w:t> </w:t>
      </w:r>
      <w:r>
        <w:rPr>
          <w:sz w:val="18"/>
        </w:rPr>
        <w:t>Safe</w:t>
      </w:r>
      <w:r>
        <w:rPr>
          <w:spacing w:val="-3"/>
          <w:sz w:val="18"/>
        </w:rPr>
        <w:t> </w:t>
      </w:r>
      <w:r>
        <w:rPr>
          <w:sz w:val="18"/>
        </w:rPr>
        <w:t>and</w:t>
      </w:r>
      <w:r>
        <w:rPr>
          <w:spacing w:val="-3"/>
          <w:sz w:val="18"/>
        </w:rPr>
        <w:t> </w:t>
      </w:r>
      <w:r>
        <w:rPr>
          <w:sz w:val="18"/>
        </w:rPr>
        <w:t>Effective</w:t>
      </w:r>
      <w:r>
        <w:rPr>
          <w:spacing w:val="-3"/>
          <w:sz w:val="18"/>
        </w:rPr>
        <w:t> </w:t>
      </w:r>
      <w:r>
        <w:rPr>
          <w:sz w:val="18"/>
        </w:rPr>
        <w:t>Competition in Cash Equity Settlement in Australia: Response to Consultation, available at</w:t>
      </w:r>
    </w:p>
    <w:p>
      <w:pPr>
        <w:spacing w:before="0"/>
        <w:ind w:left="404" w:right="0" w:hanging="1"/>
        <w:jc w:val="left"/>
        <w:rPr>
          <w:sz w:val="18"/>
        </w:rPr>
      </w:pPr>
      <w:r>
        <w:rPr>
          <w:spacing w:val="-2"/>
          <w:sz w:val="18"/>
        </w:rPr>
        <w:t>&lt;https://</w:t>
      </w:r>
      <w:hyperlink r:id="rId13">
        <w:r>
          <w:rPr>
            <w:spacing w:val="-2"/>
            <w:sz w:val="18"/>
          </w:rPr>
          <w:t>www.cfr.gov.au/publications/cfr-publications/2017/safe-effective-competition-response/pdf/response-to-</w:t>
        </w:r>
      </w:hyperlink>
      <w:r>
        <w:rPr>
          <w:sz w:val="18"/>
        </w:rPr>
        <w:t> </w:t>
      </w:r>
      <w:r>
        <w:rPr>
          <w:spacing w:val="-2"/>
          <w:sz w:val="18"/>
        </w:rPr>
        <w:t>consultation.pdf&gt;.</w:t>
      </w:r>
    </w:p>
    <w:p>
      <w:pPr>
        <w:spacing w:after="0"/>
        <w:jc w:val="left"/>
        <w:rPr>
          <w:sz w:val="18"/>
        </w:rPr>
        <w:sectPr>
          <w:footerReference w:type="default" r:id="rId7"/>
          <w:footerReference w:type="even" r:id="rId8"/>
          <w:pgSz w:w="11910" w:h="16840"/>
          <w:pgMar w:footer="713" w:header="0" w:top="1440" w:bottom="900" w:left="1320" w:right="1160"/>
          <w:pgNumType w:start="1"/>
        </w:sectPr>
      </w:pPr>
    </w:p>
    <w:p>
      <w:pPr>
        <w:pStyle w:val="BodyText"/>
        <w:spacing w:before="38"/>
        <w:ind w:left="119" w:right="274"/>
        <w:jc w:val="both"/>
      </w:pPr>
      <w:r>
        <w:rPr/>
        <w:t>Some aspects of the Minimum Conditions (Settlement) are not enforceable under the existing regulatory framework (such as access by a competing clearing and settlement (CS) facility on transparent, non-discriminatory, and fair and reasonable terms). Nevertheless, the Agencies expect that service providers of settlement services will operate in a manner that is consistent with the Minimum Conditions (Settlement).</w:t>
      </w:r>
    </w:p>
    <w:p>
      <w:pPr>
        <w:pStyle w:val="BodyText"/>
        <w:spacing w:before="119"/>
        <w:ind w:left="119" w:right="275"/>
        <w:jc w:val="both"/>
      </w:pPr>
      <w:r>
        <w:rPr/>
        <w:t>The Agencies will work with the Government to fully implement the Minimum Conditions (Settlement) through legislative changes. It is proposed that the legislative changes will include provisions that:</w:t>
      </w:r>
    </w:p>
    <w:p>
      <w:pPr>
        <w:pStyle w:val="ListParagraph"/>
        <w:numPr>
          <w:ilvl w:val="0"/>
          <w:numId w:val="2"/>
        </w:numPr>
        <w:tabs>
          <w:tab w:pos="545" w:val="left" w:leader="none"/>
        </w:tabs>
        <w:spacing w:line="240" w:lineRule="auto" w:before="121" w:after="0"/>
        <w:ind w:left="544" w:right="451" w:hanging="425"/>
        <w:jc w:val="both"/>
        <w:rPr>
          <w:sz w:val="22"/>
        </w:rPr>
      </w:pPr>
      <w:r>
        <w:rPr>
          <w:sz w:val="22"/>
        </w:rPr>
        <w:t>allow</w:t>
      </w:r>
      <w:r>
        <w:rPr>
          <w:spacing w:val="-3"/>
          <w:sz w:val="22"/>
        </w:rPr>
        <w:t> </w:t>
      </w:r>
      <w:r>
        <w:rPr>
          <w:sz w:val="22"/>
        </w:rPr>
        <w:t>the</w:t>
      </w:r>
      <w:r>
        <w:rPr>
          <w:spacing w:val="-1"/>
          <w:sz w:val="22"/>
        </w:rPr>
        <w:t> </w:t>
      </w:r>
      <w:r>
        <w:rPr>
          <w:sz w:val="22"/>
        </w:rPr>
        <w:t>relevant</w:t>
      </w:r>
      <w:r>
        <w:rPr>
          <w:spacing w:val="-2"/>
          <w:sz w:val="22"/>
        </w:rPr>
        <w:t> </w:t>
      </w:r>
      <w:r>
        <w:rPr>
          <w:sz w:val="22"/>
        </w:rPr>
        <w:t>regulators</w:t>
      </w:r>
      <w:r>
        <w:rPr>
          <w:spacing w:val="-2"/>
          <w:sz w:val="22"/>
        </w:rPr>
        <w:t> </w:t>
      </w:r>
      <w:r>
        <w:rPr>
          <w:sz w:val="22"/>
        </w:rPr>
        <w:t>to</w:t>
      </w:r>
      <w:r>
        <w:rPr>
          <w:spacing w:val="-3"/>
          <w:sz w:val="22"/>
        </w:rPr>
        <w:t> </w:t>
      </w:r>
      <w:r>
        <w:rPr>
          <w:sz w:val="22"/>
        </w:rPr>
        <w:t>implement</w:t>
      </w:r>
      <w:r>
        <w:rPr>
          <w:spacing w:val="-1"/>
          <w:sz w:val="22"/>
        </w:rPr>
        <w:t> </w:t>
      </w:r>
      <w:r>
        <w:rPr>
          <w:sz w:val="22"/>
        </w:rPr>
        <w:t>and</w:t>
      </w:r>
      <w:r>
        <w:rPr>
          <w:spacing w:val="-5"/>
          <w:sz w:val="22"/>
        </w:rPr>
        <w:t> </w:t>
      </w:r>
      <w:r>
        <w:rPr>
          <w:sz w:val="22"/>
        </w:rPr>
        <w:t>enforce</w:t>
      </w:r>
      <w:r>
        <w:rPr>
          <w:spacing w:val="-1"/>
          <w:sz w:val="22"/>
        </w:rPr>
        <w:t> </w:t>
      </w:r>
      <w:r>
        <w:rPr>
          <w:sz w:val="22"/>
        </w:rPr>
        <w:t>the</w:t>
      </w:r>
      <w:r>
        <w:rPr>
          <w:spacing w:val="-4"/>
          <w:sz w:val="22"/>
        </w:rPr>
        <w:t> </w:t>
      </w:r>
      <w:r>
        <w:rPr>
          <w:sz w:val="22"/>
        </w:rPr>
        <w:t>Minimum</w:t>
      </w:r>
      <w:r>
        <w:rPr>
          <w:spacing w:val="-3"/>
          <w:sz w:val="22"/>
        </w:rPr>
        <w:t> </w:t>
      </w:r>
      <w:r>
        <w:rPr>
          <w:sz w:val="22"/>
        </w:rPr>
        <w:t>Conditions</w:t>
      </w:r>
      <w:r>
        <w:rPr>
          <w:spacing w:val="-4"/>
          <w:sz w:val="22"/>
        </w:rPr>
        <w:t> </w:t>
      </w:r>
      <w:r>
        <w:rPr>
          <w:sz w:val="22"/>
        </w:rPr>
        <w:t>(Settlement) through the use of a rule-making power; and</w:t>
      </w:r>
    </w:p>
    <w:p>
      <w:pPr>
        <w:pStyle w:val="ListParagraph"/>
        <w:numPr>
          <w:ilvl w:val="0"/>
          <w:numId w:val="2"/>
        </w:numPr>
        <w:tabs>
          <w:tab w:pos="545" w:val="left" w:leader="none"/>
        </w:tabs>
        <w:spacing w:line="240" w:lineRule="auto" w:before="120" w:after="0"/>
        <w:ind w:left="544" w:right="0" w:hanging="426"/>
        <w:jc w:val="both"/>
        <w:rPr>
          <w:sz w:val="22"/>
        </w:rPr>
      </w:pPr>
      <w:r>
        <w:rPr>
          <w:sz w:val="22"/>
        </w:rPr>
        <w:t>grant</w:t>
      </w:r>
      <w:r>
        <w:rPr>
          <w:spacing w:val="-7"/>
          <w:sz w:val="22"/>
        </w:rPr>
        <w:t> </w:t>
      </w:r>
      <w:r>
        <w:rPr>
          <w:sz w:val="22"/>
        </w:rPr>
        <w:t>the</w:t>
      </w:r>
      <w:r>
        <w:rPr>
          <w:spacing w:val="-3"/>
          <w:sz w:val="22"/>
        </w:rPr>
        <w:t> </w:t>
      </w:r>
      <w:r>
        <w:rPr>
          <w:sz w:val="22"/>
        </w:rPr>
        <w:t>ACCC</w:t>
      </w:r>
      <w:r>
        <w:rPr>
          <w:spacing w:val="-6"/>
          <w:sz w:val="22"/>
        </w:rPr>
        <w:t> </w:t>
      </w:r>
      <w:r>
        <w:rPr>
          <w:sz w:val="22"/>
        </w:rPr>
        <w:t>power</w:t>
      </w:r>
      <w:r>
        <w:rPr>
          <w:spacing w:val="-6"/>
          <w:sz w:val="22"/>
        </w:rPr>
        <w:t> </w:t>
      </w:r>
      <w:r>
        <w:rPr>
          <w:sz w:val="22"/>
        </w:rPr>
        <w:t>to</w:t>
      </w:r>
      <w:r>
        <w:rPr>
          <w:spacing w:val="-5"/>
          <w:sz w:val="22"/>
        </w:rPr>
        <w:t> </w:t>
      </w:r>
      <w:r>
        <w:rPr>
          <w:sz w:val="22"/>
        </w:rPr>
        <w:t>arbitrate</w:t>
      </w:r>
      <w:r>
        <w:rPr>
          <w:spacing w:val="-3"/>
          <w:sz w:val="22"/>
        </w:rPr>
        <w:t> </w:t>
      </w:r>
      <w:r>
        <w:rPr>
          <w:sz w:val="22"/>
        </w:rPr>
        <w:t>disputes</w:t>
      </w:r>
      <w:r>
        <w:rPr>
          <w:spacing w:val="-4"/>
          <w:sz w:val="22"/>
        </w:rPr>
        <w:t> </w:t>
      </w:r>
      <w:r>
        <w:rPr>
          <w:sz w:val="22"/>
        </w:rPr>
        <w:t>regarding</w:t>
      </w:r>
      <w:r>
        <w:rPr>
          <w:spacing w:val="-7"/>
          <w:sz w:val="22"/>
        </w:rPr>
        <w:t> </w:t>
      </w:r>
      <w:r>
        <w:rPr>
          <w:sz w:val="22"/>
        </w:rPr>
        <w:t>access</w:t>
      </w:r>
      <w:r>
        <w:rPr>
          <w:spacing w:val="-6"/>
          <w:sz w:val="22"/>
        </w:rPr>
        <w:t> </w:t>
      </w:r>
      <w:r>
        <w:rPr>
          <w:sz w:val="22"/>
        </w:rPr>
        <w:t>to</w:t>
      </w:r>
      <w:r>
        <w:rPr>
          <w:spacing w:val="-5"/>
          <w:sz w:val="22"/>
        </w:rPr>
        <w:t> </w:t>
      </w:r>
      <w:r>
        <w:rPr>
          <w:sz w:val="22"/>
        </w:rPr>
        <w:t>services</w:t>
      </w:r>
      <w:r>
        <w:rPr>
          <w:spacing w:val="-3"/>
          <w:sz w:val="22"/>
        </w:rPr>
        <w:t> </w:t>
      </w:r>
      <w:r>
        <w:rPr>
          <w:sz w:val="22"/>
        </w:rPr>
        <w:t>(including</w:t>
      </w:r>
      <w:r>
        <w:rPr>
          <w:spacing w:val="-5"/>
          <w:sz w:val="22"/>
        </w:rPr>
        <w:t> </w:t>
      </w:r>
      <w:r>
        <w:rPr>
          <w:spacing w:val="-2"/>
          <w:sz w:val="22"/>
        </w:rPr>
        <w:t>data).</w:t>
      </w:r>
    </w:p>
    <w:p>
      <w:pPr>
        <w:pStyle w:val="BodyText"/>
        <w:spacing w:before="120"/>
        <w:ind w:left="118" w:right="275"/>
        <w:jc w:val="both"/>
      </w:pPr>
      <w:r>
        <w:rPr/>
        <w:t>The proposed legislative framework to implement in full the Minimum Conditions (Settlement)</w:t>
      </w:r>
      <w:r>
        <w:rPr>
          <w:spacing w:val="40"/>
        </w:rPr>
        <w:t> </w:t>
      </w:r>
      <w:r>
        <w:rPr/>
        <w:t>would set out the relevant high-level requirements, leaving the relevant regulators to impose any specific obligations at a later stage through the use of the rule-making powers.</w:t>
      </w:r>
    </w:p>
    <w:p>
      <w:pPr>
        <w:pStyle w:val="BodyText"/>
        <w:spacing w:before="119"/>
        <w:ind w:left="118" w:right="273"/>
        <w:jc w:val="both"/>
      </w:pPr>
      <w:r>
        <w:rPr/>
        <w:t>Given the importance of the Minimum Conditions (Settlement) in ensuring that competition does</w:t>
      </w:r>
      <w:r>
        <w:rPr>
          <w:spacing w:val="40"/>
        </w:rPr>
        <w:t> </w:t>
      </w:r>
      <w:r>
        <w:rPr/>
        <w:t>not adversely affect financial stability or effective market functioning, ASIC and the Bank would be unable to advise in favour of a licence application from a potential competitor until these legislative measures had been implemented. Consistent with the position of openness to competition,</w:t>
      </w:r>
      <w:r>
        <w:rPr>
          <w:spacing w:val="40"/>
        </w:rPr>
        <w:t> </w:t>
      </w:r>
      <w:r>
        <w:rPr/>
        <w:t>however, ASIC and the Bank would be prepared to engage with any potential entrant in the interim and commence consideration of a licence application, should one be submitted. In the event that a committed</w:t>
      </w:r>
      <w:r>
        <w:rPr>
          <w:spacing w:val="-4"/>
        </w:rPr>
        <w:t> </w:t>
      </w:r>
      <w:r>
        <w:rPr/>
        <w:t>competitor</w:t>
      </w:r>
      <w:r>
        <w:rPr>
          <w:spacing w:val="-3"/>
        </w:rPr>
        <w:t> </w:t>
      </w:r>
      <w:r>
        <w:rPr/>
        <w:t>submits</w:t>
      </w:r>
      <w:r>
        <w:rPr>
          <w:spacing w:val="-1"/>
        </w:rPr>
        <w:t> </w:t>
      </w:r>
      <w:r>
        <w:rPr/>
        <w:t>an</w:t>
      </w:r>
      <w:r>
        <w:rPr>
          <w:spacing w:val="-2"/>
        </w:rPr>
        <w:t> </w:t>
      </w:r>
      <w:r>
        <w:rPr/>
        <w:t>application</w:t>
      </w:r>
      <w:r>
        <w:rPr>
          <w:spacing w:val="-2"/>
        </w:rPr>
        <w:t> </w:t>
      </w:r>
      <w:r>
        <w:rPr/>
        <w:t>for</w:t>
      </w:r>
      <w:r>
        <w:rPr>
          <w:spacing w:val="-1"/>
        </w:rPr>
        <w:t> </w:t>
      </w:r>
      <w:r>
        <w:rPr/>
        <w:t>a</w:t>
      </w:r>
      <w:r>
        <w:rPr>
          <w:spacing w:val="-1"/>
        </w:rPr>
        <w:t> </w:t>
      </w:r>
      <w:r>
        <w:rPr/>
        <w:t>CS</w:t>
      </w:r>
      <w:r>
        <w:rPr>
          <w:spacing w:val="-4"/>
        </w:rPr>
        <w:t> </w:t>
      </w:r>
      <w:r>
        <w:rPr/>
        <w:t>facility licence,</w:t>
      </w:r>
      <w:r>
        <w:rPr>
          <w:spacing w:val="-3"/>
        </w:rPr>
        <w:t> </w:t>
      </w:r>
      <w:r>
        <w:rPr/>
        <w:t>consistent</w:t>
      </w:r>
      <w:r>
        <w:rPr>
          <w:spacing w:val="-5"/>
        </w:rPr>
        <w:t> </w:t>
      </w:r>
      <w:r>
        <w:rPr/>
        <w:t>with</w:t>
      </w:r>
      <w:r>
        <w:rPr>
          <w:spacing w:val="-2"/>
        </w:rPr>
        <w:t> </w:t>
      </w:r>
      <w:r>
        <w:rPr/>
        <w:t>past practice,</w:t>
      </w:r>
      <w:r>
        <w:rPr>
          <w:spacing w:val="-3"/>
        </w:rPr>
        <w:t> </w:t>
      </w:r>
      <w:r>
        <w:rPr/>
        <w:t>a public consultation on the potential effects of the applicant’s services on the market may be conducted by the relevant agency, in order to ensure that any potential risks have been adequately dealt with by stakeholders and the regulators.</w:t>
      </w:r>
    </w:p>
    <w:p>
      <w:pPr>
        <w:pStyle w:val="BodyText"/>
        <w:spacing w:before="119"/>
        <w:ind w:left="118" w:right="276"/>
        <w:jc w:val="both"/>
      </w:pPr>
      <w:r>
        <w:rPr/>
        <w:t>To the extent possible, ASIC, in consultation with the Bank, would offer guidance to a prospective competitor on potential specific requirements before the submission of a licence application. However, detailed specific</w:t>
      </w:r>
      <w:r>
        <w:rPr>
          <w:spacing w:val="-1"/>
        </w:rPr>
        <w:t> </w:t>
      </w:r>
      <w:r>
        <w:rPr/>
        <w:t>requirements would not be articulated</w:t>
      </w:r>
      <w:r>
        <w:rPr>
          <w:spacing w:val="-2"/>
        </w:rPr>
        <w:t> </w:t>
      </w:r>
      <w:r>
        <w:rPr/>
        <w:t>or implemented until such time as a committed competitor emerged, or was likely to emerge.</w:t>
      </w:r>
    </w:p>
    <w:p>
      <w:pPr>
        <w:pStyle w:val="BodyText"/>
        <w:spacing w:before="121"/>
        <w:ind w:left="118" w:right="275"/>
        <w:jc w:val="both"/>
      </w:pPr>
      <w:r>
        <w:rPr/>
        <w:t>Accordingly, ASX may not be required to make operational changes to accommodate competition until such time as a competing SSF committed to entry. However, at the same time, the</w:t>
      </w:r>
      <w:r>
        <w:rPr>
          <w:spacing w:val="40"/>
        </w:rPr>
        <w:t> </w:t>
      </w:r>
      <w:r>
        <w:rPr/>
        <w:t>technological</w:t>
      </w:r>
      <w:r>
        <w:rPr>
          <w:spacing w:val="-2"/>
        </w:rPr>
        <w:t> </w:t>
      </w:r>
      <w:r>
        <w:rPr/>
        <w:t>design</w:t>
      </w:r>
      <w:r>
        <w:rPr>
          <w:spacing w:val="-4"/>
        </w:rPr>
        <w:t> </w:t>
      </w:r>
      <w:r>
        <w:rPr/>
        <w:t>of</w:t>
      </w:r>
      <w:r>
        <w:rPr>
          <w:spacing w:val="-2"/>
        </w:rPr>
        <w:t> </w:t>
      </w:r>
      <w:r>
        <w:rPr/>
        <w:t>ASX’s</w:t>
      </w:r>
      <w:r>
        <w:rPr>
          <w:spacing w:val="-2"/>
        </w:rPr>
        <w:t> </w:t>
      </w:r>
      <w:r>
        <w:rPr/>
        <w:t>CS</w:t>
      </w:r>
      <w:r>
        <w:rPr>
          <w:spacing w:val="-2"/>
        </w:rPr>
        <w:t> </w:t>
      </w:r>
      <w:r>
        <w:rPr/>
        <w:t>infrastructure</w:t>
      </w:r>
      <w:r>
        <w:rPr>
          <w:spacing w:val="-3"/>
        </w:rPr>
        <w:t> </w:t>
      </w:r>
      <w:r>
        <w:rPr/>
        <w:t>should</w:t>
      </w:r>
      <w:r>
        <w:rPr>
          <w:spacing w:val="-4"/>
        </w:rPr>
        <w:t> </w:t>
      </w:r>
      <w:r>
        <w:rPr/>
        <w:t>not</w:t>
      </w:r>
      <w:r>
        <w:rPr>
          <w:spacing w:val="-1"/>
        </w:rPr>
        <w:t> </w:t>
      </w:r>
      <w:r>
        <w:rPr/>
        <w:t>raise</w:t>
      </w:r>
      <w:r>
        <w:rPr>
          <w:spacing w:val="-1"/>
        </w:rPr>
        <w:t> </w:t>
      </w:r>
      <w:r>
        <w:rPr/>
        <w:t>barriers</w:t>
      </w:r>
      <w:r>
        <w:rPr>
          <w:spacing w:val="-2"/>
        </w:rPr>
        <w:t> </w:t>
      </w:r>
      <w:r>
        <w:rPr/>
        <w:t>to</w:t>
      </w:r>
      <w:r>
        <w:rPr>
          <w:spacing w:val="-1"/>
        </w:rPr>
        <w:t> </w:t>
      </w:r>
      <w:r>
        <w:rPr/>
        <w:t>entry</w:t>
      </w:r>
      <w:r>
        <w:rPr>
          <w:spacing w:val="-2"/>
        </w:rPr>
        <w:t> </w:t>
      </w:r>
      <w:r>
        <w:rPr/>
        <w:t>or</w:t>
      </w:r>
      <w:r>
        <w:rPr>
          <w:spacing w:val="-2"/>
        </w:rPr>
        <w:t> </w:t>
      </w:r>
      <w:r>
        <w:rPr/>
        <w:t>otherwise</w:t>
      </w:r>
      <w:r>
        <w:rPr>
          <w:spacing w:val="-1"/>
        </w:rPr>
        <w:t> </w:t>
      </w:r>
      <w:r>
        <w:rPr/>
        <w:t>seek</w:t>
      </w:r>
      <w:r>
        <w:rPr>
          <w:spacing w:val="-1"/>
        </w:rPr>
        <w:t> </w:t>
      </w:r>
      <w:r>
        <w:rPr/>
        <w:t>to frustrate access to data or services that are necessary for the provision of settlement services by a competing service provider. ASIC and the ACCC have a particularly strong interest in this outcome being delivered.</w:t>
      </w:r>
    </w:p>
    <w:p>
      <w:pPr>
        <w:pStyle w:val="BodyText"/>
        <w:spacing w:before="119"/>
        <w:ind w:left="118" w:right="277"/>
        <w:jc w:val="both"/>
      </w:pPr>
      <w:r>
        <w:rPr/>
        <w:t>The Agencies expect to review the Minimum Conditions (Settlement) periodically, including in the event of material changes to the operating environment or market structure for these services.</w:t>
      </w:r>
    </w:p>
    <w:p>
      <w:pPr>
        <w:pStyle w:val="BodyText"/>
        <w:spacing w:before="9"/>
        <w:rPr>
          <w:sz w:val="16"/>
        </w:rPr>
      </w:pPr>
    </w:p>
    <w:p>
      <w:pPr>
        <w:pStyle w:val="Heading1"/>
        <w:ind w:left="120" w:firstLine="0"/>
        <w:jc w:val="both"/>
      </w:pPr>
      <w:bookmarkStart w:name="Minimum Conditions for Safe and Effectiv" w:id="3"/>
      <w:bookmarkEnd w:id="3"/>
      <w:r>
        <w:rPr>
          <w:b w:val="0"/>
        </w:rPr>
      </w:r>
      <w:r>
        <w:rPr>
          <w:color w:val="336699"/>
        </w:rPr>
        <w:t>Minimum</w:t>
      </w:r>
      <w:r>
        <w:rPr>
          <w:color w:val="336699"/>
          <w:spacing w:val="-5"/>
        </w:rPr>
        <w:t> </w:t>
      </w:r>
      <w:r>
        <w:rPr>
          <w:color w:val="336699"/>
        </w:rPr>
        <w:t>Conditions</w:t>
      </w:r>
      <w:r>
        <w:rPr>
          <w:color w:val="336699"/>
          <w:spacing w:val="-2"/>
        </w:rPr>
        <w:t> </w:t>
      </w:r>
      <w:r>
        <w:rPr>
          <w:color w:val="336699"/>
        </w:rPr>
        <w:t>for</w:t>
      </w:r>
      <w:r>
        <w:rPr>
          <w:color w:val="336699"/>
          <w:spacing w:val="-2"/>
        </w:rPr>
        <w:t> </w:t>
      </w:r>
      <w:r>
        <w:rPr>
          <w:color w:val="336699"/>
        </w:rPr>
        <w:t>Safe</w:t>
      </w:r>
      <w:r>
        <w:rPr>
          <w:color w:val="336699"/>
          <w:spacing w:val="-3"/>
        </w:rPr>
        <w:t> </w:t>
      </w:r>
      <w:r>
        <w:rPr>
          <w:color w:val="336699"/>
        </w:rPr>
        <w:t>and</w:t>
      </w:r>
      <w:r>
        <w:rPr>
          <w:color w:val="336699"/>
          <w:spacing w:val="-4"/>
        </w:rPr>
        <w:t> </w:t>
      </w:r>
      <w:r>
        <w:rPr>
          <w:color w:val="336699"/>
        </w:rPr>
        <w:t>Effective</w:t>
      </w:r>
      <w:r>
        <w:rPr>
          <w:color w:val="336699"/>
          <w:spacing w:val="-2"/>
        </w:rPr>
        <w:t> </w:t>
      </w:r>
      <w:r>
        <w:rPr>
          <w:color w:val="336699"/>
        </w:rPr>
        <w:t>Competition</w:t>
      </w:r>
      <w:r>
        <w:rPr>
          <w:color w:val="336699"/>
          <w:spacing w:val="-4"/>
        </w:rPr>
        <w:t> </w:t>
      </w:r>
      <w:r>
        <w:rPr>
          <w:color w:val="336699"/>
        </w:rPr>
        <w:t>in</w:t>
      </w:r>
      <w:r>
        <w:rPr>
          <w:color w:val="336699"/>
          <w:spacing w:val="-3"/>
        </w:rPr>
        <w:t> </w:t>
      </w:r>
      <w:r>
        <w:rPr>
          <w:color w:val="336699"/>
          <w:spacing w:val="-2"/>
        </w:rPr>
        <w:t>Settlement</w:t>
      </w:r>
    </w:p>
    <w:p>
      <w:pPr>
        <w:pStyle w:val="BodyText"/>
        <w:spacing w:before="117"/>
        <w:ind w:left="120"/>
      </w:pPr>
      <w:r>
        <w:rPr/>
        <w:t>The</w:t>
      </w:r>
      <w:r>
        <w:rPr>
          <w:spacing w:val="-4"/>
        </w:rPr>
        <w:t> </w:t>
      </w:r>
      <w:r>
        <w:rPr/>
        <w:t>Minimum</w:t>
      </w:r>
      <w:r>
        <w:rPr>
          <w:spacing w:val="-3"/>
        </w:rPr>
        <w:t> </w:t>
      </w:r>
      <w:r>
        <w:rPr/>
        <w:t>Conditions</w:t>
      </w:r>
      <w:r>
        <w:rPr>
          <w:spacing w:val="-6"/>
        </w:rPr>
        <w:t> </w:t>
      </w:r>
      <w:r>
        <w:rPr/>
        <w:t>(Settlement)</w:t>
      </w:r>
      <w:r>
        <w:rPr>
          <w:spacing w:val="-5"/>
        </w:rPr>
        <w:t> </w:t>
      </w:r>
      <w:r>
        <w:rPr/>
        <w:t>relate</w:t>
      </w:r>
      <w:r>
        <w:rPr>
          <w:spacing w:val="-6"/>
        </w:rPr>
        <w:t> </w:t>
      </w:r>
      <w:r>
        <w:rPr/>
        <w:t>to</w:t>
      </w:r>
      <w:r>
        <w:rPr>
          <w:spacing w:val="-5"/>
        </w:rPr>
        <w:t> </w:t>
      </w:r>
      <w:r>
        <w:rPr/>
        <w:t>the</w:t>
      </w:r>
      <w:r>
        <w:rPr>
          <w:spacing w:val="-3"/>
        </w:rPr>
        <w:t> </w:t>
      </w:r>
      <w:r>
        <w:rPr>
          <w:spacing w:val="-2"/>
        </w:rPr>
        <w:t>following.</w:t>
      </w:r>
    </w:p>
    <w:p>
      <w:pPr>
        <w:pStyle w:val="ListParagraph"/>
        <w:numPr>
          <w:ilvl w:val="0"/>
          <w:numId w:val="3"/>
        </w:numPr>
        <w:tabs>
          <w:tab w:pos="547" w:val="left" w:leader="none"/>
          <w:tab w:pos="548" w:val="left" w:leader="none"/>
        </w:tabs>
        <w:spacing w:line="240" w:lineRule="auto" w:before="120" w:after="0"/>
        <w:ind w:left="547" w:right="0" w:hanging="428"/>
        <w:jc w:val="left"/>
        <w:rPr>
          <w:sz w:val="22"/>
        </w:rPr>
      </w:pPr>
      <w:r>
        <w:rPr>
          <w:sz w:val="22"/>
        </w:rPr>
        <w:t>Adequate</w:t>
      </w:r>
      <w:r>
        <w:rPr>
          <w:spacing w:val="-7"/>
          <w:sz w:val="22"/>
        </w:rPr>
        <w:t> </w:t>
      </w:r>
      <w:r>
        <w:rPr>
          <w:sz w:val="22"/>
        </w:rPr>
        <w:t>regulatory</w:t>
      </w:r>
      <w:r>
        <w:rPr>
          <w:spacing w:val="-6"/>
          <w:sz w:val="22"/>
        </w:rPr>
        <w:t> </w:t>
      </w:r>
      <w:r>
        <w:rPr>
          <w:spacing w:val="-2"/>
          <w:sz w:val="22"/>
        </w:rPr>
        <w:t>arrangements:</w:t>
      </w:r>
    </w:p>
    <w:p>
      <w:pPr>
        <w:pStyle w:val="ListParagraph"/>
        <w:numPr>
          <w:ilvl w:val="1"/>
          <w:numId w:val="3"/>
        </w:numPr>
        <w:tabs>
          <w:tab w:pos="970" w:val="left" w:leader="none"/>
        </w:tabs>
        <w:spacing w:line="240" w:lineRule="auto" w:before="121" w:after="0"/>
        <w:ind w:left="970" w:right="421" w:hanging="426"/>
        <w:jc w:val="left"/>
        <w:rPr>
          <w:sz w:val="22"/>
        </w:rPr>
      </w:pPr>
      <w:r>
        <w:rPr>
          <w:sz w:val="22"/>
        </w:rPr>
        <w:t>Rigorous</w:t>
      </w:r>
      <w:r>
        <w:rPr>
          <w:spacing w:val="-5"/>
          <w:sz w:val="22"/>
        </w:rPr>
        <w:t> </w:t>
      </w:r>
      <w:r>
        <w:rPr>
          <w:sz w:val="22"/>
        </w:rPr>
        <w:t>oversight</w:t>
      </w:r>
      <w:r>
        <w:rPr>
          <w:spacing w:val="-5"/>
          <w:sz w:val="22"/>
        </w:rPr>
        <w:t> </w:t>
      </w:r>
      <w:r>
        <w:rPr>
          <w:sz w:val="22"/>
        </w:rPr>
        <w:t>against</w:t>
      </w:r>
      <w:r>
        <w:rPr>
          <w:spacing w:val="-5"/>
          <w:sz w:val="22"/>
        </w:rPr>
        <w:t> </w:t>
      </w:r>
      <w:r>
        <w:rPr>
          <w:sz w:val="22"/>
        </w:rPr>
        <w:t>the</w:t>
      </w:r>
      <w:r>
        <w:rPr>
          <w:spacing w:val="-2"/>
          <w:sz w:val="22"/>
        </w:rPr>
        <w:t> </w:t>
      </w:r>
      <w:r>
        <w:rPr>
          <w:sz w:val="22"/>
        </w:rPr>
        <w:t>Financial</w:t>
      </w:r>
      <w:r>
        <w:rPr>
          <w:spacing w:val="-3"/>
          <w:sz w:val="22"/>
        </w:rPr>
        <w:t> </w:t>
      </w:r>
      <w:r>
        <w:rPr>
          <w:sz w:val="22"/>
        </w:rPr>
        <w:t>Stability</w:t>
      </w:r>
      <w:r>
        <w:rPr>
          <w:spacing w:val="-1"/>
          <w:sz w:val="22"/>
        </w:rPr>
        <w:t> </w:t>
      </w:r>
      <w:r>
        <w:rPr>
          <w:sz w:val="22"/>
        </w:rPr>
        <w:t>Standards</w:t>
      </w:r>
      <w:r>
        <w:rPr>
          <w:spacing w:val="-3"/>
          <w:sz w:val="22"/>
        </w:rPr>
        <w:t> </w:t>
      </w:r>
      <w:r>
        <w:rPr>
          <w:sz w:val="22"/>
        </w:rPr>
        <w:t>and</w:t>
      </w:r>
      <w:r>
        <w:rPr>
          <w:spacing w:val="-4"/>
          <w:sz w:val="22"/>
        </w:rPr>
        <w:t> </w:t>
      </w:r>
      <w:r>
        <w:rPr>
          <w:sz w:val="22"/>
        </w:rPr>
        <w:t>other</w:t>
      </w:r>
      <w:r>
        <w:rPr>
          <w:spacing w:val="-5"/>
          <w:sz w:val="22"/>
        </w:rPr>
        <w:t> </w:t>
      </w:r>
      <w:r>
        <w:rPr>
          <w:sz w:val="22"/>
        </w:rPr>
        <w:t>requirements</w:t>
      </w:r>
      <w:r>
        <w:rPr>
          <w:spacing w:val="-3"/>
          <w:sz w:val="22"/>
        </w:rPr>
        <w:t> </w:t>
      </w:r>
      <w:r>
        <w:rPr>
          <w:sz w:val="22"/>
        </w:rPr>
        <w:t>under the Corporations Act</w:t>
      </w:r>
    </w:p>
    <w:p>
      <w:pPr>
        <w:pStyle w:val="ListParagraph"/>
        <w:numPr>
          <w:ilvl w:val="1"/>
          <w:numId w:val="3"/>
        </w:numPr>
        <w:tabs>
          <w:tab w:pos="970" w:val="left" w:leader="none"/>
        </w:tabs>
        <w:spacing w:line="240" w:lineRule="auto" w:before="120" w:after="0"/>
        <w:ind w:left="969" w:right="0" w:hanging="425"/>
        <w:jc w:val="left"/>
        <w:rPr>
          <w:sz w:val="22"/>
        </w:rPr>
      </w:pPr>
      <w:r>
        <w:rPr>
          <w:sz w:val="22"/>
        </w:rPr>
        <w:t>Application</w:t>
      </w:r>
      <w:r>
        <w:rPr>
          <w:spacing w:val="-10"/>
          <w:sz w:val="22"/>
        </w:rPr>
        <w:t> </w:t>
      </w:r>
      <w:r>
        <w:rPr>
          <w:sz w:val="22"/>
        </w:rPr>
        <w:t>of</w:t>
      </w:r>
      <w:r>
        <w:rPr>
          <w:spacing w:val="-4"/>
          <w:sz w:val="22"/>
        </w:rPr>
        <w:t> </w:t>
      </w:r>
      <w:r>
        <w:rPr>
          <w:sz w:val="22"/>
        </w:rPr>
        <w:t>the</w:t>
      </w:r>
      <w:r>
        <w:rPr>
          <w:spacing w:val="-6"/>
          <w:sz w:val="22"/>
        </w:rPr>
        <w:t> </w:t>
      </w:r>
      <w:r>
        <w:rPr>
          <w:sz w:val="22"/>
        </w:rPr>
        <w:t>CFR’s</w:t>
      </w:r>
      <w:r>
        <w:rPr>
          <w:spacing w:val="-4"/>
          <w:sz w:val="22"/>
        </w:rPr>
        <w:t> </w:t>
      </w:r>
      <w:r>
        <w:rPr>
          <w:sz w:val="22"/>
        </w:rPr>
        <w:t>framework</w:t>
      </w:r>
      <w:r>
        <w:rPr>
          <w:spacing w:val="-4"/>
          <w:sz w:val="22"/>
        </w:rPr>
        <w:t> </w:t>
      </w:r>
      <w:r>
        <w:rPr>
          <w:sz w:val="22"/>
        </w:rPr>
        <w:t>for</w:t>
      </w:r>
      <w:r>
        <w:rPr>
          <w:spacing w:val="-4"/>
          <w:sz w:val="22"/>
        </w:rPr>
        <w:t> </w:t>
      </w:r>
      <w:r>
        <w:rPr>
          <w:sz w:val="22"/>
        </w:rPr>
        <w:t>regulatory</w:t>
      </w:r>
      <w:r>
        <w:rPr>
          <w:spacing w:val="-4"/>
          <w:sz w:val="22"/>
        </w:rPr>
        <w:t> </w:t>
      </w:r>
      <w:r>
        <w:rPr>
          <w:sz w:val="22"/>
        </w:rPr>
        <w:t>influence</w:t>
      </w:r>
      <w:r>
        <w:rPr>
          <w:spacing w:val="-6"/>
          <w:sz w:val="22"/>
        </w:rPr>
        <w:t> </w:t>
      </w:r>
      <w:r>
        <w:rPr>
          <w:sz w:val="22"/>
        </w:rPr>
        <w:t>over</w:t>
      </w:r>
      <w:r>
        <w:rPr>
          <w:spacing w:val="-4"/>
          <w:sz w:val="22"/>
        </w:rPr>
        <w:t> </w:t>
      </w:r>
      <w:r>
        <w:rPr>
          <w:sz w:val="22"/>
        </w:rPr>
        <w:t>cross-border</w:t>
      </w:r>
      <w:r>
        <w:rPr>
          <w:spacing w:val="-4"/>
          <w:sz w:val="22"/>
        </w:rPr>
        <w:t> </w:t>
      </w:r>
      <w:r>
        <w:rPr>
          <w:sz w:val="22"/>
        </w:rPr>
        <w:t>CS</w:t>
      </w:r>
      <w:r>
        <w:rPr>
          <w:spacing w:val="-7"/>
          <w:sz w:val="22"/>
        </w:rPr>
        <w:t> </w:t>
      </w:r>
      <w:r>
        <w:rPr>
          <w:spacing w:val="-2"/>
          <w:sz w:val="22"/>
        </w:rPr>
        <w:t>facilities</w:t>
      </w:r>
    </w:p>
    <w:p>
      <w:pPr>
        <w:pStyle w:val="ListParagraph"/>
        <w:numPr>
          <w:ilvl w:val="1"/>
          <w:numId w:val="3"/>
        </w:numPr>
        <w:tabs>
          <w:tab w:pos="970" w:val="left" w:leader="none"/>
        </w:tabs>
        <w:spacing w:line="240" w:lineRule="auto" w:before="120" w:after="0"/>
        <w:ind w:left="969" w:right="0" w:hanging="425"/>
        <w:jc w:val="left"/>
        <w:rPr>
          <w:sz w:val="22"/>
        </w:rPr>
      </w:pPr>
      <w:r>
        <w:rPr>
          <w:i/>
          <w:sz w:val="22"/>
        </w:rPr>
        <w:t>Ex</w:t>
      </w:r>
      <w:r>
        <w:rPr>
          <w:i/>
          <w:spacing w:val="-3"/>
          <w:sz w:val="22"/>
        </w:rPr>
        <w:t> </w:t>
      </w:r>
      <w:r>
        <w:rPr>
          <w:i/>
          <w:sz w:val="22"/>
        </w:rPr>
        <w:t>ante</w:t>
      </w:r>
      <w:r>
        <w:rPr>
          <w:i/>
          <w:spacing w:val="-5"/>
          <w:sz w:val="22"/>
        </w:rPr>
        <w:t> </w:t>
      </w:r>
      <w:r>
        <w:rPr>
          <w:sz w:val="22"/>
        </w:rPr>
        <w:t>wind-down</w:t>
      </w:r>
      <w:r>
        <w:rPr>
          <w:spacing w:val="-4"/>
          <w:sz w:val="22"/>
        </w:rPr>
        <w:t> </w:t>
      </w:r>
      <w:r>
        <w:rPr>
          <w:sz w:val="22"/>
        </w:rPr>
        <w:t>plans</w:t>
      </w:r>
      <w:r>
        <w:rPr>
          <w:spacing w:val="-4"/>
          <w:sz w:val="22"/>
        </w:rPr>
        <w:t> </w:t>
      </w:r>
      <w:r>
        <w:rPr>
          <w:sz w:val="22"/>
        </w:rPr>
        <w:t>and</w:t>
      </w:r>
      <w:r>
        <w:rPr>
          <w:spacing w:val="-4"/>
          <w:sz w:val="22"/>
        </w:rPr>
        <w:t> </w:t>
      </w:r>
      <w:r>
        <w:rPr>
          <w:sz w:val="22"/>
        </w:rPr>
        <w:t>associated</w:t>
      </w:r>
      <w:r>
        <w:rPr>
          <w:spacing w:val="-4"/>
          <w:sz w:val="22"/>
        </w:rPr>
        <w:t> </w:t>
      </w:r>
      <w:r>
        <w:rPr>
          <w:spacing w:val="-2"/>
          <w:sz w:val="22"/>
        </w:rPr>
        <w:t>commitments</w:t>
      </w:r>
    </w:p>
    <w:p>
      <w:pPr>
        <w:pStyle w:val="ListParagraph"/>
        <w:numPr>
          <w:ilvl w:val="1"/>
          <w:numId w:val="3"/>
        </w:numPr>
        <w:tabs>
          <w:tab w:pos="970" w:val="left" w:leader="none"/>
        </w:tabs>
        <w:spacing w:line="240" w:lineRule="auto" w:before="121" w:after="0"/>
        <w:ind w:left="969" w:right="0" w:hanging="426"/>
        <w:jc w:val="left"/>
        <w:rPr>
          <w:sz w:val="22"/>
        </w:rPr>
      </w:pPr>
      <w:r>
        <w:rPr>
          <w:sz w:val="22"/>
        </w:rPr>
        <w:t>Appropriate</w:t>
      </w:r>
      <w:r>
        <w:rPr>
          <w:spacing w:val="-7"/>
          <w:sz w:val="22"/>
        </w:rPr>
        <w:t> </w:t>
      </w:r>
      <w:r>
        <w:rPr>
          <w:sz w:val="22"/>
        </w:rPr>
        <w:t>arrangements</w:t>
      </w:r>
      <w:r>
        <w:rPr>
          <w:spacing w:val="-7"/>
          <w:sz w:val="22"/>
        </w:rPr>
        <w:t> </w:t>
      </w:r>
      <w:r>
        <w:rPr>
          <w:sz w:val="22"/>
        </w:rPr>
        <w:t>for</w:t>
      </w:r>
      <w:r>
        <w:rPr>
          <w:spacing w:val="-5"/>
          <w:sz w:val="22"/>
        </w:rPr>
        <w:t> </w:t>
      </w:r>
      <w:r>
        <w:rPr>
          <w:sz w:val="22"/>
        </w:rPr>
        <w:t>certainty</w:t>
      </w:r>
      <w:r>
        <w:rPr>
          <w:spacing w:val="-6"/>
          <w:sz w:val="22"/>
        </w:rPr>
        <w:t> </w:t>
      </w:r>
      <w:r>
        <w:rPr>
          <w:sz w:val="22"/>
        </w:rPr>
        <w:t>of</w:t>
      </w:r>
      <w:r>
        <w:rPr>
          <w:spacing w:val="-5"/>
          <w:sz w:val="22"/>
        </w:rPr>
        <w:t> </w:t>
      </w:r>
      <w:r>
        <w:rPr>
          <w:sz w:val="22"/>
        </w:rPr>
        <w:t>securities</w:t>
      </w:r>
      <w:r>
        <w:rPr>
          <w:spacing w:val="-7"/>
          <w:sz w:val="22"/>
        </w:rPr>
        <w:t> </w:t>
      </w:r>
      <w:r>
        <w:rPr>
          <w:sz w:val="22"/>
        </w:rPr>
        <w:t>transfer</w:t>
      </w:r>
      <w:r>
        <w:rPr>
          <w:spacing w:val="-5"/>
          <w:sz w:val="22"/>
        </w:rPr>
        <w:t> </w:t>
      </w:r>
      <w:r>
        <w:rPr>
          <w:sz w:val="22"/>
        </w:rPr>
        <w:t>and</w:t>
      </w:r>
      <w:r>
        <w:rPr>
          <w:spacing w:val="-6"/>
          <w:sz w:val="22"/>
        </w:rPr>
        <w:t> </w:t>
      </w:r>
      <w:r>
        <w:rPr>
          <w:spacing w:val="-2"/>
          <w:sz w:val="22"/>
        </w:rPr>
        <w:t>administration.</w:t>
      </w:r>
    </w:p>
    <w:p>
      <w:pPr>
        <w:spacing w:after="0" w:line="240" w:lineRule="auto"/>
        <w:jc w:val="left"/>
        <w:rPr>
          <w:sz w:val="22"/>
        </w:rPr>
        <w:sectPr>
          <w:pgSz w:w="11910" w:h="16840"/>
          <w:pgMar w:header="0" w:footer="713" w:top="1380" w:bottom="900" w:left="1320" w:right="1160"/>
        </w:sectPr>
      </w:pPr>
    </w:p>
    <w:p>
      <w:pPr>
        <w:pStyle w:val="ListParagraph"/>
        <w:numPr>
          <w:ilvl w:val="0"/>
          <w:numId w:val="3"/>
        </w:numPr>
        <w:tabs>
          <w:tab w:pos="547" w:val="left" w:leader="none"/>
          <w:tab w:pos="548" w:val="left" w:leader="none"/>
        </w:tabs>
        <w:spacing w:line="240" w:lineRule="auto" w:before="38" w:after="0"/>
        <w:ind w:left="547" w:right="0" w:hanging="428"/>
        <w:jc w:val="left"/>
        <w:rPr>
          <w:sz w:val="22"/>
        </w:rPr>
      </w:pPr>
      <w:r>
        <w:rPr>
          <w:sz w:val="22"/>
        </w:rPr>
        <w:t>Access</w:t>
      </w:r>
      <w:r>
        <w:rPr>
          <w:spacing w:val="-10"/>
          <w:sz w:val="22"/>
        </w:rPr>
        <w:t> </w:t>
      </w:r>
      <w:r>
        <w:rPr>
          <w:sz w:val="22"/>
        </w:rPr>
        <w:t>on</w:t>
      </w:r>
      <w:r>
        <w:rPr>
          <w:spacing w:val="-6"/>
          <w:sz w:val="22"/>
        </w:rPr>
        <w:t> </w:t>
      </w:r>
      <w:r>
        <w:rPr>
          <w:sz w:val="22"/>
        </w:rPr>
        <w:t>transparent,</w:t>
      </w:r>
      <w:r>
        <w:rPr>
          <w:spacing w:val="-6"/>
          <w:sz w:val="22"/>
        </w:rPr>
        <w:t> </w:t>
      </w:r>
      <w:r>
        <w:rPr>
          <w:sz w:val="22"/>
        </w:rPr>
        <w:t>non-discriminatory,</w:t>
      </w:r>
      <w:r>
        <w:rPr>
          <w:spacing w:val="-7"/>
          <w:sz w:val="22"/>
        </w:rPr>
        <w:t> </w:t>
      </w:r>
      <w:r>
        <w:rPr>
          <w:sz w:val="22"/>
        </w:rPr>
        <w:t>and</w:t>
      </w:r>
      <w:r>
        <w:rPr>
          <w:spacing w:val="-7"/>
          <w:sz w:val="22"/>
        </w:rPr>
        <w:t> </w:t>
      </w:r>
      <w:r>
        <w:rPr>
          <w:sz w:val="22"/>
        </w:rPr>
        <w:t>fair</w:t>
      </w:r>
      <w:r>
        <w:rPr>
          <w:spacing w:val="-5"/>
          <w:sz w:val="22"/>
        </w:rPr>
        <w:t> </w:t>
      </w:r>
      <w:r>
        <w:rPr>
          <w:sz w:val="22"/>
        </w:rPr>
        <w:t>and</w:t>
      </w:r>
      <w:r>
        <w:rPr>
          <w:spacing w:val="-7"/>
          <w:sz w:val="22"/>
        </w:rPr>
        <w:t> </w:t>
      </w:r>
      <w:r>
        <w:rPr>
          <w:sz w:val="22"/>
        </w:rPr>
        <w:t>reasonable</w:t>
      </w:r>
      <w:r>
        <w:rPr>
          <w:spacing w:val="-4"/>
          <w:sz w:val="22"/>
        </w:rPr>
        <w:t> </w:t>
      </w:r>
      <w:r>
        <w:rPr>
          <w:spacing w:val="-2"/>
          <w:sz w:val="22"/>
        </w:rPr>
        <w:t>terms.</w:t>
      </w:r>
    </w:p>
    <w:p>
      <w:pPr>
        <w:pStyle w:val="ListParagraph"/>
        <w:numPr>
          <w:ilvl w:val="0"/>
          <w:numId w:val="3"/>
        </w:numPr>
        <w:tabs>
          <w:tab w:pos="546" w:val="left" w:leader="none"/>
          <w:tab w:pos="548" w:val="left" w:leader="none"/>
        </w:tabs>
        <w:spacing w:line="240" w:lineRule="auto" w:before="121" w:after="0"/>
        <w:ind w:left="547" w:right="0" w:hanging="429"/>
        <w:jc w:val="left"/>
        <w:rPr>
          <w:sz w:val="22"/>
        </w:rPr>
      </w:pPr>
      <w:r>
        <w:rPr>
          <w:sz w:val="22"/>
        </w:rPr>
        <w:t>Appropriate</w:t>
      </w:r>
      <w:r>
        <w:rPr>
          <w:spacing w:val="-4"/>
          <w:sz w:val="22"/>
        </w:rPr>
        <w:t> </w:t>
      </w:r>
      <w:r>
        <w:rPr>
          <w:sz w:val="22"/>
        </w:rPr>
        <w:t>links</w:t>
      </w:r>
      <w:r>
        <w:rPr>
          <w:spacing w:val="-6"/>
          <w:sz w:val="22"/>
        </w:rPr>
        <w:t> </w:t>
      </w:r>
      <w:r>
        <w:rPr>
          <w:sz w:val="22"/>
        </w:rPr>
        <w:t>between</w:t>
      </w:r>
      <w:r>
        <w:rPr>
          <w:spacing w:val="-9"/>
          <w:sz w:val="22"/>
        </w:rPr>
        <w:t> </w:t>
      </w:r>
      <w:r>
        <w:rPr>
          <w:sz w:val="22"/>
        </w:rPr>
        <w:t>competing</w:t>
      </w:r>
      <w:r>
        <w:rPr>
          <w:spacing w:val="-5"/>
          <w:sz w:val="22"/>
        </w:rPr>
        <w:t> </w:t>
      </w:r>
      <w:r>
        <w:rPr>
          <w:spacing w:val="-4"/>
          <w:sz w:val="22"/>
        </w:rPr>
        <w:t>SSFs.</w:t>
      </w:r>
    </w:p>
    <w:p>
      <w:pPr>
        <w:pStyle w:val="ListParagraph"/>
        <w:numPr>
          <w:ilvl w:val="0"/>
          <w:numId w:val="3"/>
        </w:numPr>
        <w:tabs>
          <w:tab w:pos="546" w:val="left" w:leader="none"/>
          <w:tab w:pos="548" w:val="left" w:leader="none"/>
        </w:tabs>
        <w:spacing w:line="240" w:lineRule="auto" w:before="120" w:after="0"/>
        <w:ind w:left="547" w:right="0" w:hanging="429"/>
        <w:jc w:val="left"/>
        <w:rPr>
          <w:sz w:val="22"/>
        </w:rPr>
      </w:pPr>
      <w:r>
        <w:rPr>
          <w:sz w:val="22"/>
        </w:rPr>
        <w:t>Appropriate</w:t>
      </w:r>
      <w:r>
        <w:rPr>
          <w:spacing w:val="-5"/>
          <w:sz w:val="22"/>
        </w:rPr>
        <w:t> </w:t>
      </w:r>
      <w:r>
        <w:rPr>
          <w:sz w:val="22"/>
        </w:rPr>
        <w:t>regulatory</w:t>
      </w:r>
      <w:r>
        <w:rPr>
          <w:spacing w:val="-4"/>
          <w:sz w:val="22"/>
        </w:rPr>
        <w:t> </w:t>
      </w:r>
      <w:r>
        <w:rPr>
          <w:sz w:val="22"/>
        </w:rPr>
        <w:t>arrangements</w:t>
      </w:r>
      <w:r>
        <w:rPr>
          <w:spacing w:val="-5"/>
          <w:sz w:val="22"/>
        </w:rPr>
        <w:t> </w:t>
      </w:r>
      <w:r>
        <w:rPr>
          <w:sz w:val="22"/>
        </w:rPr>
        <w:t>for</w:t>
      </w:r>
      <w:r>
        <w:rPr>
          <w:spacing w:val="-6"/>
          <w:sz w:val="22"/>
        </w:rPr>
        <w:t> </w:t>
      </w:r>
      <w:r>
        <w:rPr>
          <w:sz w:val="22"/>
        </w:rPr>
        <w:t>oversight</w:t>
      </w:r>
      <w:r>
        <w:rPr>
          <w:spacing w:val="-7"/>
          <w:sz w:val="22"/>
        </w:rPr>
        <w:t> </w:t>
      </w:r>
      <w:r>
        <w:rPr>
          <w:sz w:val="22"/>
        </w:rPr>
        <w:t>of</w:t>
      </w:r>
      <w:r>
        <w:rPr>
          <w:spacing w:val="-7"/>
          <w:sz w:val="22"/>
        </w:rPr>
        <w:t> </w:t>
      </w:r>
      <w:r>
        <w:rPr>
          <w:sz w:val="22"/>
        </w:rPr>
        <w:t>Primary</w:t>
      </w:r>
      <w:r>
        <w:rPr>
          <w:spacing w:val="-6"/>
          <w:sz w:val="22"/>
        </w:rPr>
        <w:t> </w:t>
      </w:r>
      <w:r>
        <w:rPr>
          <w:sz w:val="22"/>
        </w:rPr>
        <w:t>and</w:t>
      </w:r>
      <w:r>
        <w:rPr>
          <w:spacing w:val="-6"/>
          <w:sz w:val="22"/>
        </w:rPr>
        <w:t> </w:t>
      </w:r>
      <w:r>
        <w:rPr>
          <w:sz w:val="22"/>
        </w:rPr>
        <w:t>Secondary</w:t>
      </w:r>
      <w:r>
        <w:rPr>
          <w:spacing w:val="-5"/>
          <w:sz w:val="22"/>
        </w:rPr>
        <w:t> </w:t>
      </w:r>
      <w:r>
        <w:rPr>
          <w:spacing w:val="-2"/>
          <w:sz w:val="22"/>
        </w:rPr>
        <w:t>Markets.</w:t>
      </w:r>
    </w:p>
    <w:p>
      <w:pPr>
        <w:pStyle w:val="BodyText"/>
        <w:spacing w:before="120"/>
        <w:ind w:left="119" w:right="169"/>
      </w:pPr>
      <w:r>
        <w:rPr/>
        <w:t>Each</w:t>
      </w:r>
      <w:r>
        <w:rPr>
          <w:spacing w:val="-3"/>
        </w:rPr>
        <w:t> </w:t>
      </w:r>
      <w:r>
        <w:rPr/>
        <w:t>of</w:t>
      </w:r>
      <w:r>
        <w:rPr>
          <w:spacing w:val="-4"/>
        </w:rPr>
        <w:t> </w:t>
      </w:r>
      <w:r>
        <w:rPr/>
        <w:t>the</w:t>
      </w:r>
      <w:r>
        <w:rPr>
          <w:spacing w:val="-4"/>
        </w:rPr>
        <w:t> </w:t>
      </w:r>
      <w:r>
        <w:rPr/>
        <w:t>minimum</w:t>
      </w:r>
      <w:r>
        <w:rPr>
          <w:spacing w:val="-3"/>
        </w:rPr>
        <w:t> </w:t>
      </w:r>
      <w:r>
        <w:rPr/>
        <w:t>conditions</w:t>
      </w:r>
      <w:r>
        <w:rPr>
          <w:spacing w:val="-2"/>
        </w:rPr>
        <w:t> </w:t>
      </w:r>
      <w:r>
        <w:rPr/>
        <w:t>identified</w:t>
      </w:r>
      <w:r>
        <w:rPr>
          <w:spacing w:val="-3"/>
        </w:rPr>
        <w:t> </w:t>
      </w:r>
      <w:r>
        <w:rPr/>
        <w:t>above</w:t>
      </w:r>
      <w:r>
        <w:rPr>
          <w:spacing w:val="-4"/>
        </w:rPr>
        <w:t> </w:t>
      </w:r>
      <w:r>
        <w:rPr/>
        <w:t>is</w:t>
      </w:r>
      <w:r>
        <w:rPr>
          <w:spacing w:val="-2"/>
        </w:rPr>
        <w:t> </w:t>
      </w:r>
      <w:r>
        <w:rPr/>
        <w:t>considered</w:t>
      </w:r>
      <w:r>
        <w:rPr>
          <w:spacing w:val="-3"/>
        </w:rPr>
        <w:t> </w:t>
      </w:r>
      <w:r>
        <w:rPr/>
        <w:t>in</w:t>
      </w:r>
      <w:r>
        <w:rPr>
          <w:spacing w:val="-3"/>
        </w:rPr>
        <w:t> </w:t>
      </w:r>
      <w:r>
        <w:rPr/>
        <w:t>greater</w:t>
      </w:r>
      <w:r>
        <w:rPr>
          <w:spacing w:val="-2"/>
        </w:rPr>
        <w:t> </w:t>
      </w:r>
      <w:r>
        <w:rPr/>
        <w:t>detail</w:t>
      </w:r>
      <w:r>
        <w:rPr>
          <w:spacing w:val="-2"/>
        </w:rPr>
        <w:t> </w:t>
      </w:r>
      <w:r>
        <w:rPr/>
        <w:t>in</w:t>
      </w:r>
      <w:r>
        <w:rPr>
          <w:spacing w:val="-3"/>
        </w:rPr>
        <w:t> </w:t>
      </w:r>
      <w:r>
        <w:rPr/>
        <w:t>the</w:t>
      </w:r>
      <w:r>
        <w:rPr>
          <w:spacing w:val="-1"/>
        </w:rPr>
        <w:t> </w:t>
      </w:r>
      <w:r>
        <w:rPr/>
        <w:t>remainder</w:t>
      </w:r>
      <w:r>
        <w:rPr>
          <w:spacing w:val="-4"/>
        </w:rPr>
        <w:t> </w:t>
      </w:r>
      <w:r>
        <w:rPr/>
        <w:t>of this policy statement.</w:t>
      </w:r>
    </w:p>
    <w:p>
      <w:pPr>
        <w:pStyle w:val="BodyText"/>
        <w:spacing w:before="5"/>
        <w:rPr>
          <w:sz w:val="16"/>
        </w:rPr>
      </w:pPr>
    </w:p>
    <w:p>
      <w:pPr>
        <w:pStyle w:val="Heading1"/>
        <w:numPr>
          <w:ilvl w:val="0"/>
          <w:numId w:val="4"/>
        </w:numPr>
        <w:tabs>
          <w:tab w:pos="686" w:val="left" w:leader="none"/>
          <w:tab w:pos="687" w:val="left" w:leader="none"/>
        </w:tabs>
        <w:spacing w:line="240" w:lineRule="auto" w:before="0" w:after="0"/>
        <w:ind w:left="686" w:right="0" w:hanging="567"/>
        <w:jc w:val="left"/>
      </w:pPr>
      <w:bookmarkStart w:name="1.  Adequate Regulatory Arrangements" w:id="4"/>
      <w:bookmarkEnd w:id="4"/>
      <w:r>
        <w:rPr>
          <w:color w:val="336699"/>
        </w:rPr>
        <w:t>A</w:t>
      </w:r>
      <w:r>
        <w:rPr>
          <w:color w:val="336699"/>
        </w:rPr>
        <w:t>dequate</w:t>
      </w:r>
      <w:r>
        <w:rPr>
          <w:color w:val="336699"/>
          <w:spacing w:val="-4"/>
        </w:rPr>
        <w:t> </w:t>
      </w:r>
      <w:r>
        <w:rPr>
          <w:color w:val="336699"/>
        </w:rPr>
        <w:t>Regulatory</w:t>
      </w:r>
      <w:r>
        <w:rPr>
          <w:color w:val="336699"/>
          <w:spacing w:val="-4"/>
        </w:rPr>
        <w:t> </w:t>
      </w:r>
      <w:r>
        <w:rPr>
          <w:color w:val="336699"/>
          <w:spacing w:val="-2"/>
        </w:rPr>
        <w:t>Arrangements</w:t>
      </w:r>
    </w:p>
    <w:p>
      <w:pPr>
        <w:pStyle w:val="Heading2"/>
        <w:numPr>
          <w:ilvl w:val="0"/>
          <w:numId w:val="5"/>
        </w:numPr>
        <w:tabs>
          <w:tab w:pos="548" w:val="left" w:leader="none"/>
        </w:tabs>
        <w:spacing w:line="237" w:lineRule="auto" w:before="203" w:after="0"/>
        <w:ind w:left="547" w:right="297" w:hanging="428"/>
        <w:jc w:val="both"/>
      </w:pPr>
      <w:r>
        <w:rPr/>
        <w:t>Rigorous</w:t>
      </w:r>
      <w:r>
        <w:rPr>
          <w:spacing w:val="-2"/>
        </w:rPr>
        <w:t> </w:t>
      </w:r>
      <w:r>
        <w:rPr/>
        <w:t>oversight</w:t>
      </w:r>
      <w:r>
        <w:rPr>
          <w:spacing w:val="-3"/>
        </w:rPr>
        <w:t> </w:t>
      </w:r>
      <w:r>
        <w:rPr/>
        <w:t>against</w:t>
      </w:r>
      <w:r>
        <w:rPr>
          <w:spacing w:val="-5"/>
        </w:rPr>
        <w:t> </w:t>
      </w:r>
      <w:r>
        <w:rPr/>
        <w:t>the</w:t>
      </w:r>
      <w:r>
        <w:rPr>
          <w:spacing w:val="-3"/>
        </w:rPr>
        <w:t> </w:t>
      </w:r>
      <w:r>
        <w:rPr/>
        <w:t>Financial</w:t>
      </w:r>
      <w:r>
        <w:rPr>
          <w:spacing w:val="-2"/>
        </w:rPr>
        <w:t> </w:t>
      </w:r>
      <w:r>
        <w:rPr/>
        <w:t>Stability</w:t>
      </w:r>
      <w:r>
        <w:rPr>
          <w:spacing w:val="-2"/>
        </w:rPr>
        <w:t> </w:t>
      </w:r>
      <w:r>
        <w:rPr/>
        <w:t>Standards</w:t>
      </w:r>
      <w:r>
        <w:rPr>
          <w:spacing w:val="-2"/>
        </w:rPr>
        <w:t> </w:t>
      </w:r>
      <w:r>
        <w:rPr/>
        <w:t>and</w:t>
      </w:r>
      <w:r>
        <w:rPr>
          <w:spacing w:val="-4"/>
        </w:rPr>
        <w:t> </w:t>
      </w:r>
      <w:r>
        <w:rPr/>
        <w:t>other</w:t>
      </w:r>
      <w:r>
        <w:rPr>
          <w:spacing w:val="-2"/>
        </w:rPr>
        <w:t> </w:t>
      </w:r>
      <w:r>
        <w:rPr/>
        <w:t>requirements</w:t>
      </w:r>
      <w:r>
        <w:rPr>
          <w:spacing w:val="-2"/>
        </w:rPr>
        <w:t> </w:t>
      </w:r>
      <w:r>
        <w:rPr/>
        <w:t>under</w:t>
      </w:r>
      <w:r>
        <w:rPr>
          <w:spacing w:val="-2"/>
        </w:rPr>
        <w:t> </w:t>
      </w:r>
      <w:r>
        <w:rPr/>
        <w:t>the Corporations Act</w:t>
      </w:r>
    </w:p>
    <w:p>
      <w:pPr>
        <w:pStyle w:val="BodyText"/>
        <w:spacing w:before="122"/>
        <w:ind w:left="120" w:right="274"/>
        <w:jc w:val="both"/>
      </w:pPr>
      <w:r>
        <w:rPr/>
        <w:t>The Corporations</w:t>
      </w:r>
      <w:r>
        <w:rPr>
          <w:spacing w:val="-2"/>
        </w:rPr>
        <w:t> </w:t>
      </w:r>
      <w:r>
        <w:rPr/>
        <w:t>Act gives</w:t>
      </w:r>
      <w:r>
        <w:rPr>
          <w:spacing w:val="-4"/>
        </w:rPr>
        <w:t> </w:t>
      </w:r>
      <w:r>
        <w:rPr/>
        <w:t>ASIC and the Bank responsibility for the</w:t>
      </w:r>
      <w:r>
        <w:rPr>
          <w:spacing w:val="-1"/>
        </w:rPr>
        <w:t> </w:t>
      </w:r>
      <w:r>
        <w:rPr/>
        <w:t>regulation</w:t>
      </w:r>
      <w:r>
        <w:rPr>
          <w:spacing w:val="-3"/>
        </w:rPr>
        <w:t> </w:t>
      </w:r>
      <w:r>
        <w:rPr/>
        <w:t>of</w:t>
      </w:r>
      <w:r>
        <w:rPr>
          <w:spacing w:val="-2"/>
        </w:rPr>
        <w:t> </w:t>
      </w:r>
      <w:r>
        <w:rPr/>
        <w:t>CS facility</w:t>
      </w:r>
      <w:r>
        <w:rPr>
          <w:spacing w:val="-1"/>
        </w:rPr>
        <w:t> </w:t>
      </w:r>
      <w:r>
        <w:rPr/>
        <w:t>licensees. The Bank is responsible for determining financial stability standards for licensed CS facilities and assessing compliance by those facilities with those standards and their obligation to do all other things necessary to reduce systemic risk, to the extent that it is reasonably practicable to do so. The Bank’s </w:t>
      </w:r>
      <w:r>
        <w:rPr>
          <w:i/>
        </w:rPr>
        <w:t>Financial Stability Standards for Securities Settlement Facilities </w:t>
      </w:r>
      <w:r>
        <w:rPr/>
        <w:t>(SSF Standards) are aligned with the financial stability-related requirements of the CPMI-IOSCO Principles for Financial Market Infrastructure (PFMI), which establish an international benchmark for the risk management and operational standards of CS facilities.</w:t>
      </w:r>
      <w:r>
        <w:rPr>
          <w:vertAlign w:val="superscript"/>
        </w:rPr>
        <w:t>5</w:t>
      </w:r>
      <w:r>
        <w:rPr>
          <w:vertAlign w:val="baseline"/>
        </w:rPr>
        <w:t> ASIC is responsible for ensuring CS facilities comply with other obligations under the Corporations Act, as elaborated in ASIC’s Regulatory Guide 211: Clearing and Settlement Facilities: Australian and Overseas Operators (RG211).</w:t>
      </w:r>
      <w:r>
        <w:rPr>
          <w:vertAlign w:val="superscript"/>
        </w:rPr>
        <w:t>6</w:t>
      </w:r>
    </w:p>
    <w:p>
      <w:pPr>
        <w:pStyle w:val="BodyText"/>
        <w:spacing w:before="120"/>
        <w:ind w:left="120" w:right="275"/>
        <w:jc w:val="both"/>
      </w:pPr>
      <w:r>
        <w:rPr/>
        <w:t>The Bank and ASIC consider that equivalent application of the regulatory framework across competing SSFs should limit any scope for competition on the basis of less onerous risk controls,</w:t>
      </w:r>
      <w:r>
        <w:rPr>
          <w:spacing w:val="40"/>
        </w:rPr>
        <w:t> </w:t>
      </w:r>
      <w:r>
        <w:rPr/>
        <w:t>such that the market continues to function in a safe and effective manner.</w:t>
      </w:r>
    </w:p>
    <w:p>
      <w:pPr>
        <w:pStyle w:val="BodyText"/>
        <w:spacing w:before="120"/>
        <w:ind w:left="120" w:right="275" w:hanging="1"/>
        <w:jc w:val="both"/>
      </w:pPr>
      <w:r>
        <w:rPr/>
        <w:t>Application of the existing regulatory framework for CS facilities in a multi-SSF environment is also expected to be sufficient to address any additional risks to central counterparties, for example from mismatches in timing of settlement across SSFs and ‘un-netting’ of trades during the settlement </w:t>
      </w:r>
      <w:r>
        <w:rPr>
          <w:spacing w:val="-2"/>
        </w:rPr>
        <w:t>process.</w:t>
      </w:r>
    </w:p>
    <w:p>
      <w:pPr>
        <w:pStyle w:val="BodyText"/>
        <w:spacing w:before="5"/>
        <w:rPr>
          <w:sz w:val="16"/>
        </w:rPr>
      </w:pPr>
    </w:p>
    <w:p>
      <w:pPr>
        <w:pStyle w:val="Heading2"/>
        <w:numPr>
          <w:ilvl w:val="0"/>
          <w:numId w:val="5"/>
        </w:numPr>
        <w:tabs>
          <w:tab w:pos="548" w:val="left" w:leader="none"/>
        </w:tabs>
        <w:spacing w:line="240" w:lineRule="auto" w:before="0" w:after="0"/>
        <w:ind w:left="547" w:right="0" w:hanging="428"/>
        <w:jc w:val="both"/>
      </w:pPr>
      <w:r>
        <w:rPr/>
        <w:t>Application</w:t>
      </w:r>
      <w:r>
        <w:rPr>
          <w:spacing w:val="-8"/>
        </w:rPr>
        <w:t> </w:t>
      </w:r>
      <w:r>
        <w:rPr/>
        <w:t>of</w:t>
      </w:r>
      <w:r>
        <w:rPr>
          <w:spacing w:val="-4"/>
        </w:rPr>
        <w:t> </w:t>
      </w:r>
      <w:r>
        <w:rPr/>
        <w:t>the</w:t>
      </w:r>
      <w:r>
        <w:rPr>
          <w:spacing w:val="-8"/>
        </w:rPr>
        <w:t> </w:t>
      </w:r>
      <w:r>
        <w:rPr/>
        <w:t>CFR’s</w:t>
      </w:r>
      <w:r>
        <w:rPr>
          <w:spacing w:val="-3"/>
        </w:rPr>
        <w:t> </w:t>
      </w:r>
      <w:r>
        <w:rPr/>
        <w:t>framework</w:t>
      </w:r>
      <w:r>
        <w:rPr>
          <w:spacing w:val="-5"/>
        </w:rPr>
        <w:t> </w:t>
      </w:r>
      <w:r>
        <w:rPr/>
        <w:t>for</w:t>
      </w:r>
      <w:r>
        <w:rPr>
          <w:spacing w:val="-6"/>
        </w:rPr>
        <w:t> </w:t>
      </w:r>
      <w:r>
        <w:rPr/>
        <w:t>regulatory</w:t>
      </w:r>
      <w:r>
        <w:rPr>
          <w:spacing w:val="-5"/>
        </w:rPr>
        <w:t> </w:t>
      </w:r>
      <w:r>
        <w:rPr/>
        <w:t>influence</w:t>
      </w:r>
      <w:r>
        <w:rPr>
          <w:spacing w:val="-6"/>
        </w:rPr>
        <w:t> </w:t>
      </w:r>
      <w:r>
        <w:rPr/>
        <w:t>over</w:t>
      </w:r>
      <w:r>
        <w:rPr>
          <w:spacing w:val="-6"/>
        </w:rPr>
        <w:t> </w:t>
      </w:r>
      <w:r>
        <w:rPr/>
        <w:t>cross-border</w:t>
      </w:r>
      <w:r>
        <w:rPr>
          <w:spacing w:val="-6"/>
        </w:rPr>
        <w:t> </w:t>
      </w:r>
      <w:r>
        <w:rPr/>
        <w:t>CS</w:t>
      </w:r>
      <w:r>
        <w:rPr>
          <w:spacing w:val="-5"/>
        </w:rPr>
        <w:t> </w:t>
      </w:r>
      <w:r>
        <w:rPr>
          <w:spacing w:val="-2"/>
        </w:rPr>
        <w:t>facilities</w:t>
      </w:r>
    </w:p>
    <w:p>
      <w:pPr>
        <w:pStyle w:val="BodyText"/>
        <w:spacing w:before="118"/>
        <w:ind w:left="120" w:right="274"/>
        <w:jc w:val="both"/>
      </w:pPr>
      <w:r>
        <w:rPr/>
        <w:t>If a SSF was seeking to leverage existing capabilities in overseas markets, ASIC and the Bank’s supervisory approach would be guided by the CFR’s Regulatory Influence Framework.</w:t>
      </w:r>
      <w:r>
        <w:rPr>
          <w:vertAlign w:val="superscript"/>
        </w:rPr>
        <w:t>7</w:t>
      </w:r>
      <w:r>
        <w:rPr>
          <w:vertAlign w:val="baseline"/>
        </w:rPr>
        <w:t> This is a framework for ensuring that Australian regulators have sufficient influence over overseas providers of CS services in the Australian market to support domestic policy objectives.</w:t>
      </w:r>
    </w:p>
    <w:p>
      <w:pPr>
        <w:pStyle w:val="BodyText"/>
        <w:spacing w:before="121"/>
        <w:ind w:left="120" w:right="275"/>
        <w:jc w:val="both"/>
      </w:pPr>
      <w:r>
        <w:rPr/>
        <w:t>One measure under the Regulatory Influence Framework, which would apply primarily where a CS facility was both systemically important in Australia and had a strong domestic connection, is the requirement to incorporate locally and seek a domestic CS facility licence. As articulated in the Regulatory Influence Framework, a competing SSF that settles Australian securities would almost certainly have a strong domestic connection as it would operate in a primarily domestic market, perhaps</w:t>
      </w:r>
      <w:r>
        <w:rPr>
          <w:spacing w:val="40"/>
        </w:rPr>
        <w:t> </w:t>
      </w:r>
      <w:r>
        <w:rPr/>
        <w:t>with</w:t>
      </w:r>
      <w:r>
        <w:rPr>
          <w:spacing w:val="40"/>
        </w:rPr>
        <w:t> </w:t>
      </w:r>
      <w:r>
        <w:rPr/>
        <w:t>a</w:t>
      </w:r>
      <w:r>
        <w:rPr>
          <w:spacing w:val="40"/>
        </w:rPr>
        <w:t> </w:t>
      </w:r>
      <w:r>
        <w:rPr/>
        <w:t>high</w:t>
      </w:r>
      <w:r>
        <w:rPr>
          <w:spacing w:val="40"/>
        </w:rPr>
        <w:t> </w:t>
      </w:r>
      <w:r>
        <w:rPr/>
        <w:t>level</w:t>
      </w:r>
      <w:r>
        <w:rPr>
          <w:spacing w:val="40"/>
        </w:rPr>
        <w:t> </w:t>
      </w:r>
      <w:r>
        <w:rPr/>
        <w:t>of</w:t>
      </w:r>
      <w:r>
        <w:rPr>
          <w:spacing w:val="40"/>
        </w:rPr>
        <w:t> </w:t>
      </w:r>
      <w:r>
        <w:rPr/>
        <w:t>domestic</w:t>
      </w:r>
      <w:r>
        <w:rPr>
          <w:spacing w:val="40"/>
        </w:rPr>
        <w:t> </w:t>
      </w:r>
      <w:r>
        <w:rPr/>
        <w:t>retail</w:t>
      </w:r>
      <w:r>
        <w:rPr>
          <w:spacing w:val="40"/>
        </w:rPr>
        <w:t> </w:t>
      </w:r>
      <w:r>
        <w:rPr/>
        <w:t>participation.</w:t>
      </w:r>
      <w:r>
        <w:rPr>
          <w:spacing w:val="40"/>
        </w:rPr>
        <w:t> </w:t>
      </w:r>
      <w:r>
        <w:rPr/>
        <w:t>The</w:t>
      </w:r>
      <w:r>
        <w:rPr>
          <w:spacing w:val="40"/>
        </w:rPr>
        <w:t> </w:t>
      </w:r>
      <w:r>
        <w:rPr/>
        <w:t>Agencies</w:t>
      </w:r>
      <w:r>
        <w:rPr>
          <w:spacing w:val="40"/>
        </w:rPr>
        <w:t> </w:t>
      </w:r>
      <w:r>
        <w:rPr/>
        <w:t>consider</w:t>
      </w:r>
      <w:r>
        <w:rPr>
          <w:spacing w:val="40"/>
        </w:rPr>
        <w:t> </w:t>
      </w:r>
      <w:r>
        <w:rPr/>
        <w:t>this</w:t>
      </w:r>
      <w:r>
        <w:rPr>
          <w:spacing w:val="40"/>
        </w:rPr>
        <w:t> </w:t>
      </w:r>
      <w:r>
        <w:rPr/>
        <w:t>to</w:t>
      </w:r>
      <w:r>
        <w:rPr>
          <w:spacing w:val="40"/>
        </w:rPr>
        <w:t> </w:t>
      </w:r>
      <w:r>
        <w:rPr/>
        <w:t>be</w:t>
      </w:r>
      <w:r>
        <w:rPr>
          <w:spacing w:val="40"/>
        </w:rPr>
        <w:t> </w:t>
      </w:r>
      <w:r>
        <w:rPr/>
        <w:t>an</w:t>
      </w:r>
    </w:p>
    <w:p>
      <w:pPr>
        <w:pStyle w:val="BodyText"/>
        <w:spacing w:before="8"/>
        <w:rPr>
          <w:sz w:val="27"/>
        </w:rPr>
      </w:pPr>
      <w:r>
        <w:rPr/>
        <w:pict>
          <v:rect style="position:absolute;margin-left:72pt;margin-top:18.127148pt;width:144pt;height:.72pt;mso-position-horizontal-relative:page;mso-position-vertical-relative:paragraph;z-index:-15727104;mso-wrap-distance-left:0;mso-wrap-distance-right:0" id="docshape5" filled="true" fillcolor="#000000" stroked="false">
            <v:fill type="solid"/>
            <w10:wrap type="topAndBottom"/>
          </v:rect>
        </w:pict>
      </w:r>
    </w:p>
    <w:p>
      <w:pPr>
        <w:pStyle w:val="ListParagraph"/>
        <w:numPr>
          <w:ilvl w:val="0"/>
          <w:numId w:val="1"/>
        </w:numPr>
        <w:tabs>
          <w:tab w:pos="404" w:val="left" w:leader="none"/>
        </w:tabs>
        <w:spacing w:line="240" w:lineRule="auto" w:before="102" w:after="0"/>
        <w:ind w:left="403" w:right="392" w:hanging="284"/>
        <w:jc w:val="left"/>
        <w:rPr>
          <w:sz w:val="18"/>
        </w:rPr>
      </w:pPr>
      <w:r>
        <w:rPr>
          <w:sz w:val="18"/>
        </w:rPr>
        <w:t>The PFMI, published by the Committee on Payment and Settlement Systems (now known as the Committee on Payments</w:t>
      </w:r>
      <w:r>
        <w:rPr>
          <w:spacing w:val="-4"/>
          <w:sz w:val="18"/>
        </w:rPr>
        <w:t> </w:t>
      </w:r>
      <w:r>
        <w:rPr>
          <w:sz w:val="18"/>
        </w:rPr>
        <w:t>and</w:t>
      </w:r>
      <w:r>
        <w:rPr>
          <w:spacing w:val="-2"/>
          <w:sz w:val="18"/>
        </w:rPr>
        <w:t> </w:t>
      </w:r>
      <w:r>
        <w:rPr>
          <w:sz w:val="18"/>
        </w:rPr>
        <w:t>Market</w:t>
      </w:r>
      <w:r>
        <w:rPr>
          <w:spacing w:val="-4"/>
          <w:sz w:val="18"/>
        </w:rPr>
        <w:t> </w:t>
      </w:r>
      <w:r>
        <w:rPr>
          <w:sz w:val="18"/>
        </w:rPr>
        <w:t>Infrastructures</w:t>
      </w:r>
      <w:r>
        <w:rPr>
          <w:spacing w:val="-4"/>
          <w:sz w:val="18"/>
        </w:rPr>
        <w:t> </w:t>
      </w:r>
      <w:r>
        <w:rPr>
          <w:sz w:val="18"/>
        </w:rPr>
        <w:t>(CPMI)</w:t>
      </w:r>
      <w:r>
        <w:rPr>
          <w:spacing w:val="-3"/>
          <w:sz w:val="18"/>
        </w:rPr>
        <w:t> </w:t>
      </w:r>
      <w:r>
        <w:rPr>
          <w:sz w:val="18"/>
        </w:rPr>
        <w:t>and</w:t>
      </w:r>
      <w:r>
        <w:rPr>
          <w:spacing w:val="-4"/>
          <w:sz w:val="18"/>
        </w:rPr>
        <w:t> </w:t>
      </w:r>
      <w:r>
        <w:rPr>
          <w:sz w:val="18"/>
        </w:rPr>
        <w:t>the</w:t>
      </w:r>
      <w:r>
        <w:rPr>
          <w:spacing w:val="-4"/>
          <w:sz w:val="18"/>
        </w:rPr>
        <w:t> </w:t>
      </w:r>
      <w:r>
        <w:rPr>
          <w:sz w:val="18"/>
        </w:rPr>
        <w:t>International</w:t>
      </w:r>
      <w:r>
        <w:rPr>
          <w:spacing w:val="-1"/>
          <w:sz w:val="18"/>
        </w:rPr>
        <w:t> </w:t>
      </w:r>
      <w:r>
        <w:rPr>
          <w:sz w:val="18"/>
        </w:rPr>
        <w:t>Organization</w:t>
      </w:r>
      <w:r>
        <w:rPr>
          <w:spacing w:val="-4"/>
          <w:sz w:val="18"/>
        </w:rPr>
        <w:t> </w:t>
      </w:r>
      <w:r>
        <w:rPr>
          <w:sz w:val="18"/>
        </w:rPr>
        <w:t>of</w:t>
      </w:r>
      <w:r>
        <w:rPr>
          <w:spacing w:val="-3"/>
          <w:sz w:val="18"/>
        </w:rPr>
        <w:t> </w:t>
      </w:r>
      <w:r>
        <w:rPr>
          <w:sz w:val="18"/>
        </w:rPr>
        <w:t>Securities</w:t>
      </w:r>
      <w:r>
        <w:rPr>
          <w:spacing w:val="-4"/>
          <w:sz w:val="18"/>
        </w:rPr>
        <w:t> </w:t>
      </w:r>
      <w:r>
        <w:rPr>
          <w:sz w:val="18"/>
        </w:rPr>
        <w:t>Commissions</w:t>
      </w:r>
      <w:r>
        <w:rPr>
          <w:spacing w:val="-2"/>
          <w:sz w:val="18"/>
        </w:rPr>
        <w:t> </w:t>
      </w:r>
      <w:r>
        <w:rPr>
          <w:sz w:val="18"/>
        </w:rPr>
        <w:t>is</w:t>
      </w:r>
      <w:r>
        <w:rPr>
          <w:spacing w:val="-4"/>
          <w:sz w:val="18"/>
        </w:rPr>
        <w:t> </w:t>
      </w:r>
      <w:r>
        <w:rPr>
          <w:sz w:val="18"/>
        </w:rPr>
        <w:t>available at</w:t>
      </w:r>
      <w:r>
        <w:rPr>
          <w:spacing w:val="-2"/>
          <w:sz w:val="18"/>
        </w:rPr>
        <w:t> </w:t>
      </w:r>
      <w:r>
        <w:rPr>
          <w:sz w:val="18"/>
        </w:rPr>
        <w:t>&lt;</w:t>
      </w:r>
      <w:hyperlink r:id="rId14">
        <w:r>
          <w:rPr>
            <w:sz w:val="18"/>
          </w:rPr>
          <w:t>http://www.bis.org/cpmi/info_pfmi.htm</w:t>
        </w:r>
      </w:hyperlink>
      <w:r>
        <w:rPr>
          <w:sz w:val="18"/>
        </w:rPr>
        <w:t>&gt;.</w:t>
      </w:r>
    </w:p>
    <w:p>
      <w:pPr>
        <w:spacing w:before="1"/>
        <w:ind w:left="403" w:right="1317" w:hanging="1"/>
        <w:jc w:val="left"/>
        <w:rPr>
          <w:sz w:val="18"/>
        </w:rPr>
      </w:pPr>
      <w:r>
        <w:rPr>
          <w:sz w:val="18"/>
        </w:rPr>
        <w:t>The</w:t>
      </w:r>
      <w:r>
        <w:rPr>
          <w:spacing w:val="-7"/>
          <w:sz w:val="18"/>
        </w:rPr>
        <w:t> </w:t>
      </w:r>
      <w:r>
        <w:rPr>
          <w:sz w:val="18"/>
        </w:rPr>
        <w:t>SSF</w:t>
      </w:r>
      <w:r>
        <w:rPr>
          <w:spacing w:val="-7"/>
          <w:sz w:val="18"/>
        </w:rPr>
        <w:t> </w:t>
      </w:r>
      <w:r>
        <w:rPr>
          <w:sz w:val="18"/>
        </w:rPr>
        <w:t>Standards</w:t>
      </w:r>
      <w:r>
        <w:rPr>
          <w:spacing w:val="-7"/>
          <w:sz w:val="18"/>
        </w:rPr>
        <w:t> </w:t>
      </w:r>
      <w:r>
        <w:rPr>
          <w:sz w:val="18"/>
        </w:rPr>
        <w:t>is</w:t>
      </w:r>
      <w:r>
        <w:rPr>
          <w:spacing w:val="-7"/>
          <w:sz w:val="18"/>
        </w:rPr>
        <w:t> </w:t>
      </w:r>
      <w:r>
        <w:rPr>
          <w:sz w:val="18"/>
        </w:rPr>
        <w:t>available</w:t>
      </w:r>
      <w:r>
        <w:rPr>
          <w:spacing w:val="-7"/>
          <w:sz w:val="18"/>
        </w:rPr>
        <w:t> </w:t>
      </w:r>
      <w:r>
        <w:rPr>
          <w:sz w:val="18"/>
        </w:rPr>
        <w:t>at</w:t>
      </w:r>
      <w:r>
        <w:rPr>
          <w:spacing w:val="-4"/>
          <w:sz w:val="18"/>
        </w:rPr>
        <w:t> </w:t>
      </w:r>
      <w:r>
        <w:rPr>
          <w:sz w:val="18"/>
        </w:rPr>
        <w:t>&lt;</w:t>
      </w:r>
      <w:hyperlink r:id="rId15">
        <w:r>
          <w:rPr>
            <w:sz w:val="18"/>
          </w:rPr>
          <w:t>http://www.rba.gov.au/payments-and-infrastructure/financial-market-</w:t>
        </w:r>
      </w:hyperlink>
      <w:r>
        <w:rPr>
          <w:sz w:val="18"/>
        </w:rPr>
        <w:t> </w:t>
      </w:r>
      <w:r>
        <w:rPr>
          <w:spacing w:val="-2"/>
          <w:sz w:val="18"/>
        </w:rPr>
        <w:t>infrastructure/clearing-and-settlement-facilities/standards/securities-settlement-facilities/2012/&gt;.</w:t>
      </w:r>
    </w:p>
    <w:p>
      <w:pPr>
        <w:pStyle w:val="ListParagraph"/>
        <w:numPr>
          <w:ilvl w:val="0"/>
          <w:numId w:val="1"/>
        </w:numPr>
        <w:tabs>
          <w:tab w:pos="404" w:val="left" w:leader="none"/>
        </w:tabs>
        <w:spacing w:line="240" w:lineRule="auto" w:before="0" w:after="0"/>
        <w:ind w:left="403" w:right="716" w:hanging="284"/>
        <w:jc w:val="left"/>
        <w:rPr>
          <w:sz w:val="18"/>
        </w:rPr>
      </w:pPr>
      <w:r>
        <w:rPr>
          <w:sz w:val="18"/>
        </w:rPr>
        <w:t>ASIC’s</w:t>
      </w:r>
      <w:r>
        <w:rPr>
          <w:spacing w:val="-6"/>
          <w:sz w:val="18"/>
        </w:rPr>
        <w:t> </w:t>
      </w:r>
      <w:r>
        <w:rPr>
          <w:sz w:val="18"/>
        </w:rPr>
        <w:t>Regulatory</w:t>
      </w:r>
      <w:r>
        <w:rPr>
          <w:spacing w:val="-5"/>
          <w:sz w:val="18"/>
        </w:rPr>
        <w:t> </w:t>
      </w:r>
      <w:r>
        <w:rPr>
          <w:sz w:val="18"/>
        </w:rPr>
        <w:t>Guide</w:t>
      </w:r>
      <w:r>
        <w:rPr>
          <w:spacing w:val="-6"/>
          <w:sz w:val="18"/>
        </w:rPr>
        <w:t> </w:t>
      </w:r>
      <w:r>
        <w:rPr>
          <w:sz w:val="18"/>
        </w:rPr>
        <w:t>211</w:t>
      </w:r>
      <w:r>
        <w:rPr>
          <w:spacing w:val="-5"/>
          <w:sz w:val="18"/>
        </w:rPr>
        <w:t> </w:t>
      </w:r>
      <w:r>
        <w:rPr>
          <w:sz w:val="18"/>
        </w:rPr>
        <w:t>is</w:t>
      </w:r>
      <w:r>
        <w:rPr>
          <w:spacing w:val="-6"/>
          <w:sz w:val="18"/>
        </w:rPr>
        <w:t> </w:t>
      </w:r>
      <w:r>
        <w:rPr>
          <w:sz w:val="18"/>
        </w:rPr>
        <w:t>available</w:t>
      </w:r>
      <w:r>
        <w:rPr>
          <w:spacing w:val="-6"/>
          <w:sz w:val="18"/>
        </w:rPr>
        <w:t> </w:t>
      </w:r>
      <w:r>
        <w:rPr>
          <w:sz w:val="18"/>
        </w:rPr>
        <w:t>at</w:t>
      </w:r>
      <w:r>
        <w:rPr>
          <w:spacing w:val="-3"/>
          <w:sz w:val="18"/>
        </w:rPr>
        <w:t> </w:t>
      </w:r>
      <w:r>
        <w:rPr>
          <w:sz w:val="18"/>
        </w:rPr>
        <w:t>&lt;</w:t>
      </w:r>
      <w:hyperlink r:id="rId16">
        <w:r>
          <w:rPr>
            <w:sz w:val="18"/>
          </w:rPr>
          <w:t>http://asic.gov.au/regulatory-resources/find-a-document/regulatory-</w:t>
        </w:r>
      </w:hyperlink>
      <w:r>
        <w:rPr>
          <w:sz w:val="18"/>
        </w:rPr>
        <w:t> </w:t>
      </w:r>
      <w:r>
        <w:rPr>
          <w:spacing w:val="-2"/>
          <w:sz w:val="18"/>
        </w:rPr>
        <w:t>guides/rg-211-clearing-and-settlement-facilities-australian-and-overseas-operators/&gt;.</w:t>
      </w:r>
    </w:p>
    <w:p>
      <w:pPr>
        <w:pStyle w:val="ListParagraph"/>
        <w:numPr>
          <w:ilvl w:val="0"/>
          <w:numId w:val="1"/>
        </w:numPr>
        <w:tabs>
          <w:tab w:pos="404" w:val="left" w:leader="none"/>
        </w:tabs>
        <w:spacing w:line="240" w:lineRule="auto" w:before="0" w:after="0"/>
        <w:ind w:left="403" w:right="823" w:hanging="284"/>
        <w:jc w:val="left"/>
        <w:rPr>
          <w:sz w:val="18"/>
        </w:rPr>
      </w:pPr>
      <w:r>
        <w:rPr>
          <w:sz w:val="18"/>
        </w:rPr>
        <w:t>The</w:t>
      </w:r>
      <w:r>
        <w:rPr>
          <w:spacing w:val="-3"/>
          <w:sz w:val="18"/>
        </w:rPr>
        <w:t> </w:t>
      </w:r>
      <w:r>
        <w:rPr>
          <w:sz w:val="18"/>
        </w:rPr>
        <w:t>CFR’s</w:t>
      </w:r>
      <w:r>
        <w:rPr>
          <w:spacing w:val="-3"/>
          <w:sz w:val="18"/>
        </w:rPr>
        <w:t> </w:t>
      </w:r>
      <w:r>
        <w:rPr>
          <w:sz w:val="18"/>
        </w:rPr>
        <w:t>framework</w:t>
      </w:r>
      <w:r>
        <w:rPr>
          <w:spacing w:val="-3"/>
          <w:sz w:val="18"/>
        </w:rPr>
        <w:t> </w:t>
      </w:r>
      <w:r>
        <w:rPr>
          <w:sz w:val="18"/>
        </w:rPr>
        <w:t>for</w:t>
      </w:r>
      <w:r>
        <w:rPr>
          <w:spacing w:val="-3"/>
          <w:sz w:val="18"/>
        </w:rPr>
        <w:t> </w:t>
      </w:r>
      <w:r>
        <w:rPr>
          <w:sz w:val="18"/>
        </w:rPr>
        <w:t>ensuring</w:t>
      </w:r>
      <w:r>
        <w:rPr>
          <w:spacing w:val="-3"/>
          <w:sz w:val="18"/>
        </w:rPr>
        <w:t> </w:t>
      </w:r>
      <w:r>
        <w:rPr>
          <w:sz w:val="18"/>
        </w:rPr>
        <w:t>appropriate</w:t>
      </w:r>
      <w:r>
        <w:rPr>
          <w:spacing w:val="-3"/>
          <w:sz w:val="18"/>
        </w:rPr>
        <w:t> </w:t>
      </w:r>
      <w:r>
        <w:rPr>
          <w:sz w:val="18"/>
        </w:rPr>
        <w:t>influence</w:t>
      </w:r>
      <w:r>
        <w:rPr>
          <w:spacing w:val="-3"/>
          <w:sz w:val="18"/>
        </w:rPr>
        <w:t> </w:t>
      </w:r>
      <w:r>
        <w:rPr>
          <w:sz w:val="18"/>
        </w:rPr>
        <w:t>over</w:t>
      </w:r>
      <w:r>
        <w:rPr>
          <w:spacing w:val="-3"/>
          <w:sz w:val="18"/>
        </w:rPr>
        <w:t> </w:t>
      </w:r>
      <w:r>
        <w:rPr>
          <w:sz w:val="18"/>
        </w:rPr>
        <w:t>cross-border</w:t>
      </w:r>
      <w:r>
        <w:rPr>
          <w:spacing w:val="-3"/>
          <w:sz w:val="18"/>
        </w:rPr>
        <w:t> </w:t>
      </w:r>
      <w:r>
        <w:rPr>
          <w:sz w:val="18"/>
        </w:rPr>
        <w:t>clearing</w:t>
      </w:r>
      <w:r>
        <w:rPr>
          <w:spacing w:val="-3"/>
          <w:sz w:val="18"/>
        </w:rPr>
        <w:t> </w:t>
      </w:r>
      <w:r>
        <w:rPr>
          <w:sz w:val="18"/>
        </w:rPr>
        <w:t>and</w:t>
      </w:r>
      <w:r>
        <w:rPr>
          <w:spacing w:val="-3"/>
          <w:sz w:val="18"/>
        </w:rPr>
        <w:t> </w:t>
      </w:r>
      <w:r>
        <w:rPr>
          <w:sz w:val="18"/>
        </w:rPr>
        <w:t>settlement facilities</w:t>
      </w:r>
      <w:r>
        <w:rPr>
          <w:spacing w:val="-3"/>
          <w:sz w:val="18"/>
        </w:rPr>
        <w:t> </w:t>
      </w:r>
      <w:r>
        <w:rPr>
          <w:sz w:val="18"/>
        </w:rPr>
        <w:t>(the Regulatory Influence Framework) is available at &lt;</w:t>
      </w:r>
      <w:hyperlink r:id="rId17">
        <w:r>
          <w:rPr>
            <w:sz w:val="18"/>
          </w:rPr>
          <w:t>http://www.treasury.gov.au/ConsultationsandReviews/</w:t>
        </w:r>
      </w:hyperlink>
      <w:r>
        <w:rPr>
          <w:sz w:val="18"/>
        </w:rPr>
        <w:t> </w:t>
      </w:r>
      <w:r>
        <w:rPr>
          <w:spacing w:val="-2"/>
          <w:sz w:val="18"/>
        </w:rPr>
        <w:t>Consultations/2012/cross-border-clearing&gt;.</w:t>
      </w:r>
    </w:p>
    <w:p>
      <w:pPr>
        <w:spacing w:after="0" w:line="240" w:lineRule="auto"/>
        <w:jc w:val="left"/>
        <w:rPr>
          <w:sz w:val="18"/>
        </w:rPr>
        <w:sectPr>
          <w:pgSz w:w="11910" w:h="16840"/>
          <w:pgMar w:header="0" w:footer="713" w:top="1380" w:bottom="900" w:left="1320" w:right="1160"/>
        </w:sectPr>
      </w:pPr>
    </w:p>
    <w:p>
      <w:pPr>
        <w:pStyle w:val="BodyText"/>
        <w:spacing w:before="38"/>
        <w:ind w:left="120" w:right="275"/>
        <w:jc w:val="both"/>
      </w:pPr>
      <w:r>
        <w:rPr/>
        <w:t>integral part of the Minimum Conditions (Settlement), at least until ASIC and the Bank are comfortable with the arrangements for cross-border coordination and management of financial market infrastructure recovery and resolution.</w:t>
      </w:r>
    </w:p>
    <w:p>
      <w:pPr>
        <w:pStyle w:val="BodyText"/>
        <w:spacing w:before="7"/>
        <w:rPr>
          <w:sz w:val="16"/>
        </w:rPr>
      </w:pPr>
    </w:p>
    <w:p>
      <w:pPr>
        <w:pStyle w:val="Heading2"/>
        <w:ind w:firstLine="0"/>
      </w:pPr>
      <w:r>
        <w:rPr/>
        <w:t>(с)</w:t>
      </w:r>
      <w:r>
        <w:rPr>
          <w:spacing w:val="45"/>
        </w:rPr>
        <w:t>  </w:t>
      </w:r>
      <w:r>
        <w:rPr>
          <w:i/>
        </w:rPr>
        <w:t>Ex</w:t>
      </w:r>
      <w:r>
        <w:rPr>
          <w:i/>
          <w:spacing w:val="-1"/>
        </w:rPr>
        <w:t> </w:t>
      </w:r>
      <w:r>
        <w:rPr>
          <w:i/>
        </w:rPr>
        <w:t>ante</w:t>
      </w:r>
      <w:r>
        <w:rPr>
          <w:i/>
          <w:spacing w:val="-5"/>
        </w:rPr>
        <w:t> </w:t>
      </w:r>
      <w:r>
        <w:rPr/>
        <w:t>wind-down</w:t>
      </w:r>
      <w:r>
        <w:rPr>
          <w:spacing w:val="-3"/>
        </w:rPr>
        <w:t> </w:t>
      </w:r>
      <w:r>
        <w:rPr/>
        <w:t>plans</w:t>
      </w:r>
      <w:r>
        <w:rPr>
          <w:spacing w:val="-5"/>
        </w:rPr>
        <w:t> </w:t>
      </w:r>
      <w:r>
        <w:rPr/>
        <w:t>and</w:t>
      </w:r>
      <w:r>
        <w:rPr>
          <w:spacing w:val="-3"/>
        </w:rPr>
        <w:t> </w:t>
      </w:r>
      <w:r>
        <w:rPr/>
        <w:t>associated</w:t>
      </w:r>
      <w:r>
        <w:rPr>
          <w:spacing w:val="-4"/>
        </w:rPr>
        <w:t> </w:t>
      </w:r>
      <w:r>
        <w:rPr>
          <w:spacing w:val="-2"/>
        </w:rPr>
        <w:t>commitments</w:t>
      </w:r>
    </w:p>
    <w:p>
      <w:pPr>
        <w:pStyle w:val="BodyText"/>
        <w:spacing w:before="118"/>
        <w:ind w:left="120" w:right="272"/>
        <w:jc w:val="both"/>
      </w:pPr>
      <w:r>
        <w:rPr/>
        <w:t>Since a commercially driven exit of an SSF in a competitive environment could disrupt activity in the segment of market activity that it settled, the Agencies see a case to include measures aimed at mitigating such market disruption within the Minimum Conditions (Settlement).</w:t>
      </w:r>
    </w:p>
    <w:p>
      <w:pPr>
        <w:pStyle w:val="BodyText"/>
        <w:spacing w:before="120"/>
        <w:ind w:left="119" w:right="275"/>
        <w:jc w:val="both"/>
      </w:pPr>
      <w:r>
        <w:rPr/>
        <w:t>In</w:t>
      </w:r>
      <w:r>
        <w:rPr>
          <w:spacing w:val="-2"/>
        </w:rPr>
        <w:t> </w:t>
      </w:r>
      <w:r>
        <w:rPr/>
        <w:t>particular,</w:t>
      </w:r>
      <w:r>
        <w:rPr>
          <w:spacing w:val="-1"/>
        </w:rPr>
        <w:t> </w:t>
      </w:r>
      <w:r>
        <w:rPr/>
        <w:t>all</w:t>
      </w:r>
      <w:r>
        <w:rPr>
          <w:spacing w:val="-1"/>
        </w:rPr>
        <w:t> </w:t>
      </w:r>
      <w:r>
        <w:rPr/>
        <w:t>competing</w:t>
      </w:r>
      <w:r>
        <w:rPr>
          <w:spacing w:val="-2"/>
        </w:rPr>
        <w:t> </w:t>
      </w:r>
      <w:r>
        <w:rPr/>
        <w:t>SSFs</w:t>
      </w:r>
      <w:r>
        <w:rPr>
          <w:spacing w:val="-1"/>
        </w:rPr>
        <w:t> </w:t>
      </w:r>
      <w:r>
        <w:rPr/>
        <w:t>– including</w:t>
      </w:r>
      <w:r>
        <w:rPr>
          <w:spacing w:val="-2"/>
        </w:rPr>
        <w:t> </w:t>
      </w:r>
      <w:r>
        <w:rPr/>
        <w:t>the incumbent and</w:t>
      </w:r>
      <w:r>
        <w:rPr>
          <w:spacing w:val="-2"/>
        </w:rPr>
        <w:t> </w:t>
      </w:r>
      <w:r>
        <w:rPr/>
        <w:t>any new entrants</w:t>
      </w:r>
      <w:r>
        <w:rPr>
          <w:spacing w:val="-3"/>
        </w:rPr>
        <w:t> </w:t>
      </w:r>
      <w:r>
        <w:rPr/>
        <w:t>– could</w:t>
      </w:r>
      <w:r>
        <w:rPr>
          <w:spacing w:val="-2"/>
        </w:rPr>
        <w:t> </w:t>
      </w:r>
      <w:r>
        <w:rPr/>
        <w:t>be required to commit </w:t>
      </w:r>
      <w:r>
        <w:rPr>
          <w:i/>
        </w:rPr>
        <w:t>ex ante </w:t>
      </w:r>
      <w:r>
        <w:rPr/>
        <w:t>to a notice period of at least one year before any planned exit from the market. This should be supported by ring-fenced capital sufficient to cover any operating expenses for the duration of the notice period, as well as clearly articulated wind-down plans.</w:t>
      </w:r>
    </w:p>
    <w:p>
      <w:pPr>
        <w:pStyle w:val="BodyText"/>
        <w:spacing w:before="119"/>
        <w:ind w:left="119" w:right="274"/>
        <w:jc w:val="both"/>
      </w:pPr>
      <w:r>
        <w:rPr/>
        <w:t>Similar to the Minimum Conditions (Clearing), this condition would be more stringent than the requirements for orderly wind-down envisaged in the SSF Standards; Standard 12 on general business risk requires that ‘at a minimum, a securities settlement facility should hold, or have legally certain access to, liquid net assets funded by equity equal to at least six months</w:t>
      </w:r>
      <w:r>
        <w:rPr>
          <w:spacing w:val="-1"/>
        </w:rPr>
        <w:t> </w:t>
      </w:r>
      <w:r>
        <w:rPr/>
        <w:t>of current operating expenses’. The Bank considers this difference to be appropriate, as this condition is intended to provide for a planned exit for commercial reasons, while SSF Standard 12 seeks to protect against exit due to the crystallisation of business risk.</w:t>
      </w:r>
    </w:p>
    <w:p>
      <w:pPr>
        <w:pStyle w:val="BodyText"/>
        <w:spacing w:before="5"/>
        <w:rPr>
          <w:sz w:val="16"/>
        </w:rPr>
      </w:pPr>
    </w:p>
    <w:p>
      <w:pPr>
        <w:pStyle w:val="Heading2"/>
        <w:ind w:firstLine="0"/>
      </w:pPr>
      <w:r>
        <w:rPr/>
        <w:t>(d)</w:t>
      </w:r>
      <w:r>
        <w:rPr>
          <w:spacing w:val="29"/>
        </w:rPr>
        <w:t>  </w:t>
      </w:r>
      <w:r>
        <w:rPr/>
        <w:t>Appropriate</w:t>
      </w:r>
      <w:r>
        <w:rPr>
          <w:spacing w:val="-5"/>
        </w:rPr>
        <w:t> </w:t>
      </w:r>
      <w:r>
        <w:rPr/>
        <w:t>arrangements</w:t>
      </w:r>
      <w:r>
        <w:rPr>
          <w:spacing w:val="-5"/>
        </w:rPr>
        <w:t> </w:t>
      </w:r>
      <w:r>
        <w:rPr/>
        <w:t>for</w:t>
      </w:r>
      <w:r>
        <w:rPr>
          <w:spacing w:val="-3"/>
        </w:rPr>
        <w:t> </w:t>
      </w:r>
      <w:r>
        <w:rPr/>
        <w:t>certainty</w:t>
      </w:r>
      <w:r>
        <w:rPr>
          <w:spacing w:val="-2"/>
        </w:rPr>
        <w:t> </w:t>
      </w:r>
      <w:r>
        <w:rPr/>
        <w:t>of</w:t>
      </w:r>
      <w:r>
        <w:rPr>
          <w:spacing w:val="-4"/>
        </w:rPr>
        <w:t> </w:t>
      </w:r>
      <w:r>
        <w:rPr/>
        <w:t>securities</w:t>
      </w:r>
      <w:r>
        <w:rPr>
          <w:spacing w:val="-7"/>
        </w:rPr>
        <w:t> </w:t>
      </w:r>
      <w:r>
        <w:rPr/>
        <w:t>transfer</w:t>
      </w:r>
      <w:r>
        <w:rPr>
          <w:spacing w:val="-3"/>
        </w:rPr>
        <w:t> </w:t>
      </w:r>
      <w:r>
        <w:rPr/>
        <w:t>and</w:t>
      </w:r>
      <w:r>
        <w:rPr>
          <w:spacing w:val="-4"/>
        </w:rPr>
        <w:t> </w:t>
      </w:r>
      <w:r>
        <w:rPr>
          <w:spacing w:val="-2"/>
        </w:rPr>
        <w:t>administration</w:t>
      </w:r>
    </w:p>
    <w:p>
      <w:pPr>
        <w:pStyle w:val="BodyText"/>
        <w:spacing w:before="120"/>
        <w:ind w:left="119" w:right="274"/>
        <w:jc w:val="both"/>
      </w:pPr>
      <w:r>
        <w:rPr/>
        <w:t>Each SSF, in compliance with the Corporations Act, will have its own operating rules reflecting the settlement facility service it operates and other services it provides. The operating rules of a SSF, along with the operating rules of the listing market for the issuer, may govern the registration of</w:t>
      </w:r>
      <w:r>
        <w:rPr>
          <w:spacing w:val="40"/>
        </w:rPr>
        <w:t> </w:t>
      </w:r>
      <w:r>
        <w:rPr/>
        <w:t>legal title to, and in some cases administration of, securities in respect of which the SSF provides settlement services. Where there are competing SSFs, a registry acting on behalf</w:t>
      </w:r>
      <w:r>
        <w:rPr>
          <w:spacing w:val="-1"/>
        </w:rPr>
        <w:t> </w:t>
      </w:r>
      <w:r>
        <w:rPr/>
        <w:t>of an issuer may be subject to requirements imposed by more than one SSF. For example, there may be circumstances under which registries, acting on behalf of issuers, receive instructions from competing SSFs relating to the same listed security. The registry will need to determine how to prioritise those instructions and ensure the resulting change of title to the securities is legally certain, which may be challenging in</w:t>
      </w:r>
      <w:r>
        <w:rPr>
          <w:spacing w:val="-3"/>
        </w:rPr>
        <w:t> </w:t>
      </w:r>
      <w:r>
        <w:rPr/>
        <w:t>situations</w:t>
      </w:r>
      <w:r>
        <w:rPr>
          <w:spacing w:val="-2"/>
        </w:rPr>
        <w:t> </w:t>
      </w:r>
      <w:r>
        <w:rPr/>
        <w:t>where</w:t>
      </w:r>
      <w:r>
        <w:rPr>
          <w:spacing w:val="-1"/>
        </w:rPr>
        <w:t> </w:t>
      </w:r>
      <w:r>
        <w:rPr/>
        <w:t>the</w:t>
      </w:r>
      <w:r>
        <w:rPr>
          <w:spacing w:val="-1"/>
        </w:rPr>
        <w:t> </w:t>
      </w:r>
      <w:r>
        <w:rPr/>
        <w:t>registry</w:t>
      </w:r>
      <w:r>
        <w:rPr>
          <w:spacing w:val="-1"/>
        </w:rPr>
        <w:t> </w:t>
      </w:r>
      <w:r>
        <w:rPr/>
        <w:t>is</w:t>
      </w:r>
      <w:r>
        <w:rPr>
          <w:spacing w:val="-2"/>
        </w:rPr>
        <w:t> </w:t>
      </w:r>
      <w:r>
        <w:rPr/>
        <w:t>not</w:t>
      </w:r>
      <w:r>
        <w:rPr>
          <w:spacing w:val="-1"/>
        </w:rPr>
        <w:t> </w:t>
      </w:r>
      <w:r>
        <w:rPr/>
        <w:t>able</w:t>
      </w:r>
      <w:r>
        <w:rPr>
          <w:spacing w:val="-2"/>
        </w:rPr>
        <w:t> </w:t>
      </w:r>
      <w:r>
        <w:rPr/>
        <w:t>to</w:t>
      </w:r>
      <w:r>
        <w:rPr>
          <w:spacing w:val="-1"/>
        </w:rPr>
        <w:t> </w:t>
      </w:r>
      <w:r>
        <w:rPr/>
        <w:t>comply</w:t>
      </w:r>
      <w:r>
        <w:rPr>
          <w:spacing w:val="-4"/>
        </w:rPr>
        <w:t> </w:t>
      </w:r>
      <w:r>
        <w:rPr/>
        <w:t>with,</w:t>
      </w:r>
      <w:r>
        <w:rPr>
          <w:spacing w:val="-2"/>
        </w:rPr>
        <w:t> </w:t>
      </w:r>
      <w:r>
        <w:rPr/>
        <w:t>or</w:t>
      </w:r>
      <w:r>
        <w:rPr>
          <w:spacing w:val="-2"/>
        </w:rPr>
        <w:t> </w:t>
      </w:r>
      <w:r>
        <w:rPr/>
        <w:t>reconcile</w:t>
      </w:r>
      <w:r>
        <w:rPr>
          <w:spacing w:val="-1"/>
        </w:rPr>
        <w:t> </w:t>
      </w:r>
      <w:r>
        <w:rPr/>
        <w:t>the</w:t>
      </w:r>
      <w:r>
        <w:rPr>
          <w:spacing w:val="-1"/>
        </w:rPr>
        <w:t> </w:t>
      </w:r>
      <w:r>
        <w:rPr/>
        <w:t>requirements</w:t>
      </w:r>
      <w:r>
        <w:rPr>
          <w:spacing w:val="-2"/>
        </w:rPr>
        <w:t> </w:t>
      </w:r>
      <w:r>
        <w:rPr/>
        <w:t>imposed</w:t>
      </w:r>
      <w:r>
        <w:rPr>
          <w:spacing w:val="-3"/>
        </w:rPr>
        <w:t> </w:t>
      </w:r>
      <w:r>
        <w:rPr/>
        <w:t>on it by, competing SSFs.</w:t>
      </w:r>
    </w:p>
    <w:p>
      <w:pPr>
        <w:pStyle w:val="BodyText"/>
        <w:spacing w:before="122"/>
        <w:ind w:left="119" w:right="275"/>
        <w:jc w:val="both"/>
      </w:pPr>
      <w:r>
        <w:rPr/>
        <w:t>Accordingly,</w:t>
      </w:r>
      <w:r>
        <w:rPr>
          <w:spacing w:val="-3"/>
        </w:rPr>
        <w:t> </w:t>
      </w:r>
      <w:r>
        <w:rPr/>
        <w:t>the Agencies</w:t>
      </w:r>
      <w:r>
        <w:rPr>
          <w:spacing w:val="-1"/>
        </w:rPr>
        <w:t> </w:t>
      </w:r>
      <w:r>
        <w:rPr/>
        <w:t>consider</w:t>
      </w:r>
      <w:r>
        <w:rPr>
          <w:spacing w:val="-1"/>
        </w:rPr>
        <w:t> </w:t>
      </w:r>
      <w:r>
        <w:rPr/>
        <w:t>that,</w:t>
      </w:r>
      <w:r>
        <w:rPr>
          <w:spacing w:val="-1"/>
        </w:rPr>
        <w:t> </w:t>
      </w:r>
      <w:r>
        <w:rPr/>
        <w:t>in</w:t>
      </w:r>
      <w:r>
        <w:rPr>
          <w:spacing w:val="-2"/>
        </w:rPr>
        <w:t> </w:t>
      </w:r>
      <w:r>
        <w:rPr/>
        <w:t>the</w:t>
      </w:r>
      <w:r>
        <w:rPr>
          <w:spacing w:val="-3"/>
        </w:rPr>
        <w:t> </w:t>
      </w:r>
      <w:r>
        <w:rPr/>
        <w:t>event of</w:t>
      </w:r>
      <w:r>
        <w:rPr>
          <w:spacing w:val="-1"/>
        </w:rPr>
        <w:t> </w:t>
      </w:r>
      <w:r>
        <w:rPr/>
        <w:t>a</w:t>
      </w:r>
      <w:r>
        <w:rPr>
          <w:spacing w:val="-1"/>
        </w:rPr>
        <w:t> </w:t>
      </w:r>
      <w:r>
        <w:rPr/>
        <w:t>competing</w:t>
      </w:r>
      <w:r>
        <w:rPr>
          <w:spacing w:val="-2"/>
        </w:rPr>
        <w:t> </w:t>
      </w:r>
      <w:r>
        <w:rPr/>
        <w:t>SSF</w:t>
      </w:r>
      <w:r>
        <w:rPr>
          <w:spacing w:val="-2"/>
        </w:rPr>
        <w:t> </w:t>
      </w:r>
      <w:r>
        <w:rPr/>
        <w:t>emerging,</w:t>
      </w:r>
      <w:r>
        <w:rPr>
          <w:spacing w:val="-1"/>
        </w:rPr>
        <w:t> </w:t>
      </w:r>
      <w:r>
        <w:rPr/>
        <w:t>there is</w:t>
      </w:r>
      <w:r>
        <w:rPr>
          <w:spacing w:val="-1"/>
        </w:rPr>
        <w:t> </w:t>
      </w:r>
      <w:r>
        <w:rPr/>
        <w:t>a</w:t>
      </w:r>
      <w:r>
        <w:rPr>
          <w:spacing w:val="-3"/>
        </w:rPr>
        <w:t> </w:t>
      </w:r>
      <w:r>
        <w:rPr/>
        <w:t>case</w:t>
      </w:r>
      <w:r>
        <w:rPr>
          <w:spacing w:val="-3"/>
        </w:rPr>
        <w:t> </w:t>
      </w:r>
      <w:r>
        <w:rPr/>
        <w:t>for the relevant agency to have the ability, if required, to put in place regulatory arrangements to support certain aspects of the legal relationship between competing SSFs, registries and issuers.</w:t>
      </w:r>
      <w:r>
        <w:rPr>
          <w:spacing w:val="40"/>
        </w:rPr>
        <w:t> </w:t>
      </w:r>
      <w:r>
        <w:rPr/>
        <w:t>Such regulatory arrangements might involve prescribing protocols, rules or regulations setting out common principles for the transfer, registration and administration of securities.</w:t>
      </w:r>
    </w:p>
    <w:p>
      <w:pPr>
        <w:pStyle w:val="BodyText"/>
        <w:spacing w:before="5"/>
        <w:rPr>
          <w:sz w:val="16"/>
        </w:rPr>
      </w:pPr>
    </w:p>
    <w:p>
      <w:pPr>
        <w:pStyle w:val="Heading1"/>
        <w:numPr>
          <w:ilvl w:val="0"/>
          <w:numId w:val="4"/>
        </w:numPr>
        <w:tabs>
          <w:tab w:pos="687" w:val="left" w:leader="none"/>
        </w:tabs>
        <w:spacing w:line="240" w:lineRule="auto" w:before="0" w:after="0"/>
        <w:ind w:left="686" w:right="0" w:hanging="567"/>
        <w:jc w:val="both"/>
      </w:pPr>
      <w:bookmarkStart w:name="2.  Access on Transparent, Non-discrimin" w:id="5"/>
      <w:bookmarkEnd w:id="5"/>
      <w:r>
        <w:rPr>
          <w:color w:val="336699"/>
        </w:rPr>
        <w:t>A</w:t>
      </w:r>
      <w:r>
        <w:rPr>
          <w:color w:val="336699"/>
        </w:rPr>
        <w:t>ccess</w:t>
      </w:r>
      <w:r>
        <w:rPr>
          <w:color w:val="336699"/>
          <w:spacing w:val="-6"/>
        </w:rPr>
        <w:t> </w:t>
      </w:r>
      <w:r>
        <w:rPr>
          <w:color w:val="336699"/>
        </w:rPr>
        <w:t>on</w:t>
      </w:r>
      <w:r>
        <w:rPr>
          <w:color w:val="336699"/>
          <w:spacing w:val="-3"/>
        </w:rPr>
        <w:t> </w:t>
      </w:r>
      <w:r>
        <w:rPr>
          <w:color w:val="336699"/>
        </w:rPr>
        <w:t>Transparent,</w:t>
      </w:r>
      <w:r>
        <w:rPr>
          <w:color w:val="336699"/>
          <w:spacing w:val="-2"/>
        </w:rPr>
        <w:t> </w:t>
      </w:r>
      <w:r>
        <w:rPr>
          <w:color w:val="336699"/>
        </w:rPr>
        <w:t>Non-discriminatory,</w:t>
      </w:r>
      <w:r>
        <w:rPr>
          <w:color w:val="336699"/>
          <w:spacing w:val="-2"/>
        </w:rPr>
        <w:t> </w:t>
      </w:r>
      <w:r>
        <w:rPr>
          <w:color w:val="336699"/>
        </w:rPr>
        <w:t>and</w:t>
      </w:r>
      <w:r>
        <w:rPr>
          <w:color w:val="336699"/>
          <w:spacing w:val="-4"/>
        </w:rPr>
        <w:t> </w:t>
      </w:r>
      <w:r>
        <w:rPr>
          <w:color w:val="336699"/>
        </w:rPr>
        <w:t>Fair</w:t>
      </w:r>
      <w:r>
        <w:rPr>
          <w:color w:val="336699"/>
          <w:spacing w:val="-2"/>
        </w:rPr>
        <w:t> </w:t>
      </w:r>
      <w:r>
        <w:rPr>
          <w:color w:val="336699"/>
        </w:rPr>
        <w:t>and</w:t>
      </w:r>
      <w:r>
        <w:rPr>
          <w:color w:val="336699"/>
          <w:spacing w:val="-3"/>
        </w:rPr>
        <w:t> </w:t>
      </w:r>
      <w:r>
        <w:rPr>
          <w:color w:val="336699"/>
        </w:rPr>
        <w:t>Reasonable</w:t>
      </w:r>
      <w:r>
        <w:rPr>
          <w:color w:val="336699"/>
          <w:spacing w:val="-2"/>
        </w:rPr>
        <w:t> Terms</w:t>
      </w:r>
    </w:p>
    <w:p>
      <w:pPr>
        <w:pStyle w:val="BodyText"/>
        <w:spacing w:before="117"/>
        <w:ind w:left="119" w:right="273"/>
        <w:jc w:val="both"/>
      </w:pPr>
      <w:r>
        <w:rPr/>
        <w:t>To address concerns regarding access to services (including data) necessary for the provision of settlement services by a competing SSF, the Agencies consider it appropriate that CS service providers be required to facilitate access to services (including data) on a transparent and non- discriminatory basis with terms and conditions, including price, that are fair and reasonable. For example, ASX is expected to comply with this requirement with respect to providing services (including data) necessary for the provision of settlement services by a competing service provider, and vice versa.</w:t>
      </w:r>
    </w:p>
    <w:p>
      <w:pPr>
        <w:pStyle w:val="BodyText"/>
        <w:spacing w:before="122"/>
        <w:ind w:left="119" w:right="274"/>
        <w:jc w:val="both"/>
      </w:pPr>
      <w:r>
        <w:rPr/>
        <w:t>This is consistent with the Regulatory Expectations, which deal with access to the incumbent service provider’s monopoly CS services. The relevant provisions in the Regulatory Expectations explicitly address</w:t>
      </w:r>
      <w:r>
        <w:rPr>
          <w:spacing w:val="80"/>
        </w:rPr>
        <w:t> </w:t>
      </w:r>
      <w:r>
        <w:rPr/>
        <w:t>access</w:t>
      </w:r>
      <w:r>
        <w:rPr>
          <w:spacing w:val="79"/>
        </w:rPr>
        <w:t> </w:t>
      </w:r>
      <w:r>
        <w:rPr/>
        <w:t>on</w:t>
      </w:r>
      <w:r>
        <w:rPr>
          <w:spacing w:val="80"/>
        </w:rPr>
        <w:t> </w:t>
      </w:r>
      <w:r>
        <w:rPr/>
        <w:t>transparent,</w:t>
      </w:r>
      <w:r>
        <w:rPr>
          <w:spacing w:val="80"/>
        </w:rPr>
        <w:t> </w:t>
      </w:r>
      <w:r>
        <w:rPr/>
        <w:t>non-discriminatory,</w:t>
      </w:r>
      <w:r>
        <w:rPr>
          <w:spacing w:val="80"/>
        </w:rPr>
        <w:t> </w:t>
      </w:r>
      <w:r>
        <w:rPr/>
        <w:t>and</w:t>
      </w:r>
      <w:r>
        <w:rPr>
          <w:spacing w:val="80"/>
        </w:rPr>
        <w:t> </w:t>
      </w:r>
      <w:r>
        <w:rPr/>
        <w:t>fair</w:t>
      </w:r>
      <w:r>
        <w:rPr>
          <w:spacing w:val="80"/>
        </w:rPr>
        <w:t> </w:t>
      </w:r>
      <w:r>
        <w:rPr/>
        <w:t>and</w:t>
      </w:r>
      <w:r>
        <w:rPr>
          <w:spacing w:val="80"/>
        </w:rPr>
        <w:t> </w:t>
      </w:r>
      <w:r>
        <w:rPr/>
        <w:t>reasonable</w:t>
      </w:r>
      <w:r>
        <w:rPr>
          <w:spacing w:val="80"/>
        </w:rPr>
        <w:t> </w:t>
      </w:r>
      <w:r>
        <w:rPr/>
        <w:t>terms</w:t>
      </w:r>
      <w:r>
        <w:rPr>
          <w:spacing w:val="80"/>
        </w:rPr>
        <w:t> </w:t>
      </w:r>
      <w:r>
        <w:rPr/>
        <w:t>should</w:t>
      </w:r>
      <w:r>
        <w:rPr>
          <w:spacing w:val="80"/>
        </w:rPr>
        <w:t> </w:t>
      </w:r>
      <w:r>
        <w:rPr/>
        <w:t>a</w:t>
      </w:r>
    </w:p>
    <w:p>
      <w:pPr>
        <w:spacing w:after="0"/>
        <w:jc w:val="both"/>
        <w:sectPr>
          <w:pgSz w:w="11910" w:h="16840"/>
          <w:pgMar w:header="0" w:footer="713" w:top="1380" w:bottom="900" w:left="1320" w:right="1160"/>
        </w:sectPr>
      </w:pPr>
    </w:p>
    <w:p>
      <w:pPr>
        <w:pStyle w:val="BodyText"/>
        <w:spacing w:before="38"/>
        <w:ind w:left="120" w:right="275"/>
        <w:jc w:val="both"/>
      </w:pPr>
      <w:r>
        <w:rPr/>
        <w:t>competing provider of settlement services emerge. Additionally, following the proposed legislative changes as previously noted, the ACCC will have the power to arbitrate disputes in relation to price and/or non-price terms and conditions of access to data and services where negotiations guided by the Regulatory Expectations fail.</w:t>
      </w:r>
    </w:p>
    <w:p>
      <w:pPr>
        <w:pStyle w:val="BodyText"/>
        <w:spacing w:before="8"/>
        <w:rPr>
          <w:sz w:val="16"/>
        </w:rPr>
      </w:pPr>
    </w:p>
    <w:p>
      <w:pPr>
        <w:pStyle w:val="Heading1"/>
        <w:numPr>
          <w:ilvl w:val="0"/>
          <w:numId w:val="4"/>
        </w:numPr>
        <w:tabs>
          <w:tab w:pos="686" w:val="left" w:leader="none"/>
          <w:tab w:pos="687" w:val="left" w:leader="none"/>
        </w:tabs>
        <w:spacing w:line="240" w:lineRule="auto" w:before="0" w:after="0"/>
        <w:ind w:left="686" w:right="0" w:hanging="567"/>
        <w:jc w:val="left"/>
      </w:pPr>
      <w:bookmarkStart w:name="3. Appropriate Links between Competing S" w:id="6"/>
      <w:bookmarkEnd w:id="6"/>
      <w:r>
        <w:rPr>
          <w:color w:val="336699"/>
        </w:rPr>
        <w:t>A</w:t>
      </w:r>
      <w:r>
        <w:rPr>
          <w:color w:val="336699"/>
        </w:rPr>
        <w:t>ppropriate</w:t>
      </w:r>
      <w:r>
        <w:rPr>
          <w:color w:val="336699"/>
          <w:spacing w:val="-6"/>
        </w:rPr>
        <w:t> </w:t>
      </w:r>
      <w:r>
        <w:rPr>
          <w:color w:val="336699"/>
        </w:rPr>
        <w:t>Links</w:t>
      </w:r>
      <w:r>
        <w:rPr>
          <w:color w:val="336699"/>
          <w:spacing w:val="-4"/>
        </w:rPr>
        <w:t> </w:t>
      </w:r>
      <w:r>
        <w:rPr>
          <w:color w:val="336699"/>
        </w:rPr>
        <w:t>between</w:t>
      </w:r>
      <w:r>
        <w:rPr>
          <w:color w:val="336699"/>
          <w:spacing w:val="-5"/>
        </w:rPr>
        <w:t> </w:t>
      </w:r>
      <w:r>
        <w:rPr>
          <w:color w:val="336699"/>
        </w:rPr>
        <w:t>Competing</w:t>
      </w:r>
      <w:r>
        <w:rPr>
          <w:color w:val="336699"/>
          <w:spacing w:val="-2"/>
        </w:rPr>
        <w:t> </w:t>
      </w:r>
      <w:r>
        <w:rPr>
          <w:color w:val="336699"/>
          <w:spacing w:val="-4"/>
        </w:rPr>
        <w:t>SSFs</w:t>
      </w:r>
    </w:p>
    <w:p>
      <w:pPr>
        <w:pStyle w:val="BodyText"/>
        <w:spacing w:before="117"/>
        <w:ind w:left="119" w:right="275"/>
        <w:jc w:val="both"/>
      </w:pPr>
      <w:r>
        <w:rPr/>
        <w:t>Further to the requirement for transparent, non-discriminatory, and fair and reasonable access, in order to facilitate market functioning in a structure with competing SSFs, the Agencies are of the view that it would be necessary to ensure that securities can be accessed by, and moved between,</w:t>
      </w:r>
      <w:r>
        <w:rPr>
          <w:spacing w:val="40"/>
        </w:rPr>
        <w:t> </w:t>
      </w:r>
      <w:r>
        <w:rPr/>
        <w:t>all of</w:t>
      </w:r>
      <w:r>
        <w:rPr>
          <w:spacing w:val="-2"/>
        </w:rPr>
        <w:t> </w:t>
      </w:r>
      <w:r>
        <w:rPr/>
        <w:t>the SSFs.</w:t>
      </w:r>
      <w:r>
        <w:rPr>
          <w:spacing w:val="-2"/>
        </w:rPr>
        <w:t> </w:t>
      </w:r>
      <w:r>
        <w:rPr/>
        <w:t>The nature</w:t>
      </w:r>
      <w:r>
        <w:rPr>
          <w:spacing w:val="-1"/>
        </w:rPr>
        <w:t> </w:t>
      </w:r>
      <w:r>
        <w:rPr/>
        <w:t>of this</w:t>
      </w:r>
      <w:r>
        <w:rPr>
          <w:spacing w:val="-2"/>
        </w:rPr>
        <w:t> </w:t>
      </w:r>
      <w:r>
        <w:rPr/>
        <w:t>link</w:t>
      </w:r>
      <w:r>
        <w:rPr>
          <w:spacing w:val="-1"/>
        </w:rPr>
        <w:t> </w:t>
      </w:r>
      <w:r>
        <w:rPr/>
        <w:t>will depend</w:t>
      </w:r>
      <w:r>
        <w:rPr>
          <w:spacing w:val="-2"/>
        </w:rPr>
        <w:t> </w:t>
      </w:r>
      <w:r>
        <w:rPr/>
        <w:t>on</w:t>
      </w:r>
      <w:r>
        <w:rPr>
          <w:spacing w:val="-2"/>
        </w:rPr>
        <w:t> </w:t>
      </w:r>
      <w:r>
        <w:rPr/>
        <w:t>the particular</w:t>
      </w:r>
      <w:r>
        <w:rPr>
          <w:spacing w:val="-2"/>
        </w:rPr>
        <w:t> </w:t>
      </w:r>
      <w:r>
        <w:rPr/>
        <w:t>model. It would also be necessary to have a process in place to prevent the risk of the same security holding being used multiple times during settlement.</w:t>
      </w:r>
    </w:p>
    <w:p>
      <w:pPr>
        <w:pStyle w:val="BodyText"/>
        <w:spacing w:before="9"/>
        <w:rPr>
          <w:sz w:val="16"/>
        </w:rPr>
      </w:pPr>
    </w:p>
    <w:p>
      <w:pPr>
        <w:pStyle w:val="Heading1"/>
        <w:numPr>
          <w:ilvl w:val="0"/>
          <w:numId w:val="4"/>
        </w:numPr>
        <w:tabs>
          <w:tab w:pos="686" w:val="left" w:leader="none"/>
          <w:tab w:pos="687" w:val="left" w:leader="none"/>
        </w:tabs>
        <w:spacing w:line="237" w:lineRule="auto" w:before="0" w:after="0"/>
        <w:ind w:left="120" w:right="1266" w:firstLine="0"/>
        <w:jc w:val="left"/>
      </w:pPr>
      <w:bookmarkStart w:name="4.  Appropriate Regulatory Arrangements " w:id="7"/>
      <w:bookmarkEnd w:id="7"/>
      <w:r>
        <w:rPr>
          <w:color w:val="336699"/>
        </w:rPr>
        <w:t>A</w:t>
      </w:r>
      <w:r>
        <w:rPr>
          <w:color w:val="336699"/>
        </w:rPr>
        <w:t>ppropriate</w:t>
      </w:r>
      <w:r>
        <w:rPr>
          <w:color w:val="336699"/>
          <w:spacing w:val="-5"/>
        </w:rPr>
        <w:t> </w:t>
      </w:r>
      <w:r>
        <w:rPr>
          <w:color w:val="336699"/>
        </w:rPr>
        <w:t>Regulatory</w:t>
      </w:r>
      <w:r>
        <w:rPr>
          <w:color w:val="336699"/>
          <w:spacing w:val="-5"/>
        </w:rPr>
        <w:t> </w:t>
      </w:r>
      <w:r>
        <w:rPr>
          <w:color w:val="336699"/>
        </w:rPr>
        <w:t>Arrangements</w:t>
      </w:r>
      <w:r>
        <w:rPr>
          <w:color w:val="336699"/>
          <w:spacing w:val="-6"/>
        </w:rPr>
        <w:t> </w:t>
      </w:r>
      <w:r>
        <w:rPr>
          <w:color w:val="336699"/>
        </w:rPr>
        <w:t>for</w:t>
      </w:r>
      <w:r>
        <w:rPr>
          <w:color w:val="336699"/>
          <w:spacing w:val="-7"/>
        </w:rPr>
        <w:t> </w:t>
      </w:r>
      <w:r>
        <w:rPr>
          <w:color w:val="336699"/>
        </w:rPr>
        <w:t>Oversight</w:t>
      </w:r>
      <w:r>
        <w:rPr>
          <w:color w:val="336699"/>
          <w:spacing w:val="-6"/>
        </w:rPr>
        <w:t> </w:t>
      </w:r>
      <w:r>
        <w:rPr>
          <w:color w:val="336699"/>
        </w:rPr>
        <w:t>of</w:t>
      </w:r>
      <w:r>
        <w:rPr>
          <w:color w:val="336699"/>
          <w:spacing w:val="-5"/>
        </w:rPr>
        <w:t> </w:t>
      </w:r>
      <w:r>
        <w:rPr>
          <w:color w:val="336699"/>
        </w:rPr>
        <w:t>Primary</w:t>
      </w:r>
      <w:r>
        <w:rPr>
          <w:color w:val="336699"/>
          <w:spacing w:val="-5"/>
        </w:rPr>
        <w:t> </w:t>
      </w:r>
      <w:r>
        <w:rPr>
          <w:color w:val="336699"/>
        </w:rPr>
        <w:t>and Secondary Markets</w:t>
      </w:r>
    </w:p>
    <w:p>
      <w:pPr>
        <w:pStyle w:val="BodyText"/>
        <w:spacing w:before="121"/>
        <w:ind w:left="120" w:right="275"/>
        <w:jc w:val="both"/>
      </w:pPr>
      <w:r>
        <w:rPr/>
        <w:t>Any SSF proposing to provide settlement services that will offer a choice in settlement timeframe, should be aware that this may have implications for the functioning of any licensed financial market for which it is permitted to settle trades and for the participants and investors that use the market. There may also be implications for the listed entities and the transactions they conduct.</w:t>
      </w:r>
    </w:p>
    <w:p>
      <w:pPr>
        <w:pStyle w:val="BodyText"/>
        <w:spacing w:before="121"/>
        <w:ind w:left="119" w:right="275"/>
        <w:jc w:val="both"/>
      </w:pPr>
      <w:r>
        <w:rPr/>
        <w:t>It is important to note that ASIC would have a regulatory role in any proposal in which the choice of settlement timeframe and/or facility occurred as part of contract formation on a licensed financial market. Such a proposal may raise significant policy considerations in respect of price formation, liquidity and fragmentation in the markets for securities settled by the respective competing SSF. Such proposals would require significant analysis to be undertaken by ASIC on the potential market impacts. A prospective provider of settlement services that seeks to offer such services should undertake bilateral dialogues with ASIC early in the development of its proposal.</w:t>
      </w:r>
    </w:p>
    <w:sectPr>
      <w:pgSz w:w="11910" w:h="16840"/>
      <w:pgMar w:header="0" w:footer="713" w:top="1380" w:bottom="900" w:left="132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5.280029pt;margin-top:795.289978pt;width:12.05pt;height:12pt;mso-position-horizontal-relative:page;mso-position-vertical-relative:page;z-index:-15855616" type="#_x0000_t202" id="docshape2" filled="false" stroked="false">
          <v:textbox inset="0,0,0,0">
            <w:txbxContent>
              <w:p>
                <w:pPr>
                  <w:spacing w:line="223" w:lineRule="exact" w:before="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pt;margin-top:795.289978pt;width:169.4pt;height:12pt;mso-position-horizontal-relative:page;mso-position-vertical-relative:page;z-index:-15855104" type="#_x0000_t202" id="docshape3" filled="false" stroked="false">
          <v:textbox inset="0,0,0,0">
            <w:txbxContent>
              <w:p>
                <w:pPr>
                  <w:spacing w:line="223" w:lineRule="exact" w:before="0"/>
                  <w:ind w:left="60" w:right="0" w:firstLine="0"/>
                  <w:jc w:val="left"/>
                  <w:rPr>
                    <w:sz w:val="20"/>
                  </w:rPr>
                </w:pPr>
                <w:r>
                  <w:rPr>
                    <w:sz w:val="20"/>
                  </w:rPr>
                  <w:fldChar w:fldCharType="begin"/>
                </w:r>
                <w:r>
                  <w:rPr>
                    <w:sz w:val="20"/>
                  </w:rPr>
                  <w:instrText> PAGE </w:instrText>
                </w:r>
                <w:r>
                  <w:rPr>
                    <w:sz w:val="20"/>
                  </w:rPr>
                  <w:fldChar w:fldCharType="separate"/>
                </w:r>
                <w:r>
                  <w:rPr>
                    <w:sz w:val="20"/>
                  </w:rPr>
                  <w:t>2</w:t>
                </w:r>
                <w:r>
                  <w:rPr>
                    <w:sz w:val="20"/>
                  </w:rPr>
                  <w:fldChar w:fldCharType="end"/>
                </w:r>
                <w:r>
                  <w:rPr>
                    <w:spacing w:val="64"/>
                    <w:w w:val="150"/>
                    <w:sz w:val="20"/>
                  </w:rPr>
                  <w:t> </w:t>
                </w:r>
                <w:r>
                  <w:rPr>
                    <w:sz w:val="20"/>
                  </w:rPr>
                  <w:t>COUNCIL</w:t>
                </w:r>
                <w:r>
                  <w:rPr>
                    <w:spacing w:val="-3"/>
                    <w:sz w:val="20"/>
                  </w:rPr>
                  <w:t> </w:t>
                </w:r>
                <w:r>
                  <w:rPr>
                    <w:sz w:val="20"/>
                  </w:rPr>
                  <w:t>OF</w:t>
                </w:r>
                <w:r>
                  <w:rPr>
                    <w:spacing w:val="-3"/>
                    <w:sz w:val="20"/>
                  </w:rPr>
                  <w:t> </w:t>
                </w:r>
                <w:r>
                  <w:rPr>
                    <w:sz w:val="20"/>
                  </w:rPr>
                  <w:t>FINANCIAL</w:t>
                </w:r>
                <w:r>
                  <w:rPr>
                    <w:spacing w:val="-3"/>
                    <w:sz w:val="20"/>
                  </w:rPr>
                  <w:t> </w:t>
                </w:r>
                <w:r>
                  <w:rPr>
                    <w:spacing w:val="-2"/>
                    <w:sz w:val="20"/>
                  </w:rPr>
                  <w:t>REGULATORS</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Letter"/>
      <w:lvlText w:val="(%1)"/>
      <w:lvlJc w:val="left"/>
      <w:pPr>
        <w:ind w:left="547" w:hanging="428"/>
        <w:jc w:val="left"/>
      </w:pPr>
      <w:rPr>
        <w:rFonts w:hint="default" w:ascii="Calibri" w:hAnsi="Calibri" w:eastAsia="Calibri" w:cs="Calibri"/>
        <w:b/>
        <w:bCs/>
        <w:i w:val="0"/>
        <w:iCs w:val="0"/>
        <w:spacing w:val="-1"/>
        <w:w w:val="100"/>
        <w:sz w:val="22"/>
        <w:szCs w:val="22"/>
        <w:lang w:val="en-au" w:eastAsia="en-US" w:bidi="ar-SA"/>
      </w:rPr>
    </w:lvl>
    <w:lvl w:ilvl="1">
      <w:start w:val="0"/>
      <w:numFmt w:val="bullet"/>
      <w:lvlText w:val="•"/>
      <w:lvlJc w:val="left"/>
      <w:pPr>
        <w:ind w:left="1428" w:hanging="428"/>
      </w:pPr>
      <w:rPr>
        <w:rFonts w:hint="default"/>
        <w:lang w:val="en-au" w:eastAsia="en-US" w:bidi="ar-SA"/>
      </w:rPr>
    </w:lvl>
    <w:lvl w:ilvl="2">
      <w:start w:val="0"/>
      <w:numFmt w:val="bullet"/>
      <w:lvlText w:val="•"/>
      <w:lvlJc w:val="left"/>
      <w:pPr>
        <w:ind w:left="2317" w:hanging="428"/>
      </w:pPr>
      <w:rPr>
        <w:rFonts w:hint="default"/>
        <w:lang w:val="en-au" w:eastAsia="en-US" w:bidi="ar-SA"/>
      </w:rPr>
    </w:lvl>
    <w:lvl w:ilvl="3">
      <w:start w:val="0"/>
      <w:numFmt w:val="bullet"/>
      <w:lvlText w:val="•"/>
      <w:lvlJc w:val="left"/>
      <w:pPr>
        <w:ind w:left="3205" w:hanging="428"/>
      </w:pPr>
      <w:rPr>
        <w:rFonts w:hint="default"/>
        <w:lang w:val="en-au" w:eastAsia="en-US" w:bidi="ar-SA"/>
      </w:rPr>
    </w:lvl>
    <w:lvl w:ilvl="4">
      <w:start w:val="0"/>
      <w:numFmt w:val="bullet"/>
      <w:lvlText w:val="•"/>
      <w:lvlJc w:val="left"/>
      <w:pPr>
        <w:ind w:left="4094" w:hanging="428"/>
      </w:pPr>
      <w:rPr>
        <w:rFonts w:hint="default"/>
        <w:lang w:val="en-au" w:eastAsia="en-US" w:bidi="ar-SA"/>
      </w:rPr>
    </w:lvl>
    <w:lvl w:ilvl="5">
      <w:start w:val="0"/>
      <w:numFmt w:val="bullet"/>
      <w:lvlText w:val="•"/>
      <w:lvlJc w:val="left"/>
      <w:pPr>
        <w:ind w:left="4983" w:hanging="428"/>
      </w:pPr>
      <w:rPr>
        <w:rFonts w:hint="default"/>
        <w:lang w:val="en-au" w:eastAsia="en-US" w:bidi="ar-SA"/>
      </w:rPr>
    </w:lvl>
    <w:lvl w:ilvl="6">
      <w:start w:val="0"/>
      <w:numFmt w:val="bullet"/>
      <w:lvlText w:val="•"/>
      <w:lvlJc w:val="left"/>
      <w:pPr>
        <w:ind w:left="5871" w:hanging="428"/>
      </w:pPr>
      <w:rPr>
        <w:rFonts w:hint="default"/>
        <w:lang w:val="en-au" w:eastAsia="en-US" w:bidi="ar-SA"/>
      </w:rPr>
    </w:lvl>
    <w:lvl w:ilvl="7">
      <w:start w:val="0"/>
      <w:numFmt w:val="bullet"/>
      <w:lvlText w:val="•"/>
      <w:lvlJc w:val="left"/>
      <w:pPr>
        <w:ind w:left="6760" w:hanging="428"/>
      </w:pPr>
      <w:rPr>
        <w:rFonts w:hint="default"/>
        <w:lang w:val="en-au" w:eastAsia="en-US" w:bidi="ar-SA"/>
      </w:rPr>
    </w:lvl>
    <w:lvl w:ilvl="8">
      <w:start w:val="0"/>
      <w:numFmt w:val="bullet"/>
      <w:lvlText w:val="•"/>
      <w:lvlJc w:val="left"/>
      <w:pPr>
        <w:ind w:left="7649" w:hanging="428"/>
      </w:pPr>
      <w:rPr>
        <w:rFonts w:hint="default"/>
        <w:lang w:val="en-au" w:eastAsia="en-US" w:bidi="ar-SA"/>
      </w:rPr>
    </w:lvl>
  </w:abstractNum>
  <w:abstractNum w:abstractNumId="3">
    <w:multiLevelType w:val="hybridMultilevel"/>
    <w:lvl w:ilvl="0">
      <w:start w:val="1"/>
      <w:numFmt w:val="decimal"/>
      <w:lvlText w:val="%1."/>
      <w:lvlJc w:val="left"/>
      <w:pPr>
        <w:ind w:left="686" w:hanging="567"/>
        <w:jc w:val="left"/>
      </w:pPr>
      <w:rPr>
        <w:rFonts w:hint="default" w:ascii="Palatino Linotype" w:hAnsi="Palatino Linotype" w:eastAsia="Palatino Linotype" w:cs="Palatino Linotype"/>
        <w:b/>
        <w:bCs/>
        <w:i w:val="0"/>
        <w:iCs w:val="0"/>
        <w:color w:val="336699"/>
        <w:w w:val="100"/>
        <w:sz w:val="24"/>
        <w:szCs w:val="24"/>
        <w:lang w:val="en-au" w:eastAsia="en-US" w:bidi="ar-SA"/>
      </w:rPr>
    </w:lvl>
    <w:lvl w:ilvl="1">
      <w:start w:val="0"/>
      <w:numFmt w:val="bullet"/>
      <w:lvlText w:val="•"/>
      <w:lvlJc w:val="left"/>
      <w:pPr>
        <w:ind w:left="1554" w:hanging="567"/>
      </w:pPr>
      <w:rPr>
        <w:rFonts w:hint="default"/>
        <w:lang w:val="en-au" w:eastAsia="en-US" w:bidi="ar-SA"/>
      </w:rPr>
    </w:lvl>
    <w:lvl w:ilvl="2">
      <w:start w:val="0"/>
      <w:numFmt w:val="bullet"/>
      <w:lvlText w:val="•"/>
      <w:lvlJc w:val="left"/>
      <w:pPr>
        <w:ind w:left="2429" w:hanging="567"/>
      </w:pPr>
      <w:rPr>
        <w:rFonts w:hint="default"/>
        <w:lang w:val="en-au" w:eastAsia="en-US" w:bidi="ar-SA"/>
      </w:rPr>
    </w:lvl>
    <w:lvl w:ilvl="3">
      <w:start w:val="0"/>
      <w:numFmt w:val="bullet"/>
      <w:lvlText w:val="•"/>
      <w:lvlJc w:val="left"/>
      <w:pPr>
        <w:ind w:left="3303" w:hanging="567"/>
      </w:pPr>
      <w:rPr>
        <w:rFonts w:hint="default"/>
        <w:lang w:val="en-au" w:eastAsia="en-US" w:bidi="ar-SA"/>
      </w:rPr>
    </w:lvl>
    <w:lvl w:ilvl="4">
      <w:start w:val="0"/>
      <w:numFmt w:val="bullet"/>
      <w:lvlText w:val="•"/>
      <w:lvlJc w:val="left"/>
      <w:pPr>
        <w:ind w:left="4178" w:hanging="567"/>
      </w:pPr>
      <w:rPr>
        <w:rFonts w:hint="default"/>
        <w:lang w:val="en-au" w:eastAsia="en-US" w:bidi="ar-SA"/>
      </w:rPr>
    </w:lvl>
    <w:lvl w:ilvl="5">
      <w:start w:val="0"/>
      <w:numFmt w:val="bullet"/>
      <w:lvlText w:val="•"/>
      <w:lvlJc w:val="left"/>
      <w:pPr>
        <w:ind w:left="5053" w:hanging="567"/>
      </w:pPr>
      <w:rPr>
        <w:rFonts w:hint="default"/>
        <w:lang w:val="en-au" w:eastAsia="en-US" w:bidi="ar-SA"/>
      </w:rPr>
    </w:lvl>
    <w:lvl w:ilvl="6">
      <w:start w:val="0"/>
      <w:numFmt w:val="bullet"/>
      <w:lvlText w:val="•"/>
      <w:lvlJc w:val="left"/>
      <w:pPr>
        <w:ind w:left="5927" w:hanging="567"/>
      </w:pPr>
      <w:rPr>
        <w:rFonts w:hint="default"/>
        <w:lang w:val="en-au" w:eastAsia="en-US" w:bidi="ar-SA"/>
      </w:rPr>
    </w:lvl>
    <w:lvl w:ilvl="7">
      <w:start w:val="0"/>
      <w:numFmt w:val="bullet"/>
      <w:lvlText w:val="•"/>
      <w:lvlJc w:val="left"/>
      <w:pPr>
        <w:ind w:left="6802" w:hanging="567"/>
      </w:pPr>
      <w:rPr>
        <w:rFonts w:hint="default"/>
        <w:lang w:val="en-au" w:eastAsia="en-US" w:bidi="ar-SA"/>
      </w:rPr>
    </w:lvl>
    <w:lvl w:ilvl="8">
      <w:start w:val="0"/>
      <w:numFmt w:val="bullet"/>
      <w:lvlText w:val="•"/>
      <w:lvlJc w:val="left"/>
      <w:pPr>
        <w:ind w:left="7677" w:hanging="567"/>
      </w:pPr>
      <w:rPr>
        <w:rFonts w:hint="default"/>
        <w:lang w:val="en-au" w:eastAsia="en-US" w:bidi="ar-SA"/>
      </w:rPr>
    </w:lvl>
  </w:abstractNum>
  <w:abstractNum w:abstractNumId="2">
    <w:multiLevelType w:val="hybridMultilevel"/>
    <w:lvl w:ilvl="0">
      <w:start w:val="1"/>
      <w:numFmt w:val="decimal"/>
      <w:lvlText w:val="%1."/>
      <w:lvlJc w:val="left"/>
      <w:pPr>
        <w:ind w:left="547" w:hanging="428"/>
        <w:jc w:val="left"/>
      </w:pPr>
      <w:rPr>
        <w:rFonts w:hint="default" w:ascii="Calibri" w:hAnsi="Calibri" w:eastAsia="Calibri" w:cs="Calibri"/>
        <w:b w:val="0"/>
        <w:bCs w:val="0"/>
        <w:i w:val="0"/>
        <w:iCs w:val="0"/>
        <w:w w:val="100"/>
        <w:sz w:val="22"/>
        <w:szCs w:val="22"/>
        <w:lang w:val="en-au" w:eastAsia="en-US" w:bidi="ar-SA"/>
      </w:rPr>
    </w:lvl>
    <w:lvl w:ilvl="1">
      <w:start w:val="1"/>
      <w:numFmt w:val="lowerLetter"/>
      <w:lvlText w:val="(%2)"/>
      <w:lvlJc w:val="left"/>
      <w:pPr>
        <w:ind w:left="970" w:hanging="425"/>
        <w:jc w:val="left"/>
      </w:pPr>
      <w:rPr>
        <w:rFonts w:hint="default" w:ascii="Calibri" w:hAnsi="Calibri" w:eastAsia="Calibri" w:cs="Calibri"/>
        <w:b w:val="0"/>
        <w:bCs w:val="0"/>
        <w:i w:val="0"/>
        <w:iCs w:val="0"/>
        <w:spacing w:val="-1"/>
        <w:w w:val="100"/>
        <w:sz w:val="22"/>
        <w:szCs w:val="22"/>
        <w:lang w:val="en-au" w:eastAsia="en-US" w:bidi="ar-SA"/>
      </w:rPr>
    </w:lvl>
    <w:lvl w:ilvl="2">
      <w:start w:val="0"/>
      <w:numFmt w:val="bullet"/>
      <w:lvlText w:val="•"/>
      <w:lvlJc w:val="left"/>
      <w:pPr>
        <w:ind w:left="1918" w:hanging="425"/>
      </w:pPr>
      <w:rPr>
        <w:rFonts w:hint="default"/>
        <w:lang w:val="en-au" w:eastAsia="en-US" w:bidi="ar-SA"/>
      </w:rPr>
    </w:lvl>
    <w:lvl w:ilvl="3">
      <w:start w:val="0"/>
      <w:numFmt w:val="bullet"/>
      <w:lvlText w:val="•"/>
      <w:lvlJc w:val="left"/>
      <w:pPr>
        <w:ind w:left="2856" w:hanging="425"/>
      </w:pPr>
      <w:rPr>
        <w:rFonts w:hint="default"/>
        <w:lang w:val="en-au" w:eastAsia="en-US" w:bidi="ar-SA"/>
      </w:rPr>
    </w:lvl>
    <w:lvl w:ilvl="4">
      <w:start w:val="0"/>
      <w:numFmt w:val="bullet"/>
      <w:lvlText w:val="•"/>
      <w:lvlJc w:val="left"/>
      <w:pPr>
        <w:ind w:left="3795" w:hanging="425"/>
      </w:pPr>
      <w:rPr>
        <w:rFonts w:hint="default"/>
        <w:lang w:val="en-au" w:eastAsia="en-US" w:bidi="ar-SA"/>
      </w:rPr>
    </w:lvl>
    <w:lvl w:ilvl="5">
      <w:start w:val="0"/>
      <w:numFmt w:val="bullet"/>
      <w:lvlText w:val="•"/>
      <w:lvlJc w:val="left"/>
      <w:pPr>
        <w:ind w:left="4733" w:hanging="425"/>
      </w:pPr>
      <w:rPr>
        <w:rFonts w:hint="default"/>
        <w:lang w:val="en-au" w:eastAsia="en-US" w:bidi="ar-SA"/>
      </w:rPr>
    </w:lvl>
    <w:lvl w:ilvl="6">
      <w:start w:val="0"/>
      <w:numFmt w:val="bullet"/>
      <w:lvlText w:val="•"/>
      <w:lvlJc w:val="left"/>
      <w:pPr>
        <w:ind w:left="5672" w:hanging="425"/>
      </w:pPr>
      <w:rPr>
        <w:rFonts w:hint="default"/>
        <w:lang w:val="en-au" w:eastAsia="en-US" w:bidi="ar-SA"/>
      </w:rPr>
    </w:lvl>
    <w:lvl w:ilvl="7">
      <w:start w:val="0"/>
      <w:numFmt w:val="bullet"/>
      <w:lvlText w:val="•"/>
      <w:lvlJc w:val="left"/>
      <w:pPr>
        <w:ind w:left="6610" w:hanging="425"/>
      </w:pPr>
      <w:rPr>
        <w:rFonts w:hint="default"/>
        <w:lang w:val="en-au" w:eastAsia="en-US" w:bidi="ar-SA"/>
      </w:rPr>
    </w:lvl>
    <w:lvl w:ilvl="8">
      <w:start w:val="0"/>
      <w:numFmt w:val="bullet"/>
      <w:lvlText w:val="•"/>
      <w:lvlJc w:val="left"/>
      <w:pPr>
        <w:ind w:left="7549" w:hanging="425"/>
      </w:pPr>
      <w:rPr>
        <w:rFonts w:hint="default"/>
        <w:lang w:val="en-au" w:eastAsia="en-US" w:bidi="ar-SA"/>
      </w:rPr>
    </w:lvl>
  </w:abstractNum>
  <w:abstractNum w:abstractNumId="1">
    <w:multiLevelType w:val="hybridMultilevel"/>
    <w:lvl w:ilvl="0">
      <w:start w:val="0"/>
      <w:numFmt w:val="bullet"/>
      <w:lvlText w:val=""/>
      <w:lvlJc w:val="left"/>
      <w:pPr>
        <w:ind w:left="544" w:hanging="425"/>
      </w:pPr>
      <w:rPr>
        <w:rFonts w:hint="default" w:ascii="Symbol" w:hAnsi="Symbol" w:eastAsia="Symbol" w:cs="Symbol"/>
        <w:b w:val="0"/>
        <w:bCs w:val="0"/>
        <w:i w:val="0"/>
        <w:iCs w:val="0"/>
        <w:w w:val="100"/>
        <w:sz w:val="22"/>
        <w:szCs w:val="22"/>
        <w:lang w:val="en-au" w:eastAsia="en-US" w:bidi="ar-SA"/>
      </w:rPr>
    </w:lvl>
    <w:lvl w:ilvl="1">
      <w:start w:val="0"/>
      <w:numFmt w:val="bullet"/>
      <w:lvlText w:val="•"/>
      <w:lvlJc w:val="left"/>
      <w:pPr>
        <w:ind w:left="1428" w:hanging="425"/>
      </w:pPr>
      <w:rPr>
        <w:rFonts w:hint="default"/>
        <w:lang w:val="en-au" w:eastAsia="en-US" w:bidi="ar-SA"/>
      </w:rPr>
    </w:lvl>
    <w:lvl w:ilvl="2">
      <w:start w:val="0"/>
      <w:numFmt w:val="bullet"/>
      <w:lvlText w:val="•"/>
      <w:lvlJc w:val="left"/>
      <w:pPr>
        <w:ind w:left="2317" w:hanging="425"/>
      </w:pPr>
      <w:rPr>
        <w:rFonts w:hint="default"/>
        <w:lang w:val="en-au" w:eastAsia="en-US" w:bidi="ar-SA"/>
      </w:rPr>
    </w:lvl>
    <w:lvl w:ilvl="3">
      <w:start w:val="0"/>
      <w:numFmt w:val="bullet"/>
      <w:lvlText w:val="•"/>
      <w:lvlJc w:val="left"/>
      <w:pPr>
        <w:ind w:left="3205" w:hanging="425"/>
      </w:pPr>
      <w:rPr>
        <w:rFonts w:hint="default"/>
        <w:lang w:val="en-au" w:eastAsia="en-US" w:bidi="ar-SA"/>
      </w:rPr>
    </w:lvl>
    <w:lvl w:ilvl="4">
      <w:start w:val="0"/>
      <w:numFmt w:val="bullet"/>
      <w:lvlText w:val="•"/>
      <w:lvlJc w:val="left"/>
      <w:pPr>
        <w:ind w:left="4094" w:hanging="425"/>
      </w:pPr>
      <w:rPr>
        <w:rFonts w:hint="default"/>
        <w:lang w:val="en-au" w:eastAsia="en-US" w:bidi="ar-SA"/>
      </w:rPr>
    </w:lvl>
    <w:lvl w:ilvl="5">
      <w:start w:val="0"/>
      <w:numFmt w:val="bullet"/>
      <w:lvlText w:val="•"/>
      <w:lvlJc w:val="left"/>
      <w:pPr>
        <w:ind w:left="4983" w:hanging="425"/>
      </w:pPr>
      <w:rPr>
        <w:rFonts w:hint="default"/>
        <w:lang w:val="en-au" w:eastAsia="en-US" w:bidi="ar-SA"/>
      </w:rPr>
    </w:lvl>
    <w:lvl w:ilvl="6">
      <w:start w:val="0"/>
      <w:numFmt w:val="bullet"/>
      <w:lvlText w:val="•"/>
      <w:lvlJc w:val="left"/>
      <w:pPr>
        <w:ind w:left="5871" w:hanging="425"/>
      </w:pPr>
      <w:rPr>
        <w:rFonts w:hint="default"/>
        <w:lang w:val="en-au" w:eastAsia="en-US" w:bidi="ar-SA"/>
      </w:rPr>
    </w:lvl>
    <w:lvl w:ilvl="7">
      <w:start w:val="0"/>
      <w:numFmt w:val="bullet"/>
      <w:lvlText w:val="•"/>
      <w:lvlJc w:val="left"/>
      <w:pPr>
        <w:ind w:left="6760" w:hanging="425"/>
      </w:pPr>
      <w:rPr>
        <w:rFonts w:hint="default"/>
        <w:lang w:val="en-au" w:eastAsia="en-US" w:bidi="ar-SA"/>
      </w:rPr>
    </w:lvl>
    <w:lvl w:ilvl="8">
      <w:start w:val="0"/>
      <w:numFmt w:val="bullet"/>
      <w:lvlText w:val="•"/>
      <w:lvlJc w:val="left"/>
      <w:pPr>
        <w:ind w:left="7649" w:hanging="425"/>
      </w:pPr>
      <w:rPr>
        <w:rFonts w:hint="default"/>
        <w:lang w:val="en-au" w:eastAsia="en-US" w:bidi="ar-SA"/>
      </w:rPr>
    </w:lvl>
  </w:abstractNum>
  <w:abstractNum w:abstractNumId="0">
    <w:multiLevelType w:val="hybridMultilevel"/>
    <w:lvl w:ilvl="0">
      <w:start w:val="1"/>
      <w:numFmt w:val="decimal"/>
      <w:lvlText w:val="%1"/>
      <w:lvlJc w:val="left"/>
      <w:pPr>
        <w:ind w:left="403" w:hanging="284"/>
        <w:jc w:val="left"/>
      </w:pPr>
      <w:rPr>
        <w:rFonts w:hint="default" w:ascii="Calibri" w:hAnsi="Calibri" w:eastAsia="Calibri" w:cs="Calibri"/>
        <w:b w:val="0"/>
        <w:bCs w:val="0"/>
        <w:i w:val="0"/>
        <w:iCs w:val="0"/>
        <w:w w:val="100"/>
        <w:sz w:val="18"/>
        <w:szCs w:val="18"/>
        <w:lang w:val="en-au" w:eastAsia="en-US" w:bidi="ar-SA"/>
      </w:rPr>
    </w:lvl>
    <w:lvl w:ilvl="1">
      <w:start w:val="0"/>
      <w:numFmt w:val="bullet"/>
      <w:lvlText w:val="•"/>
      <w:lvlJc w:val="left"/>
      <w:pPr>
        <w:ind w:left="1302" w:hanging="284"/>
      </w:pPr>
      <w:rPr>
        <w:rFonts w:hint="default"/>
        <w:lang w:val="en-au" w:eastAsia="en-US" w:bidi="ar-SA"/>
      </w:rPr>
    </w:lvl>
    <w:lvl w:ilvl="2">
      <w:start w:val="0"/>
      <w:numFmt w:val="bullet"/>
      <w:lvlText w:val="•"/>
      <w:lvlJc w:val="left"/>
      <w:pPr>
        <w:ind w:left="2205" w:hanging="284"/>
      </w:pPr>
      <w:rPr>
        <w:rFonts w:hint="default"/>
        <w:lang w:val="en-au" w:eastAsia="en-US" w:bidi="ar-SA"/>
      </w:rPr>
    </w:lvl>
    <w:lvl w:ilvl="3">
      <w:start w:val="0"/>
      <w:numFmt w:val="bullet"/>
      <w:lvlText w:val="•"/>
      <w:lvlJc w:val="left"/>
      <w:pPr>
        <w:ind w:left="3107" w:hanging="284"/>
      </w:pPr>
      <w:rPr>
        <w:rFonts w:hint="default"/>
        <w:lang w:val="en-au" w:eastAsia="en-US" w:bidi="ar-SA"/>
      </w:rPr>
    </w:lvl>
    <w:lvl w:ilvl="4">
      <w:start w:val="0"/>
      <w:numFmt w:val="bullet"/>
      <w:lvlText w:val="•"/>
      <w:lvlJc w:val="left"/>
      <w:pPr>
        <w:ind w:left="4010" w:hanging="284"/>
      </w:pPr>
      <w:rPr>
        <w:rFonts w:hint="default"/>
        <w:lang w:val="en-au" w:eastAsia="en-US" w:bidi="ar-SA"/>
      </w:rPr>
    </w:lvl>
    <w:lvl w:ilvl="5">
      <w:start w:val="0"/>
      <w:numFmt w:val="bullet"/>
      <w:lvlText w:val="•"/>
      <w:lvlJc w:val="left"/>
      <w:pPr>
        <w:ind w:left="4913" w:hanging="284"/>
      </w:pPr>
      <w:rPr>
        <w:rFonts w:hint="default"/>
        <w:lang w:val="en-au" w:eastAsia="en-US" w:bidi="ar-SA"/>
      </w:rPr>
    </w:lvl>
    <w:lvl w:ilvl="6">
      <w:start w:val="0"/>
      <w:numFmt w:val="bullet"/>
      <w:lvlText w:val="•"/>
      <w:lvlJc w:val="left"/>
      <w:pPr>
        <w:ind w:left="5815" w:hanging="284"/>
      </w:pPr>
      <w:rPr>
        <w:rFonts w:hint="default"/>
        <w:lang w:val="en-au" w:eastAsia="en-US" w:bidi="ar-SA"/>
      </w:rPr>
    </w:lvl>
    <w:lvl w:ilvl="7">
      <w:start w:val="0"/>
      <w:numFmt w:val="bullet"/>
      <w:lvlText w:val="•"/>
      <w:lvlJc w:val="left"/>
      <w:pPr>
        <w:ind w:left="6718" w:hanging="284"/>
      </w:pPr>
      <w:rPr>
        <w:rFonts w:hint="default"/>
        <w:lang w:val="en-au" w:eastAsia="en-US" w:bidi="ar-SA"/>
      </w:rPr>
    </w:lvl>
    <w:lvl w:ilvl="8">
      <w:start w:val="0"/>
      <w:numFmt w:val="bullet"/>
      <w:lvlText w:val="•"/>
      <w:lvlJc w:val="left"/>
      <w:pPr>
        <w:ind w:left="7621" w:hanging="284"/>
      </w:pPr>
      <w:rPr>
        <w:rFonts w:hint="default"/>
        <w:lang w:val="en-au"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2"/>
      <w:szCs w:val="22"/>
      <w:lang w:val="en-au" w:eastAsia="en-US" w:bidi="ar-SA"/>
    </w:rPr>
  </w:style>
  <w:style w:styleId="Heading1" w:type="paragraph">
    <w:name w:val="Heading 1"/>
    <w:basedOn w:val="Normal"/>
    <w:uiPriority w:val="1"/>
    <w:qFormat/>
    <w:pPr>
      <w:ind w:left="686" w:hanging="567"/>
      <w:outlineLvl w:val="1"/>
    </w:pPr>
    <w:rPr>
      <w:rFonts w:ascii="Palatino Linotype" w:hAnsi="Palatino Linotype" w:eastAsia="Palatino Linotype" w:cs="Palatino Linotype"/>
      <w:b/>
      <w:bCs/>
      <w:sz w:val="24"/>
      <w:szCs w:val="24"/>
      <w:lang w:val="en-au" w:eastAsia="en-US" w:bidi="ar-SA"/>
    </w:rPr>
  </w:style>
  <w:style w:styleId="Heading2" w:type="paragraph">
    <w:name w:val="Heading 2"/>
    <w:basedOn w:val="Normal"/>
    <w:uiPriority w:val="1"/>
    <w:qFormat/>
    <w:pPr>
      <w:ind w:left="120" w:hanging="428"/>
      <w:jc w:val="both"/>
      <w:outlineLvl w:val="2"/>
    </w:pPr>
    <w:rPr>
      <w:rFonts w:ascii="Calibri" w:hAnsi="Calibri" w:eastAsia="Calibri" w:cs="Calibri"/>
      <w:b/>
      <w:bCs/>
      <w:sz w:val="22"/>
      <w:szCs w:val="22"/>
      <w:lang w:val="en-au" w:eastAsia="en-US" w:bidi="ar-SA"/>
    </w:rPr>
  </w:style>
  <w:style w:styleId="Title" w:type="paragraph">
    <w:name w:val="Title"/>
    <w:basedOn w:val="Normal"/>
    <w:uiPriority w:val="1"/>
    <w:qFormat/>
    <w:pPr>
      <w:ind w:left="140"/>
    </w:pPr>
    <w:rPr>
      <w:rFonts w:ascii="Palatino Linotype" w:hAnsi="Palatino Linotype" w:eastAsia="Palatino Linotype" w:cs="Palatino Linotype"/>
      <w:sz w:val="56"/>
      <w:szCs w:val="56"/>
      <w:lang w:val="en-au" w:eastAsia="en-US" w:bidi="ar-SA"/>
    </w:rPr>
  </w:style>
  <w:style w:styleId="ListParagraph" w:type="paragraph">
    <w:name w:val="List Paragraph"/>
    <w:basedOn w:val="Normal"/>
    <w:uiPriority w:val="1"/>
    <w:qFormat/>
    <w:pPr>
      <w:ind w:left="547" w:hanging="284"/>
    </w:pPr>
    <w:rPr>
      <w:rFonts w:ascii="Calibri" w:hAnsi="Calibri" w:eastAsia="Calibri" w:cs="Calibri"/>
      <w:lang w:val="en-au" w:eastAsia="en-US" w:bidi="ar-SA"/>
    </w:rPr>
  </w:style>
  <w:style w:styleId="TableParagraph" w:type="paragraph">
    <w:name w:val="Table Paragraph"/>
    <w:basedOn w:val="Normal"/>
    <w:uiPriority w:val="1"/>
    <w:qFormat/>
    <w:pPr/>
    <w:rPr>
      <w:lang w:val="en-a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hyperlink" Target="http://www.cfr.gov.au/publications/cfr-publications/2017/safe-effective-competition-response/pdf/response-to-" TargetMode="External"/><Relationship Id="rId18" Type="http://schemas.openxmlformats.org/officeDocument/2006/relationships/numbering" Target="numbering.xml"/><Relationship Id="rId3"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footer" Target="footer2.xml"/><Relationship Id="rId12" Type="http://schemas.openxmlformats.org/officeDocument/2006/relationships/hyperlink" Target="http://www.cfr.gov.au/publications/consultations/safe-and-effective-competition-in-" TargetMode="External"/><Relationship Id="rId17" Type="http://schemas.openxmlformats.org/officeDocument/2006/relationships/hyperlink" Target="http://www.treasury.gov.au/ConsultationsandReviews/" TargetMode="External"/><Relationship Id="rId2" Type="http://schemas.openxmlformats.org/officeDocument/2006/relationships/fontTable" Target="fontTable.xml"/><Relationship Id="rId16" Type="http://schemas.openxmlformats.org/officeDocument/2006/relationships/hyperlink" Target="http://asic.gov.au/regulatory-resources/find-a-document/regulatory-"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cfr.gov.au/publications/cfr-publications/2016/regulatory-expectations-policy-statement/pdf/policy-" TargetMode="External"/><Relationship Id="rId5" Type="http://schemas.openxmlformats.org/officeDocument/2006/relationships/footer" Target="footer1.xml"/><Relationship Id="rId15" Type="http://schemas.openxmlformats.org/officeDocument/2006/relationships/hyperlink" Target="http://www.rba.gov.au/payments-and-infrastructure/financial-market-" TargetMode="External"/><Relationship Id="rId10" Type="http://schemas.openxmlformats.org/officeDocument/2006/relationships/hyperlink" Target="http://www.cfr.gov.au/publications/cfr-"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treasury.gov.au/ConsultationsandReviews/Consultations/2015/Review-of-competition-in-clearing-" TargetMode="External"/><Relationship Id="rId14" Type="http://schemas.openxmlformats.org/officeDocument/2006/relationships/hyperlink" Target="http://www.bis.org/cpmi/info_pfmi.htm"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_dlc_DocId xmlns="4195ad5f-cdf2-4c4a-8d9b-b7944a108e98">DOCID-322795542-26559</_dlc_DocId>
    <_dlc_DocIdUrl xmlns="4195ad5f-cdf2-4c4a-8d9b-b7944a108e98">
      <Url>https://pmc01.sharepoint.com/sites/CRMOBPR/_layouts/15/DocIdRedir.aspx?ID=DOCID-322795542-26559</Url>
      <Description>DOCID-322795542-26559</Description>
    </_dlc_DocIdUrl>
    <lcf76f155ced4ddcb4097134ff3c332f xmlns="26285671-540d-468b-b7a1-f3e0438dd5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A35358-F993-4A70-8C2D-67F2C20B0D51}"/>
</file>

<file path=customXml/itemProps2.xml><?xml version="1.0" encoding="utf-8"?>
<ds:datastoreItem xmlns:ds="http://schemas.openxmlformats.org/officeDocument/2006/customXml" ds:itemID="{B7C05E64-B105-48F0-9ACB-B1E375691954}"/>
</file>

<file path=customXml/itemProps3.xml><?xml version="1.0" encoding="utf-8"?>
<ds:datastoreItem xmlns:ds="http://schemas.openxmlformats.org/officeDocument/2006/customXml" ds:itemID="{30F65713-550A-46C3-AE9A-400E0929CB0E}"/>
</file>

<file path=customXml/itemProps4.xml><?xml version="1.0" encoding="utf-8"?>
<ds:datastoreItem xmlns:ds="http://schemas.openxmlformats.org/officeDocument/2006/customXml" ds:itemID="{1BDA1243-4B27-4C27-973F-CBC053654B4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PROKHOVNIK, Nicholas</dc:creator>
  <dcterms:created xsi:type="dcterms:W3CDTF">2022-07-05T01:45:19Z</dcterms:created>
  <dcterms:modified xsi:type="dcterms:W3CDTF">2022-07-05T01:45:19Z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2017-08-30T00:00:00Z</vt:filetime>
  </property>
  <property fmtid="{D5CDD505-2E9C-101B-9397-08002B2CF9AE}" pid="3" name="Creator">
    <vt:lpwstr>Acrobat PDFMaker 11 for Word</vt:lpwstr>
  </property>
  <property fmtid="{D5CDD505-2E9C-101B-9397-08002B2CF9AE}" pid="4" name="LastSaved">
    <vt:filetime>2022-07-05T00:00:00Z</vt:filetime>
  </property>
  <property fmtid="{D5CDD505-2E9C-101B-9397-08002B2CF9AE}" pid="5" name="ContentTypeId">
    <vt:lpwstr>0x0101009CA239676470E04B809DDC4E24CF2322</vt:lpwstr>
  </property>
  <property fmtid="{D5CDD505-2E9C-101B-9397-08002B2CF9AE}" pid="6" name="eTheme">
    <vt:lpwstr>1;#Financial System|047002ef-5ee0-47ee-8184-5f4aaddfe3b3</vt:lpwstr>
  </property>
  <property fmtid="{D5CDD505-2E9C-101B-9397-08002B2CF9AE}" pid="7" name="_dlc_DocIdItemGuid">
    <vt:lpwstr>dec234dc-9adf-455a-84ed-4ad966fcb250</vt:lpwstr>
  </property>
  <property fmtid="{D5CDD505-2E9C-101B-9397-08002B2CF9AE}" pid="8" name="eDocumentType">
    <vt:lpwstr>71;#Paper (Analysis or Research or Report)|6ad78538-b056-4e5b-8c06-e0b6c43f0ffa</vt:lpwstr>
  </property>
  <property fmtid="{D5CDD505-2E9C-101B-9397-08002B2CF9AE}" pid="9" name="eTopic">
    <vt:lpwstr>63;#Clearing and settlement|8c34b893-9c9c-40c9-afcc-4be76d248902;#22;#CFR|d8213157-58c2-4960-b99b-b9eb513594c0</vt:lpwstr>
  </property>
  <property fmtid="{D5CDD505-2E9C-101B-9397-08002B2CF9AE}" pid="10" name="eActivity">
    <vt:lpwstr>7;#Advice|7410e4fa-f399-413c-bf77-fd52474fcb91</vt:lpwstr>
  </property>
  <property fmtid="{D5CDD505-2E9C-101B-9397-08002B2CF9AE}" pid="11" name="MediaServiceImageTags">
    <vt:lpwstr/>
  </property>
</Properties>
</file>