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650" w:lineRule="exact"/>
      </w:pPr>
      <w:bookmarkStart w:name="Minimum Conditions for Safe and Effectiv" w:id="1"/>
      <w:bookmarkEnd w:id="1"/>
      <w:r>
        <w:rPr/>
      </w:r>
      <w:r>
        <w:rPr>
          <w:color w:val="595958"/>
        </w:rPr>
        <w:t>Minimum</w:t>
      </w:r>
      <w:r>
        <w:rPr>
          <w:color w:val="595958"/>
          <w:spacing w:val="-20"/>
        </w:rPr>
        <w:t> </w:t>
      </w:r>
      <w:r>
        <w:rPr>
          <w:color w:val="595958"/>
        </w:rPr>
        <w:t>Conditions</w:t>
      </w:r>
      <w:r>
        <w:rPr>
          <w:color w:val="595958"/>
          <w:spacing w:val="-20"/>
        </w:rPr>
        <w:t> </w:t>
      </w:r>
      <w:r>
        <w:rPr>
          <w:color w:val="595958"/>
        </w:rPr>
        <w:t>for</w:t>
      </w:r>
      <w:r>
        <w:rPr>
          <w:color w:val="595958"/>
          <w:spacing w:val="-21"/>
        </w:rPr>
        <w:t> </w:t>
      </w:r>
      <w:r>
        <w:rPr>
          <w:color w:val="595958"/>
          <w:spacing w:val="-4"/>
        </w:rPr>
        <w:t>Safe</w:t>
      </w:r>
    </w:p>
    <w:p>
      <w:pPr>
        <w:pStyle w:val="Title"/>
        <w:ind w:right="245"/>
      </w:pPr>
      <w:r>
        <w:rPr/>
        <w:pict>
          <v:rect style="position:absolute;margin-left:83.639999pt;margin-top:77.392593pt;width:428.04pt;height:3pt;mso-position-horizontal-relative:page;mso-position-vertical-relative:paragraph;z-index:-15728640;mso-wrap-distance-left:0;mso-wrap-distance-right:0" id="docshape1" filled="true" fillcolor="#a98e35" stroked="false">
            <v:fill type="solid"/>
            <w10:wrap type="topAndBottom"/>
          </v:rect>
        </w:pict>
      </w:r>
      <w:r>
        <w:rPr>
          <w:color w:val="595958"/>
        </w:rPr>
        <w:t>and Effective Competition in Cash</w:t>
      </w:r>
      <w:r>
        <w:rPr>
          <w:color w:val="595958"/>
          <w:spacing w:val="-10"/>
        </w:rPr>
        <w:t> </w:t>
      </w:r>
      <w:r>
        <w:rPr>
          <w:color w:val="595958"/>
        </w:rPr>
        <w:t>Equity</w:t>
      </w:r>
      <w:r>
        <w:rPr>
          <w:color w:val="595958"/>
          <w:spacing w:val="-10"/>
        </w:rPr>
        <w:t> </w:t>
      </w:r>
      <w:r>
        <w:rPr>
          <w:color w:val="595958"/>
        </w:rPr>
        <w:t>Clearing</w:t>
      </w:r>
      <w:r>
        <w:rPr>
          <w:color w:val="595958"/>
          <w:spacing w:val="-10"/>
        </w:rPr>
        <w:t> </w:t>
      </w:r>
      <w:r>
        <w:rPr>
          <w:color w:val="595958"/>
        </w:rPr>
        <w:t>in</w:t>
      </w:r>
      <w:r>
        <w:rPr>
          <w:color w:val="595958"/>
          <w:spacing w:val="-10"/>
        </w:rPr>
        <w:t> </w:t>
      </w:r>
      <w:r>
        <w:rPr>
          <w:color w:val="595958"/>
        </w:rPr>
        <w:t>Australia</w:t>
      </w:r>
    </w:p>
    <w:p>
      <w:pPr>
        <w:pStyle w:val="BodyText"/>
        <w:rPr>
          <w:rFonts w:ascii="Palatino Linotype"/>
          <w:sz w:val="20"/>
        </w:rPr>
      </w:pPr>
    </w:p>
    <w:p>
      <w:pPr>
        <w:pStyle w:val="BodyText"/>
        <w:spacing w:before="10"/>
        <w:rPr>
          <w:rFonts w:ascii="Palatino Linotype"/>
          <w:sz w:val="14"/>
        </w:rPr>
      </w:pPr>
    </w:p>
    <w:p>
      <w:pPr>
        <w:pStyle w:val="Heading2"/>
        <w:spacing w:before="12"/>
        <w:ind w:left="141" w:right="4467"/>
      </w:pPr>
      <w:r>
        <w:rPr>
          <w:color w:val="007698"/>
        </w:rPr>
        <w:t>A Policy Statement by the Council</w:t>
      </w:r>
      <w:r>
        <w:rPr>
          <w:color w:val="007698"/>
          <w:spacing w:val="-12"/>
        </w:rPr>
        <w:t> </w:t>
      </w:r>
      <w:r>
        <w:rPr>
          <w:color w:val="007698"/>
        </w:rPr>
        <w:t>of</w:t>
      </w:r>
      <w:r>
        <w:rPr>
          <w:color w:val="007698"/>
          <w:spacing w:val="-12"/>
        </w:rPr>
        <w:t> </w:t>
      </w:r>
      <w:r>
        <w:rPr>
          <w:color w:val="007698"/>
        </w:rPr>
        <w:t>Financial</w:t>
      </w:r>
      <w:r>
        <w:rPr>
          <w:color w:val="007698"/>
          <w:spacing w:val="-12"/>
        </w:rPr>
        <w:t> </w:t>
      </w:r>
      <w:r>
        <w:rPr>
          <w:color w:val="007698"/>
        </w:rPr>
        <w:t>Regulators</w:t>
      </w:r>
    </w:p>
    <w:p>
      <w:pPr>
        <w:spacing w:before="162"/>
        <w:ind w:left="141" w:right="0" w:firstLine="0"/>
        <w:jc w:val="left"/>
        <w:rPr>
          <w:rFonts w:ascii="Palatino Linotype"/>
          <w:sz w:val="28"/>
        </w:rPr>
      </w:pPr>
      <w:r>
        <w:rPr>
          <w:rFonts w:ascii="Palatino Linotype"/>
          <w:color w:val="007698"/>
          <w:sz w:val="28"/>
        </w:rPr>
        <w:t>As</w:t>
      </w:r>
      <w:r>
        <w:rPr>
          <w:rFonts w:ascii="Palatino Linotype"/>
          <w:color w:val="007698"/>
          <w:spacing w:val="-4"/>
          <w:sz w:val="28"/>
        </w:rPr>
        <w:t> </w:t>
      </w:r>
      <w:r>
        <w:rPr>
          <w:rFonts w:ascii="Palatino Linotype"/>
          <w:color w:val="007698"/>
          <w:sz w:val="28"/>
        </w:rPr>
        <w:t>revised</w:t>
      </w:r>
      <w:r>
        <w:rPr>
          <w:rFonts w:ascii="Palatino Linotype"/>
          <w:color w:val="007698"/>
          <w:spacing w:val="-5"/>
          <w:sz w:val="28"/>
        </w:rPr>
        <w:t> </w:t>
      </w:r>
      <w:r>
        <w:rPr>
          <w:rFonts w:ascii="Palatino Linotype"/>
          <w:color w:val="007698"/>
          <w:sz w:val="28"/>
        </w:rPr>
        <w:t>September</w:t>
      </w:r>
      <w:r>
        <w:rPr>
          <w:rFonts w:ascii="Palatino Linotype"/>
          <w:color w:val="007698"/>
          <w:spacing w:val="-5"/>
          <w:sz w:val="28"/>
        </w:rPr>
        <w:t> </w:t>
      </w:r>
      <w:r>
        <w:rPr>
          <w:rFonts w:ascii="Palatino Linotype"/>
          <w:color w:val="007698"/>
          <w:spacing w:val="-4"/>
          <w:sz w:val="28"/>
        </w:rPr>
        <w:t>2017</w:t>
      </w: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13"/>
        <w:rPr>
          <w:rFonts w:ascii="Palatino Linotype"/>
          <w:sz w:val="24"/>
        </w:rPr>
      </w:pPr>
      <w:r>
        <w:rPr/>
        <w:drawing>
          <wp:anchor distT="0" distB="0" distL="0" distR="0" allowOverlap="1" layoutInCell="1" locked="0" behindDoc="0" simplePos="0" relativeHeight="1">
            <wp:simplePos x="0" y="0"/>
            <wp:positionH relativeFrom="page">
              <wp:posOffset>1118077</wp:posOffset>
            </wp:positionH>
            <wp:positionV relativeFrom="paragraph">
              <wp:posOffset>229210</wp:posOffset>
            </wp:positionV>
            <wp:extent cx="3038111" cy="66008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38111" cy="660082"/>
                    </a:xfrm>
                    <a:prstGeom prst="rect">
                      <a:avLst/>
                    </a:prstGeom>
                  </pic:spPr>
                </pic:pic>
              </a:graphicData>
            </a:graphic>
          </wp:anchor>
        </w:drawing>
      </w:r>
    </w:p>
    <w:p>
      <w:pPr>
        <w:spacing w:after="0"/>
        <w:rPr>
          <w:rFonts w:ascii="Palatino Linotype"/>
          <w:sz w:val="24"/>
        </w:rPr>
        <w:sectPr>
          <w:type w:val="continuous"/>
          <w:pgSz w:w="11900" w:h="16850"/>
          <w:pgMar w:top="1360" w:bottom="280" w:left="1560" w:right="1580"/>
        </w:sect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11"/>
        <w:rPr>
          <w:rFonts w:ascii="Palatino Linotype"/>
          <w:sz w:val="19"/>
        </w:rPr>
      </w:pPr>
    </w:p>
    <w:p>
      <w:pPr>
        <w:pStyle w:val="BodyText"/>
        <w:spacing w:line="254" w:lineRule="auto" w:before="59"/>
        <w:ind w:left="141" w:right="117"/>
        <w:jc w:val="both"/>
      </w:pPr>
      <w:r>
        <w:rPr/>
        <w:t>© Australian Prudential Regulation Authority, Australian Securities and Investments Commission, Reserve Bank of Australia and the Department of the Treasury 2016. All rights reserved.</w:t>
      </w:r>
    </w:p>
    <w:p>
      <w:pPr>
        <w:pStyle w:val="BodyText"/>
        <w:spacing w:line="252" w:lineRule="auto" w:before="157"/>
        <w:ind w:left="141" w:right="112"/>
        <w:jc w:val="both"/>
      </w:pPr>
      <w:r>
        <w:rPr/>
        <w:t>The contents of this publication shall not be reproduced, sold or distributed without the prior consent of the Australian Prudential Regulation Authority, Australian Securities and Investments Commission, Reserve Bank of Australia and the Department of the Treasury.</w:t>
      </w:r>
    </w:p>
    <w:p>
      <w:pPr>
        <w:pStyle w:val="BodyText"/>
        <w:rPr>
          <w:sz w:val="20"/>
        </w:rPr>
      </w:pPr>
    </w:p>
    <w:p>
      <w:pPr>
        <w:pStyle w:val="BodyText"/>
        <w:spacing w:before="6"/>
        <w:rPr>
          <w:sz w:val="28"/>
        </w:rPr>
      </w:pPr>
    </w:p>
    <w:p>
      <w:pPr>
        <w:pStyle w:val="BodyText"/>
        <w:ind w:left="141"/>
        <w:jc w:val="both"/>
      </w:pPr>
      <w:r>
        <w:rPr>
          <w:spacing w:val="-2"/>
        </w:rPr>
        <w:t>ISBN</w:t>
      </w:r>
      <w:r>
        <w:rPr>
          <w:spacing w:val="8"/>
        </w:rPr>
        <w:t> </w:t>
      </w:r>
      <w:r>
        <w:rPr>
          <w:spacing w:val="-2"/>
        </w:rPr>
        <w:t>978-0-9805857-5-9</w:t>
      </w:r>
      <w:r>
        <w:rPr>
          <w:spacing w:val="10"/>
        </w:rPr>
        <w:t> </w:t>
      </w:r>
      <w:r>
        <w:rPr>
          <w:spacing w:val="-2"/>
        </w:rPr>
        <w:t>(Online)</w:t>
      </w:r>
    </w:p>
    <w:p>
      <w:pPr>
        <w:spacing w:after="0"/>
        <w:jc w:val="both"/>
        <w:sectPr>
          <w:pgSz w:w="11900" w:h="16850"/>
          <w:pgMar w:top="1600" w:bottom="280" w:left="1560" w:right="1580"/>
        </w:sectPr>
      </w:pPr>
    </w:p>
    <w:p>
      <w:pPr>
        <w:pStyle w:val="BodyText"/>
        <w:spacing w:before="7"/>
        <w:rPr>
          <w:sz w:val="8"/>
        </w:rPr>
      </w:pPr>
    </w:p>
    <w:p>
      <w:pPr>
        <w:pStyle w:val="Heading1"/>
        <w:spacing w:line="430" w:lineRule="exact"/>
      </w:pPr>
      <w:bookmarkStart w:name="Background" w:id="2"/>
      <w:bookmarkEnd w:id="2"/>
      <w:r>
        <w:rPr/>
      </w:r>
      <w:r>
        <w:rPr>
          <w:color w:val="007698"/>
          <w:spacing w:val="-2"/>
        </w:rPr>
        <w:t>Background</w:t>
      </w:r>
    </w:p>
    <w:p>
      <w:pPr>
        <w:pStyle w:val="BodyText"/>
        <w:spacing w:line="252" w:lineRule="auto" w:before="170"/>
        <w:ind w:left="108" w:right="103"/>
        <w:jc w:val="both"/>
      </w:pPr>
      <w:r>
        <w:rPr/>
        <w:t>On 30 March 2016, the Government endorsed the recommendations of a review of competition in clearing Australian cash equities carried out by the Council of Financial Regulators (CFR) and the Australian</w:t>
      </w:r>
      <w:r>
        <w:rPr>
          <w:spacing w:val="-7"/>
        </w:rPr>
        <w:t> </w:t>
      </w:r>
      <w:r>
        <w:rPr/>
        <w:t>Competition</w:t>
      </w:r>
      <w:r>
        <w:rPr>
          <w:spacing w:val="-7"/>
        </w:rPr>
        <w:t> </w:t>
      </w:r>
      <w:r>
        <w:rPr/>
        <w:t>and</w:t>
      </w:r>
      <w:r>
        <w:rPr>
          <w:spacing w:val="-5"/>
        </w:rPr>
        <w:t> </w:t>
      </w:r>
      <w:r>
        <w:rPr/>
        <w:t>Consumer</w:t>
      </w:r>
      <w:r>
        <w:rPr>
          <w:spacing w:val="-6"/>
        </w:rPr>
        <w:t> </w:t>
      </w:r>
      <w:r>
        <w:rPr/>
        <w:t>Commission</w:t>
      </w:r>
      <w:r>
        <w:rPr>
          <w:spacing w:val="-7"/>
        </w:rPr>
        <w:t> </w:t>
      </w:r>
      <w:r>
        <w:rPr/>
        <w:t>(ACCC)</w:t>
      </w:r>
      <w:r>
        <w:rPr>
          <w:spacing w:val="-6"/>
        </w:rPr>
        <w:t> </w:t>
      </w:r>
      <w:r>
        <w:rPr/>
        <w:t>–</w:t>
      </w:r>
      <w:r>
        <w:rPr>
          <w:spacing w:val="-5"/>
        </w:rPr>
        <w:t> </w:t>
      </w:r>
      <w:r>
        <w:rPr/>
        <w:t>together,</w:t>
      </w:r>
      <w:r>
        <w:rPr>
          <w:spacing w:val="-7"/>
        </w:rPr>
        <w:t> </w:t>
      </w:r>
      <w:r>
        <w:rPr/>
        <w:t>the</w:t>
      </w:r>
      <w:r>
        <w:rPr>
          <w:spacing w:val="-7"/>
        </w:rPr>
        <w:t> </w:t>
      </w:r>
      <w:r>
        <w:rPr/>
        <w:t>Agencies</w:t>
      </w:r>
      <w:r>
        <w:rPr>
          <w:spacing w:val="-7"/>
        </w:rPr>
        <w:t> </w:t>
      </w:r>
      <w:r>
        <w:rPr/>
        <w:t>–</w:t>
      </w:r>
      <w:r>
        <w:rPr>
          <w:spacing w:val="-4"/>
        </w:rPr>
        <w:t> </w:t>
      </w:r>
      <w:r>
        <w:rPr/>
        <w:t>in</w:t>
      </w:r>
      <w:r>
        <w:rPr>
          <w:spacing w:val="-7"/>
        </w:rPr>
        <w:t> </w:t>
      </w:r>
      <w:r>
        <w:rPr/>
        <w:t>the</w:t>
      </w:r>
      <w:r>
        <w:rPr>
          <w:spacing w:val="-7"/>
        </w:rPr>
        <w:t> </w:t>
      </w:r>
      <w:r>
        <w:rPr/>
        <w:t>first</w:t>
      </w:r>
      <w:r>
        <w:rPr>
          <w:spacing w:val="-6"/>
        </w:rPr>
        <w:t> </w:t>
      </w:r>
      <w:r>
        <w:rPr/>
        <w:t>half</w:t>
      </w:r>
      <w:r>
        <w:rPr>
          <w:spacing w:val="-7"/>
        </w:rPr>
        <w:t> </w:t>
      </w:r>
      <w:r>
        <w:rPr/>
        <w:t>of 2015. These recommendations are set out in the Agencies’ report, </w:t>
      </w:r>
      <w:r>
        <w:rPr>
          <w:i/>
        </w:rPr>
        <w:t>Review of Competition in Clearing</w:t>
      </w:r>
      <w:r>
        <w:rPr>
          <w:i/>
        </w:rPr>
        <w:t> Australian Cash Equities: Conclusions </w:t>
      </w:r>
      <w:r>
        <w:rPr/>
        <w:t>(the Conclusions), published at the time of the Government’s </w:t>
      </w:r>
      <w:r>
        <w:rPr>
          <w:spacing w:val="-2"/>
        </w:rPr>
        <w:t>announcement.</w:t>
      </w:r>
      <w:r>
        <w:rPr>
          <w:spacing w:val="-2"/>
          <w:vertAlign w:val="superscript"/>
        </w:rPr>
        <w:t>1</w:t>
      </w:r>
    </w:p>
    <w:p>
      <w:pPr>
        <w:pStyle w:val="BodyText"/>
        <w:spacing w:line="252" w:lineRule="auto" w:before="165"/>
        <w:ind w:left="108" w:right="101"/>
        <w:jc w:val="both"/>
      </w:pPr>
      <w:r>
        <w:rPr/>
        <w:t>With the Government’s endorsement of the Agencies’ recommendations, a policy stance of openness to competition has been confirmed. This stance recognises prevailing legislative settings that are accommodative of competition, as well as the potential benefits of competitive discipline. At the</w:t>
      </w:r>
      <w:r>
        <w:rPr>
          <w:spacing w:val="40"/>
        </w:rPr>
        <w:t> </w:t>
      </w:r>
      <w:r>
        <w:rPr/>
        <w:t>same time, the Conclusions acknowledge that competition in clearing could have cost, risk and efficiency implications for the functioning of markets, financial stability and access for unaffiliated market</w:t>
      </w:r>
      <w:r>
        <w:rPr>
          <w:spacing w:val="-1"/>
        </w:rPr>
        <w:t> </w:t>
      </w:r>
      <w:r>
        <w:rPr/>
        <w:t>operators</w:t>
      </w:r>
      <w:r>
        <w:rPr>
          <w:spacing w:val="-1"/>
        </w:rPr>
        <w:t> </w:t>
      </w:r>
      <w:r>
        <w:rPr/>
        <w:t>and clearing</w:t>
      </w:r>
      <w:r>
        <w:rPr>
          <w:spacing w:val="-1"/>
        </w:rPr>
        <w:t> </w:t>
      </w:r>
      <w:r>
        <w:rPr/>
        <w:t>and settlement</w:t>
      </w:r>
      <w:r>
        <w:rPr>
          <w:spacing w:val="-1"/>
        </w:rPr>
        <w:t> </w:t>
      </w:r>
      <w:r>
        <w:rPr/>
        <w:t>(CS) facilities. Accordingly, the Conclusions</w:t>
      </w:r>
      <w:r>
        <w:rPr>
          <w:spacing w:val="-1"/>
        </w:rPr>
        <w:t> </w:t>
      </w:r>
      <w:r>
        <w:rPr/>
        <w:t>recommend legislative changes to facilitate a set of minimum conditions for safe and effective competition in cash equity</w:t>
      </w:r>
      <w:r>
        <w:rPr>
          <w:spacing w:val="-12"/>
        </w:rPr>
        <w:t> </w:t>
      </w:r>
      <w:r>
        <w:rPr/>
        <w:t>clearing</w:t>
      </w:r>
      <w:r>
        <w:rPr>
          <w:spacing w:val="-12"/>
        </w:rPr>
        <w:t> </w:t>
      </w:r>
      <w:r>
        <w:rPr/>
        <w:t>(Minimum</w:t>
      </w:r>
      <w:r>
        <w:rPr>
          <w:spacing w:val="-12"/>
        </w:rPr>
        <w:t> </w:t>
      </w:r>
      <w:r>
        <w:rPr/>
        <w:t>Conditions</w:t>
      </w:r>
      <w:r>
        <w:rPr>
          <w:spacing w:val="-12"/>
        </w:rPr>
        <w:t> </w:t>
      </w:r>
      <w:r>
        <w:rPr/>
        <w:t>(Clearing)).</w:t>
      </w:r>
    </w:p>
    <w:p>
      <w:pPr>
        <w:pStyle w:val="BodyText"/>
        <w:spacing w:line="252" w:lineRule="auto" w:before="168"/>
        <w:ind w:left="109" w:right="101"/>
        <w:jc w:val="both"/>
      </w:pPr>
      <w:r>
        <w:rPr/>
        <w:t>As</w:t>
      </w:r>
      <w:r>
        <w:rPr>
          <w:spacing w:val="-8"/>
        </w:rPr>
        <w:t> </w:t>
      </w:r>
      <w:r>
        <w:rPr/>
        <w:t>a</w:t>
      </w:r>
      <w:r>
        <w:rPr>
          <w:spacing w:val="-8"/>
        </w:rPr>
        <w:t> </w:t>
      </w:r>
      <w:r>
        <w:rPr/>
        <w:t>first</w:t>
      </w:r>
      <w:r>
        <w:rPr>
          <w:spacing w:val="-7"/>
        </w:rPr>
        <w:t> </w:t>
      </w:r>
      <w:r>
        <w:rPr/>
        <w:t>step,</w:t>
      </w:r>
      <w:r>
        <w:rPr>
          <w:spacing w:val="-8"/>
        </w:rPr>
        <w:t> </w:t>
      </w:r>
      <w:r>
        <w:rPr/>
        <w:t>the</w:t>
      </w:r>
      <w:r>
        <w:rPr>
          <w:spacing w:val="-8"/>
        </w:rPr>
        <w:t> </w:t>
      </w:r>
      <w:r>
        <w:rPr/>
        <w:t>Agencies</w:t>
      </w:r>
      <w:r>
        <w:rPr>
          <w:spacing w:val="-7"/>
        </w:rPr>
        <w:t> </w:t>
      </w:r>
      <w:r>
        <w:rPr/>
        <w:t>have</w:t>
      </w:r>
      <w:r>
        <w:rPr>
          <w:spacing w:val="-8"/>
        </w:rPr>
        <w:t> </w:t>
      </w:r>
      <w:r>
        <w:rPr/>
        <w:t>undertaken</w:t>
      </w:r>
      <w:r>
        <w:rPr>
          <w:spacing w:val="-7"/>
        </w:rPr>
        <w:t> </w:t>
      </w:r>
      <w:r>
        <w:rPr/>
        <w:t>to</w:t>
      </w:r>
      <w:r>
        <w:rPr>
          <w:spacing w:val="-8"/>
        </w:rPr>
        <w:t> </w:t>
      </w:r>
      <w:r>
        <w:rPr/>
        <w:t>set</w:t>
      </w:r>
      <w:r>
        <w:rPr>
          <w:spacing w:val="-7"/>
        </w:rPr>
        <w:t> </w:t>
      </w:r>
      <w:r>
        <w:rPr/>
        <w:t>out</w:t>
      </w:r>
      <w:r>
        <w:rPr>
          <w:spacing w:val="-7"/>
        </w:rPr>
        <w:t> </w:t>
      </w:r>
      <w:r>
        <w:rPr/>
        <w:t>the</w:t>
      </w:r>
      <w:r>
        <w:rPr>
          <w:spacing w:val="-8"/>
        </w:rPr>
        <w:t> </w:t>
      </w:r>
      <w:r>
        <w:rPr/>
        <w:t>Minimum</w:t>
      </w:r>
      <w:r>
        <w:rPr>
          <w:spacing w:val="-7"/>
        </w:rPr>
        <w:t> </w:t>
      </w:r>
      <w:r>
        <w:rPr/>
        <w:t>Conditions</w:t>
      </w:r>
      <w:r>
        <w:rPr>
          <w:spacing w:val="-8"/>
        </w:rPr>
        <w:t> </w:t>
      </w:r>
      <w:r>
        <w:rPr/>
        <w:t>(Clearing)</w:t>
      </w:r>
      <w:r>
        <w:rPr>
          <w:spacing w:val="-5"/>
        </w:rPr>
        <w:t> </w:t>
      </w:r>
      <w:r>
        <w:rPr/>
        <w:t>in</w:t>
      </w:r>
      <w:r>
        <w:rPr>
          <w:spacing w:val="-7"/>
        </w:rPr>
        <w:t> </w:t>
      </w:r>
      <w:r>
        <w:rPr/>
        <w:t>a</w:t>
      </w:r>
      <w:r>
        <w:rPr>
          <w:spacing w:val="-8"/>
        </w:rPr>
        <w:t> </w:t>
      </w:r>
      <w:r>
        <w:rPr/>
        <w:t>publicly stated policy. This document fulfils this commitment. The Conclusions recommend that the Minimum Conditions (Clearing) cover the following: (i) adequate regulatory arrangements; (ii) appropriate safeguards in the settlement process; (iii)</w:t>
      </w:r>
      <w:r>
        <w:rPr>
          <w:spacing w:val="-1"/>
        </w:rPr>
        <w:t> </w:t>
      </w:r>
      <w:r>
        <w:rPr/>
        <w:t>access to settlement infrastructure on non-discriminatory, transparent, fair and reasonable terms; and (iv) appropriate interoperability arrangements between competing cash equity central counterparties (CCPs).</w:t>
      </w:r>
    </w:p>
    <w:p>
      <w:pPr>
        <w:pStyle w:val="BodyText"/>
        <w:spacing w:line="252" w:lineRule="auto" w:before="163"/>
        <w:ind w:left="108" w:right="100"/>
        <w:jc w:val="both"/>
      </w:pPr>
      <w:r>
        <w:rPr/>
        <w:t>The Minimum Conditions (Clearing) have been developed with reference to the prevailing market structure in settlement – in which there is a sole provider of settlement services. However, the Agencies conducted a consultation on safe and effective competition in settlement of</w:t>
      </w:r>
      <w:r>
        <w:rPr>
          <w:spacing w:val="-2"/>
        </w:rPr>
        <w:t> </w:t>
      </w:r>
      <w:r>
        <w:rPr/>
        <w:t>cash</w:t>
      </w:r>
      <w:r>
        <w:rPr>
          <w:spacing w:val="-2"/>
        </w:rPr>
        <w:t> </w:t>
      </w:r>
      <w:r>
        <w:rPr/>
        <w:t>equities</w:t>
      </w:r>
      <w:r>
        <w:rPr>
          <w:spacing w:val="-3"/>
        </w:rPr>
        <w:t> </w:t>
      </w:r>
      <w:r>
        <w:rPr/>
        <w:t>in Australia in the first half of 2017, which found that the prospect of competition emerging may have increased</w:t>
      </w:r>
      <w:r>
        <w:rPr>
          <w:spacing w:val="-1"/>
        </w:rPr>
        <w:t> </w:t>
      </w:r>
      <w:r>
        <w:rPr/>
        <w:t>since the 2015 review of competition</w:t>
      </w:r>
      <w:r>
        <w:rPr>
          <w:spacing w:val="-1"/>
        </w:rPr>
        <w:t> </w:t>
      </w:r>
      <w:r>
        <w:rPr/>
        <w:t>in</w:t>
      </w:r>
      <w:r>
        <w:rPr>
          <w:spacing w:val="-1"/>
        </w:rPr>
        <w:t> </w:t>
      </w:r>
      <w:r>
        <w:rPr/>
        <w:t>clearing.</w:t>
      </w:r>
      <w:r>
        <w:rPr>
          <w:spacing w:val="-1"/>
        </w:rPr>
        <w:t> </w:t>
      </w:r>
      <w:r>
        <w:rPr/>
        <w:t>Accordingly, the Agencies</w:t>
      </w:r>
      <w:r>
        <w:rPr>
          <w:spacing w:val="-1"/>
        </w:rPr>
        <w:t> </w:t>
      </w:r>
      <w:r>
        <w:rPr/>
        <w:t>released a set</w:t>
      </w:r>
      <w:r>
        <w:rPr>
          <w:spacing w:val="-1"/>
        </w:rPr>
        <w:t> </w:t>
      </w:r>
      <w:r>
        <w:rPr/>
        <w:t>of </w:t>
      </w:r>
      <w:r>
        <w:rPr>
          <w:i/>
        </w:rPr>
        <w:t>Minimum Conditions for Safe and Effective Competition in Cash Equity Settlement in Australia</w:t>
      </w:r>
      <w:r>
        <w:rPr>
          <w:i/>
        </w:rPr>
        <w:t> </w:t>
      </w:r>
      <w:r>
        <w:rPr/>
        <w:t>(Minimum Conditions (Settlement)) in September 2017.</w:t>
      </w:r>
      <w:r>
        <w:rPr>
          <w:vertAlign w:val="superscript"/>
        </w:rPr>
        <w:t>2</w:t>
      </w:r>
      <w:r>
        <w:rPr>
          <w:vertAlign w:val="baseline"/>
        </w:rPr>
        <w:t> The Agencies subsequently identified some aspects of the Minimum Conditions (Clearing) that required consequential amendments, and have therefore issued these revised Minimum Conditions (Clearing) in September 2017.</w:t>
      </w:r>
    </w:p>
    <w:p>
      <w:pPr>
        <w:pStyle w:val="BodyText"/>
        <w:spacing w:line="252" w:lineRule="auto" w:before="167"/>
        <w:ind w:left="108" w:right="101" w:hanging="1"/>
        <w:jc w:val="both"/>
      </w:pPr>
      <w:r>
        <w:rPr/>
        <w:t>The Minimum Conditions (Clearing) aim to give potential entrants sufficient clarity as to the measures that the Australian Securities and Investments Commission (ASIC) and the Reserve Bank of Australia (the Bank) would require be taken before they could advise in favour of a licence application. This should assist in establishing the business case for any competing provider. In addition to meeting existing licensing requirements under the Corporations Act, any licence applicant would be expected to demonstrate that it could viably provide services in this market in a manner consistent with the Minimum Conditions (Clearing).</w:t>
      </w:r>
    </w:p>
    <w:p>
      <w:pPr>
        <w:pStyle w:val="BodyText"/>
        <w:spacing w:line="252" w:lineRule="auto" w:before="168"/>
        <w:ind w:left="108" w:right="102"/>
        <w:jc w:val="both"/>
      </w:pPr>
      <w:r>
        <w:rPr/>
        <w:t>Some aspects of the Minimum Conditions (Clearing) are not enforceable under the existing regulatory framework (such as requirements for materially equivalent settlement arrangements and the establishment of interoperability). The Agencies will therefore work with Government to implement legislative changes that would:</w:t>
      </w:r>
    </w:p>
    <w:p>
      <w:pPr>
        <w:pStyle w:val="BodyText"/>
        <w:spacing w:before="10"/>
        <w:rPr>
          <w:sz w:val="18"/>
        </w:rPr>
      </w:pPr>
      <w:r>
        <w:rPr/>
        <w:pict>
          <v:rect style="position:absolute;margin-left:79.440002pt;margin-top:12.710837pt;width:436.559pt;height:.72pt;mso-position-horizontal-relative:page;mso-position-vertical-relative:paragraph;z-index:-15727616;mso-wrap-distance-left:0;mso-wrap-distance-right:0" id="docshape4" filled="true" fillcolor="#818181" stroked="false">
            <v:fill type="solid"/>
            <w10:wrap type="topAndBottom"/>
          </v:rect>
        </w:pict>
      </w:r>
    </w:p>
    <w:p>
      <w:pPr>
        <w:pStyle w:val="ListParagraph"/>
        <w:numPr>
          <w:ilvl w:val="0"/>
          <w:numId w:val="1"/>
        </w:numPr>
        <w:tabs>
          <w:tab w:pos="392" w:val="left" w:leader="none"/>
          <w:tab w:pos="864" w:val="left" w:leader="none"/>
          <w:tab w:pos="1935" w:val="left" w:leader="none"/>
          <w:tab w:pos="2412" w:val="left" w:leader="none"/>
          <w:tab w:pos="2859" w:val="left" w:leader="none"/>
          <w:tab w:pos="4100" w:val="left" w:leader="none"/>
          <w:tab w:pos="4969" w:val="left" w:leader="none"/>
          <w:tab w:pos="5410" w:val="left" w:leader="none"/>
          <w:tab w:pos="6260" w:val="left" w:leader="none"/>
          <w:tab w:pos="6608" w:val="left" w:leader="none"/>
        </w:tabs>
        <w:spacing w:line="240" w:lineRule="auto" w:before="102" w:after="0"/>
        <w:ind w:left="391" w:right="107" w:hanging="284"/>
        <w:jc w:val="left"/>
        <w:rPr>
          <w:sz w:val="18"/>
        </w:rPr>
      </w:pPr>
      <w:r>
        <w:rPr>
          <w:spacing w:val="-4"/>
          <w:sz w:val="18"/>
        </w:rPr>
        <w:t>The</w:t>
      </w:r>
      <w:r>
        <w:rPr>
          <w:sz w:val="18"/>
        </w:rPr>
        <w:tab/>
      </w:r>
      <w:r>
        <w:rPr>
          <w:spacing w:val="-2"/>
          <w:sz w:val="18"/>
        </w:rPr>
        <w:t>Conclusions</w:t>
      </w:r>
      <w:r>
        <w:rPr>
          <w:sz w:val="18"/>
        </w:rPr>
        <w:tab/>
      </w:r>
      <w:r>
        <w:rPr>
          <w:spacing w:val="-4"/>
          <w:sz w:val="18"/>
        </w:rPr>
        <w:t>and</w:t>
      </w:r>
      <w:r>
        <w:rPr>
          <w:sz w:val="18"/>
        </w:rPr>
        <w:tab/>
      </w:r>
      <w:r>
        <w:rPr>
          <w:spacing w:val="-4"/>
          <w:sz w:val="18"/>
        </w:rPr>
        <w:t>the</w:t>
      </w:r>
      <w:r>
        <w:rPr>
          <w:sz w:val="18"/>
        </w:rPr>
        <w:tab/>
      </w:r>
      <w:r>
        <w:rPr>
          <w:spacing w:val="-2"/>
          <w:sz w:val="18"/>
        </w:rPr>
        <w:t>Government’s</w:t>
      </w:r>
      <w:r>
        <w:rPr>
          <w:sz w:val="18"/>
        </w:rPr>
        <w:tab/>
      </w:r>
      <w:r>
        <w:rPr>
          <w:spacing w:val="-2"/>
          <w:sz w:val="18"/>
        </w:rPr>
        <w:t>response</w:t>
      </w:r>
      <w:r>
        <w:rPr>
          <w:sz w:val="18"/>
        </w:rPr>
        <w:tab/>
      </w:r>
      <w:r>
        <w:rPr>
          <w:spacing w:val="-4"/>
          <w:sz w:val="18"/>
        </w:rPr>
        <w:t>are</w:t>
      </w:r>
      <w:r>
        <w:rPr>
          <w:sz w:val="18"/>
        </w:rPr>
        <w:tab/>
      </w:r>
      <w:r>
        <w:rPr>
          <w:spacing w:val="-2"/>
          <w:sz w:val="18"/>
        </w:rPr>
        <w:t>available</w:t>
      </w:r>
      <w:r>
        <w:rPr>
          <w:sz w:val="18"/>
        </w:rPr>
        <w:tab/>
      </w:r>
      <w:r>
        <w:rPr>
          <w:spacing w:val="-6"/>
          <w:sz w:val="18"/>
        </w:rPr>
        <w:t>at</w:t>
      </w:r>
      <w:r>
        <w:rPr>
          <w:sz w:val="18"/>
        </w:rPr>
        <w:tab/>
      </w:r>
      <w:r>
        <w:rPr>
          <w:spacing w:val="-2"/>
          <w:sz w:val="18"/>
        </w:rPr>
        <w:t>&lt;</w:t>
      </w:r>
      <w:hyperlink r:id="rId8">
        <w:r>
          <w:rPr>
            <w:spacing w:val="-2"/>
            <w:sz w:val="18"/>
          </w:rPr>
          <w:t>http://www.treasury.gov.au/</w:t>
        </w:r>
      </w:hyperlink>
      <w:r>
        <w:rPr>
          <w:sz w:val="18"/>
        </w:rPr>
        <w:t> </w:t>
      </w:r>
      <w:r>
        <w:rPr>
          <w:spacing w:val="-2"/>
          <w:sz w:val="18"/>
        </w:rPr>
        <w:t>ConsultationsandReviews/Consultations/2015/Review-of-competition-in-clearing-Australian-cash-equities&gt;.</w:t>
      </w:r>
    </w:p>
    <w:p>
      <w:pPr>
        <w:pStyle w:val="ListParagraph"/>
        <w:numPr>
          <w:ilvl w:val="0"/>
          <w:numId w:val="1"/>
        </w:numPr>
        <w:tabs>
          <w:tab w:pos="393" w:val="left" w:leader="none"/>
          <w:tab w:pos="895" w:val="left" w:leader="none"/>
          <w:tab w:pos="1841" w:val="left" w:leader="none"/>
          <w:tab w:pos="2858" w:val="left" w:leader="none"/>
          <w:tab w:pos="4011" w:val="left" w:leader="none"/>
          <w:tab w:pos="4481" w:val="left" w:leader="none"/>
          <w:tab w:pos="5364" w:val="left" w:leader="none"/>
          <w:tab w:pos="5743" w:val="left" w:leader="none"/>
        </w:tabs>
        <w:spacing w:line="240" w:lineRule="auto" w:before="0" w:after="0"/>
        <w:ind w:left="392" w:right="108" w:hanging="284"/>
        <w:jc w:val="left"/>
        <w:rPr>
          <w:sz w:val="18"/>
        </w:rPr>
      </w:pPr>
      <w:r>
        <w:rPr>
          <w:spacing w:val="-4"/>
          <w:sz w:val="18"/>
        </w:rPr>
        <w:t>The</w:t>
      </w:r>
      <w:r>
        <w:rPr>
          <w:sz w:val="18"/>
        </w:rPr>
        <w:tab/>
      </w:r>
      <w:r>
        <w:rPr>
          <w:spacing w:val="-2"/>
          <w:sz w:val="18"/>
        </w:rPr>
        <w:t>Minimum</w:t>
      </w:r>
      <w:r>
        <w:rPr>
          <w:sz w:val="18"/>
        </w:rPr>
        <w:tab/>
      </w:r>
      <w:r>
        <w:rPr>
          <w:spacing w:val="-2"/>
          <w:sz w:val="18"/>
        </w:rPr>
        <w:t>Conditions</w:t>
      </w:r>
      <w:r>
        <w:rPr>
          <w:sz w:val="18"/>
        </w:rPr>
        <w:tab/>
      </w:r>
      <w:r>
        <w:rPr>
          <w:spacing w:val="-2"/>
          <w:sz w:val="18"/>
        </w:rPr>
        <w:t>(Settlement)</w:t>
      </w:r>
      <w:r>
        <w:rPr>
          <w:sz w:val="18"/>
        </w:rPr>
        <w:tab/>
      </w:r>
      <w:r>
        <w:rPr>
          <w:spacing w:val="-4"/>
          <w:sz w:val="18"/>
        </w:rPr>
        <w:t>are</w:t>
      </w:r>
      <w:r>
        <w:rPr>
          <w:sz w:val="18"/>
        </w:rPr>
        <w:tab/>
      </w:r>
      <w:r>
        <w:rPr>
          <w:spacing w:val="-2"/>
          <w:sz w:val="18"/>
        </w:rPr>
        <w:t>available</w:t>
      </w:r>
      <w:r>
        <w:rPr>
          <w:sz w:val="18"/>
        </w:rPr>
        <w:tab/>
      </w:r>
      <w:r>
        <w:rPr>
          <w:spacing w:val="-6"/>
          <w:sz w:val="18"/>
        </w:rPr>
        <w:t>at</w:t>
      </w:r>
      <w:r>
        <w:rPr>
          <w:sz w:val="18"/>
        </w:rPr>
        <w:tab/>
      </w:r>
      <w:r>
        <w:rPr>
          <w:spacing w:val="-2"/>
          <w:sz w:val="18"/>
        </w:rPr>
        <w:t>&lt;https://</w:t>
      </w:r>
      <w:hyperlink r:id="rId9">
        <w:r>
          <w:rPr>
            <w:spacing w:val="-2"/>
            <w:sz w:val="18"/>
          </w:rPr>
          <w:t>www.cfr.gov.au/publications/cfr-</w:t>
        </w:r>
      </w:hyperlink>
      <w:r>
        <w:rPr>
          <w:sz w:val="18"/>
        </w:rPr>
        <w:t> </w:t>
      </w:r>
      <w:r>
        <w:rPr>
          <w:spacing w:val="-2"/>
          <w:sz w:val="18"/>
        </w:rPr>
        <w:t>publications/2017/minimum-conditions-safe-effective-competition/pdf/policy-statement.pdf&gt;.</w:t>
      </w:r>
    </w:p>
    <w:p>
      <w:pPr>
        <w:spacing w:after="0" w:line="240" w:lineRule="auto"/>
        <w:jc w:val="left"/>
        <w:rPr>
          <w:sz w:val="18"/>
        </w:rPr>
        <w:sectPr>
          <w:footerReference w:type="default" r:id="rId6"/>
          <w:footerReference w:type="even" r:id="rId7"/>
          <w:pgSz w:w="11910" w:h="16840"/>
          <w:pgMar w:footer="653" w:header="0" w:top="1580" w:bottom="840" w:left="1480" w:right="1480"/>
          <w:pgNumType w:start="3"/>
        </w:sectPr>
      </w:pPr>
    </w:p>
    <w:p>
      <w:pPr>
        <w:pStyle w:val="ListParagraph"/>
        <w:numPr>
          <w:ilvl w:val="0"/>
          <w:numId w:val="2"/>
        </w:numPr>
        <w:tabs>
          <w:tab w:pos="469" w:val="left" w:leader="none"/>
        </w:tabs>
        <w:spacing w:line="252" w:lineRule="auto" w:before="103" w:after="0"/>
        <w:ind w:left="468" w:right="105" w:hanging="361"/>
        <w:jc w:val="both"/>
        <w:rPr>
          <w:sz w:val="21"/>
        </w:rPr>
      </w:pPr>
      <w:r>
        <w:rPr>
          <w:sz w:val="21"/>
        </w:rPr>
        <w:t>allow the relevant regulators to implement and enforce the Minimum Conditions (Clearing) through the use of a rule-making power if and when a competitor emerged; and</w:t>
      </w:r>
    </w:p>
    <w:p>
      <w:pPr>
        <w:pStyle w:val="ListParagraph"/>
        <w:numPr>
          <w:ilvl w:val="0"/>
          <w:numId w:val="2"/>
        </w:numPr>
        <w:tabs>
          <w:tab w:pos="470" w:val="left" w:leader="none"/>
        </w:tabs>
        <w:spacing w:line="252" w:lineRule="auto" w:before="149" w:after="0"/>
        <w:ind w:left="469" w:right="100" w:hanging="361"/>
        <w:jc w:val="both"/>
        <w:rPr>
          <w:sz w:val="21"/>
        </w:rPr>
      </w:pPr>
      <w:r>
        <w:rPr>
          <w:sz w:val="21"/>
        </w:rPr>
        <w:t>grant</w:t>
      </w:r>
      <w:r>
        <w:rPr>
          <w:spacing w:val="-1"/>
          <w:sz w:val="21"/>
        </w:rPr>
        <w:t> </w:t>
      </w:r>
      <w:r>
        <w:rPr>
          <w:sz w:val="21"/>
        </w:rPr>
        <w:t>the ACCC power to</w:t>
      </w:r>
      <w:r>
        <w:rPr>
          <w:spacing w:val="-1"/>
          <w:sz w:val="21"/>
        </w:rPr>
        <w:t> </w:t>
      </w:r>
      <w:r>
        <w:rPr>
          <w:sz w:val="21"/>
        </w:rPr>
        <w:t>arbitrate disputes</w:t>
      </w:r>
      <w:r>
        <w:rPr>
          <w:spacing w:val="-1"/>
          <w:sz w:val="21"/>
        </w:rPr>
        <w:t> </w:t>
      </w:r>
      <w:r>
        <w:rPr>
          <w:sz w:val="21"/>
        </w:rPr>
        <w:t>regarding access</w:t>
      </w:r>
      <w:r>
        <w:rPr>
          <w:spacing w:val="-1"/>
          <w:sz w:val="21"/>
        </w:rPr>
        <w:t> </w:t>
      </w:r>
      <w:r>
        <w:rPr>
          <w:sz w:val="21"/>
        </w:rPr>
        <w:t>to</w:t>
      </w:r>
      <w:r>
        <w:rPr>
          <w:spacing w:val="-1"/>
          <w:sz w:val="21"/>
        </w:rPr>
        <w:t> </w:t>
      </w:r>
      <w:r>
        <w:rPr>
          <w:sz w:val="21"/>
        </w:rPr>
        <w:t>services licensed under Part</w:t>
      </w:r>
      <w:r>
        <w:rPr>
          <w:spacing w:val="-3"/>
          <w:sz w:val="21"/>
        </w:rPr>
        <w:t> </w:t>
      </w:r>
      <w:r>
        <w:rPr>
          <w:sz w:val="21"/>
        </w:rPr>
        <w:t>7.3</w:t>
      </w:r>
      <w:r>
        <w:rPr>
          <w:spacing w:val="-1"/>
          <w:sz w:val="21"/>
        </w:rPr>
        <w:t> </w:t>
      </w:r>
      <w:r>
        <w:rPr>
          <w:sz w:val="21"/>
        </w:rPr>
        <w:t>of the Corporations Act. In the context of the current settlement market structure, this would</w:t>
      </w:r>
      <w:r>
        <w:rPr>
          <w:spacing w:val="40"/>
          <w:sz w:val="21"/>
        </w:rPr>
        <w:t> </w:t>
      </w:r>
      <w:r>
        <w:rPr>
          <w:sz w:val="21"/>
        </w:rPr>
        <w:t>ensure that any competing CCP was able to access ASX’s settlement infrastructure on a transparent and non-discriminatory basis with terms and conditions, including price, which are</w:t>
      </w:r>
      <w:r>
        <w:rPr>
          <w:spacing w:val="40"/>
          <w:sz w:val="21"/>
        </w:rPr>
        <w:t> </w:t>
      </w:r>
      <w:r>
        <w:rPr>
          <w:sz w:val="21"/>
        </w:rPr>
        <w:t>fair and reasonable.</w:t>
      </w:r>
    </w:p>
    <w:p>
      <w:pPr>
        <w:pStyle w:val="BodyText"/>
        <w:spacing w:line="252" w:lineRule="auto" w:before="166"/>
        <w:ind w:left="109" w:right="101"/>
        <w:jc w:val="both"/>
      </w:pPr>
      <w:r>
        <w:rPr/>
        <w:t>Given the importance of the Minimum Conditions (Clearing) in ensuring that competition did not adversely affect</w:t>
      </w:r>
      <w:r>
        <w:rPr>
          <w:spacing w:val="-1"/>
        </w:rPr>
        <w:t> </w:t>
      </w:r>
      <w:r>
        <w:rPr/>
        <w:t>financial stability or effective market</w:t>
      </w:r>
      <w:r>
        <w:rPr>
          <w:spacing w:val="-1"/>
        </w:rPr>
        <w:t> </w:t>
      </w:r>
      <w:r>
        <w:rPr/>
        <w:t>functioning, ASIC and the Bank would be unable to advise in favour of a licence application until these measures had been implemented. Consistent with the position of openness to competition, however, ASIC and the Bank would be prepared to engage with any potential entrant in the interim and commence consideration of a licence</w:t>
      </w:r>
      <w:r>
        <w:rPr>
          <w:spacing w:val="40"/>
        </w:rPr>
        <w:t> </w:t>
      </w:r>
      <w:r>
        <w:rPr/>
        <w:t>application, should one be submitted.</w:t>
      </w:r>
    </w:p>
    <w:p>
      <w:pPr>
        <w:pStyle w:val="BodyText"/>
        <w:spacing w:line="252" w:lineRule="auto" w:before="163"/>
        <w:ind w:left="109" w:right="100"/>
        <w:jc w:val="both"/>
      </w:pPr>
      <w:r>
        <w:rPr/>
        <w:t>The proposed legislative framework to implement the Minimum Conditions (Clearing) would set out the relevant high-level requirements, leaving the relevant regulators to impose any specific</w:t>
      </w:r>
      <w:r>
        <w:rPr>
          <w:spacing w:val="40"/>
        </w:rPr>
        <w:t> </w:t>
      </w:r>
      <w:r>
        <w:rPr/>
        <w:t>obligations at a later stage through the use of the rule-making powers. It is envisaged that the new legislation would set the scope of the rule-making powers and the circumstances in which these powers could be used. The accompanying Explanatory Memorandum could provide further guidance on the nature</w:t>
      </w:r>
      <w:r>
        <w:rPr>
          <w:spacing w:val="-1"/>
        </w:rPr>
        <w:t> </w:t>
      </w:r>
      <w:r>
        <w:rPr/>
        <w:t>of specific requirements</w:t>
      </w:r>
      <w:r>
        <w:rPr>
          <w:spacing w:val="-1"/>
        </w:rPr>
        <w:t> </w:t>
      </w:r>
      <w:r>
        <w:rPr/>
        <w:t>that</w:t>
      </w:r>
      <w:r>
        <w:rPr>
          <w:spacing w:val="-1"/>
        </w:rPr>
        <w:t> </w:t>
      </w:r>
      <w:r>
        <w:rPr/>
        <w:t>might</w:t>
      </w:r>
      <w:r>
        <w:rPr>
          <w:spacing w:val="-1"/>
        </w:rPr>
        <w:t> </w:t>
      </w:r>
      <w:r>
        <w:rPr/>
        <w:t>be</w:t>
      </w:r>
      <w:r>
        <w:rPr>
          <w:spacing w:val="-1"/>
        </w:rPr>
        <w:t> </w:t>
      </w:r>
      <w:r>
        <w:rPr/>
        <w:t>imposed through the use</w:t>
      </w:r>
      <w:r>
        <w:rPr>
          <w:spacing w:val="-1"/>
        </w:rPr>
        <w:t> </w:t>
      </w:r>
      <w:r>
        <w:rPr/>
        <w:t>of these powers. In</w:t>
      </w:r>
      <w:r>
        <w:rPr>
          <w:spacing w:val="-2"/>
        </w:rPr>
        <w:t> </w:t>
      </w:r>
      <w:r>
        <w:rPr/>
        <w:t>the case of interoperability, for instance, the rules would be likely to include such details as the criteria against which a CCP would be obliged to consider an access request from a competitor (and the acceptable</w:t>
      </w:r>
      <w:r>
        <w:rPr>
          <w:spacing w:val="-1"/>
        </w:rPr>
        <w:t> </w:t>
      </w:r>
      <w:r>
        <w:rPr/>
        <w:t>grounds</w:t>
      </w:r>
      <w:r>
        <w:rPr>
          <w:spacing w:val="-2"/>
        </w:rPr>
        <w:t> </w:t>
      </w:r>
      <w:r>
        <w:rPr/>
        <w:t>for</w:t>
      </w:r>
      <w:r>
        <w:rPr>
          <w:spacing w:val="-3"/>
        </w:rPr>
        <w:t> </w:t>
      </w:r>
      <w:r>
        <w:rPr/>
        <w:t>rejecting</w:t>
      </w:r>
      <w:r>
        <w:rPr>
          <w:spacing w:val="-2"/>
        </w:rPr>
        <w:t> </w:t>
      </w:r>
      <w:r>
        <w:rPr/>
        <w:t>such</w:t>
      </w:r>
      <w:r>
        <w:rPr>
          <w:spacing w:val="-2"/>
        </w:rPr>
        <w:t> </w:t>
      </w:r>
      <w:r>
        <w:rPr/>
        <w:t>a</w:t>
      </w:r>
      <w:r>
        <w:rPr>
          <w:spacing w:val="-1"/>
        </w:rPr>
        <w:t> </w:t>
      </w:r>
      <w:r>
        <w:rPr/>
        <w:t>request),</w:t>
      </w:r>
      <w:r>
        <w:rPr>
          <w:spacing w:val="-1"/>
        </w:rPr>
        <w:t> </w:t>
      </w:r>
      <w:r>
        <w:rPr/>
        <w:t>the</w:t>
      </w:r>
      <w:r>
        <w:rPr>
          <w:spacing w:val="-3"/>
        </w:rPr>
        <w:t> </w:t>
      </w:r>
      <w:r>
        <w:rPr/>
        <w:t>required</w:t>
      </w:r>
      <w:r>
        <w:rPr>
          <w:spacing w:val="-2"/>
        </w:rPr>
        <w:t> </w:t>
      </w:r>
      <w:r>
        <w:rPr/>
        <w:t>scope</w:t>
      </w:r>
      <w:r>
        <w:rPr>
          <w:spacing w:val="-1"/>
        </w:rPr>
        <w:t> </w:t>
      </w:r>
      <w:r>
        <w:rPr/>
        <w:t>and</w:t>
      </w:r>
      <w:r>
        <w:rPr>
          <w:spacing w:val="-1"/>
        </w:rPr>
        <w:t> </w:t>
      </w:r>
      <w:r>
        <w:rPr/>
        <w:t>operational</w:t>
      </w:r>
      <w:r>
        <w:rPr>
          <w:spacing w:val="-4"/>
        </w:rPr>
        <w:t> </w:t>
      </w:r>
      <w:r>
        <w:rPr/>
        <w:t>functionality</w:t>
      </w:r>
      <w:r>
        <w:rPr>
          <w:spacing w:val="-1"/>
        </w:rPr>
        <w:t> </w:t>
      </w:r>
      <w:r>
        <w:rPr/>
        <w:t>of</w:t>
      </w:r>
      <w:r>
        <w:rPr>
          <w:spacing w:val="-1"/>
        </w:rPr>
        <w:t> </w:t>
      </w:r>
      <w:r>
        <w:rPr/>
        <w:t>a link, and the timeframe on which a request that met the criteria should be granted.</w:t>
      </w:r>
    </w:p>
    <w:p>
      <w:pPr>
        <w:pStyle w:val="BodyText"/>
        <w:spacing w:line="252" w:lineRule="auto" w:before="170"/>
        <w:ind w:left="108" w:right="101" w:firstLine="1"/>
        <w:jc w:val="both"/>
      </w:pPr>
      <w:r>
        <w:rPr/>
        <w:t>Certain of the Minimum Conditions (Clearing) would need to be further supported by operational changes and, once implemented, would rely on other aspects of the regulatory framework. In the</w:t>
      </w:r>
      <w:r>
        <w:rPr>
          <w:spacing w:val="80"/>
        </w:rPr>
        <w:t> </w:t>
      </w:r>
      <w:r>
        <w:rPr/>
        <w:t>case of interoperability, for example, the rule-making power would establish and enforce the access requirement; once in place, the relevant regulators would monitor the operation of the link and the management of risks arising from the link under existing powers. The Bank would need to elaborate additional guidance to the </w:t>
      </w:r>
      <w:r>
        <w:rPr>
          <w:i/>
        </w:rPr>
        <w:t>Financial Stability Standard for Central Counterparties </w:t>
      </w:r>
      <w:r>
        <w:rPr/>
        <w:t>(CCP Standards) that deals with the management of risks arising from interoperable links.</w:t>
      </w:r>
      <w:r>
        <w:rPr>
          <w:vertAlign w:val="superscript"/>
        </w:rPr>
        <w:t>3</w:t>
      </w:r>
      <w:r>
        <w:rPr>
          <w:vertAlign w:val="baseline"/>
        </w:rPr>
        <w:t> At the same time, the Agencies would clarify arrangements for the regulatory oversight of matters such as default management and CCP recovery in a multi-CCP environment.</w:t>
      </w:r>
    </w:p>
    <w:p>
      <w:pPr>
        <w:pStyle w:val="BodyText"/>
        <w:spacing w:line="252" w:lineRule="auto" w:before="167"/>
        <w:ind w:left="108" w:right="100"/>
        <w:jc w:val="both"/>
      </w:pPr>
      <w:r>
        <w:rPr/>
        <w:t>To the extent possible, the relevant regulators would offer a prospective competitor guidance on potential specific requirements through bilateral discussions prior to submission of a licence application, but detailed specific requirements would not be articulated or implemented until such time as a committed competitor emerged or was likely to emerge. The Agencies recognise that the rule-making process and the need to make operational arrangements to support a multi-CCP environment would defer the commencement of operations by a competitor. However, to implement the rules and require that operational changes be made in advance would lead to redundant industry investment</w:t>
      </w:r>
      <w:r>
        <w:rPr>
          <w:spacing w:val="-2"/>
        </w:rPr>
        <w:t> </w:t>
      </w:r>
      <w:r>
        <w:rPr/>
        <w:t>and</w:t>
      </w:r>
      <w:r>
        <w:rPr>
          <w:spacing w:val="-2"/>
        </w:rPr>
        <w:t> </w:t>
      </w:r>
      <w:r>
        <w:rPr/>
        <w:t>regulatory</w:t>
      </w:r>
      <w:r>
        <w:rPr>
          <w:spacing w:val="-1"/>
        </w:rPr>
        <w:t> </w:t>
      </w:r>
      <w:r>
        <w:rPr/>
        <w:t>cost</w:t>
      </w:r>
      <w:r>
        <w:rPr>
          <w:spacing w:val="-2"/>
        </w:rPr>
        <w:t> </w:t>
      </w:r>
      <w:r>
        <w:rPr/>
        <w:t>should</w:t>
      </w:r>
      <w:r>
        <w:rPr>
          <w:spacing w:val="-2"/>
        </w:rPr>
        <w:t> </w:t>
      </w:r>
      <w:r>
        <w:rPr/>
        <w:t>a</w:t>
      </w:r>
      <w:r>
        <w:rPr>
          <w:spacing w:val="-1"/>
        </w:rPr>
        <w:t> </w:t>
      </w:r>
      <w:r>
        <w:rPr/>
        <w:t>competitor fail</w:t>
      </w:r>
      <w:r>
        <w:rPr>
          <w:spacing w:val="-1"/>
        </w:rPr>
        <w:t> </w:t>
      </w:r>
      <w:r>
        <w:rPr/>
        <w:t>to</w:t>
      </w:r>
      <w:r>
        <w:rPr>
          <w:spacing w:val="-2"/>
        </w:rPr>
        <w:t> </w:t>
      </w:r>
      <w:r>
        <w:rPr/>
        <w:t>emerge.</w:t>
      </w:r>
      <w:r>
        <w:rPr>
          <w:spacing w:val="-2"/>
        </w:rPr>
        <w:t> </w:t>
      </w:r>
      <w:r>
        <w:rPr/>
        <w:t>This</w:t>
      </w:r>
      <w:r>
        <w:rPr>
          <w:spacing w:val="-2"/>
        </w:rPr>
        <w:t> </w:t>
      </w:r>
      <w:r>
        <w:rPr/>
        <w:t>is</w:t>
      </w:r>
      <w:r>
        <w:rPr>
          <w:spacing w:val="-2"/>
        </w:rPr>
        <w:t> </w:t>
      </w:r>
      <w:r>
        <w:rPr/>
        <w:t>particularly</w:t>
      </w:r>
      <w:r>
        <w:rPr>
          <w:spacing w:val="-1"/>
        </w:rPr>
        <w:t> </w:t>
      </w:r>
      <w:r>
        <w:rPr/>
        <w:t>important</w:t>
      </w:r>
      <w:r>
        <w:rPr>
          <w:spacing w:val="-2"/>
        </w:rPr>
        <w:t> </w:t>
      </w:r>
      <w:r>
        <w:rPr/>
        <w:t>given that the rules will deal with matters such as interoperability and materially equivalent settlement arrangements between the emerging competitor and incumbent CCP, which could be costly to </w:t>
      </w:r>
      <w:r>
        <w:rPr>
          <w:spacing w:val="-2"/>
        </w:rPr>
        <w:t>establish.</w:t>
      </w:r>
    </w:p>
    <w:p>
      <w:pPr>
        <w:pStyle w:val="BodyText"/>
        <w:rPr>
          <w:sz w:val="20"/>
        </w:rPr>
      </w:pPr>
    </w:p>
    <w:p>
      <w:pPr>
        <w:pStyle w:val="BodyText"/>
        <w:spacing w:before="5"/>
        <w:rPr>
          <w:sz w:val="17"/>
        </w:rPr>
      </w:pPr>
      <w:r>
        <w:rPr/>
        <w:pict>
          <v:rect style="position:absolute;margin-left:79.440002pt;margin-top:11.865845pt;width:436.559pt;height:.72pt;mso-position-horizontal-relative:page;mso-position-vertical-relative:paragraph;z-index:-15727104;mso-wrap-distance-left:0;mso-wrap-distance-right:0" id="docshape5" filled="true" fillcolor="#818181" stroked="false">
            <v:fill type="solid"/>
            <w10:wrap type="topAndBottom"/>
          </v:rect>
        </w:pict>
      </w:r>
    </w:p>
    <w:p>
      <w:pPr>
        <w:pStyle w:val="ListParagraph"/>
        <w:numPr>
          <w:ilvl w:val="0"/>
          <w:numId w:val="1"/>
        </w:numPr>
        <w:tabs>
          <w:tab w:pos="392" w:val="left" w:leader="none"/>
        </w:tabs>
        <w:spacing w:line="240" w:lineRule="auto" w:before="102" w:after="0"/>
        <w:ind w:left="392" w:right="106" w:hanging="284"/>
        <w:jc w:val="left"/>
        <w:rPr>
          <w:sz w:val="18"/>
        </w:rPr>
      </w:pPr>
      <w:r>
        <w:rPr>
          <w:sz w:val="18"/>
        </w:rPr>
        <w:t>The Bank’s CCP Standards are available at &lt;</w:t>
      </w:r>
      <w:hyperlink r:id="rId10">
        <w:r>
          <w:rPr>
            <w:sz w:val="18"/>
          </w:rPr>
          <w:t>http://www.rba.gov.au/payments-and-infrastructure/financial-market-</w:t>
        </w:r>
      </w:hyperlink>
      <w:r>
        <w:rPr>
          <w:sz w:val="18"/>
        </w:rPr>
        <w:t> </w:t>
      </w:r>
      <w:r>
        <w:rPr>
          <w:spacing w:val="-2"/>
          <w:sz w:val="18"/>
        </w:rPr>
        <w:t>infrastructure/clearing-and-settlement-facilities/standards/central-counterparties/2012/&gt;.</w:t>
      </w:r>
    </w:p>
    <w:p>
      <w:pPr>
        <w:spacing w:after="0" w:line="240" w:lineRule="auto"/>
        <w:jc w:val="left"/>
        <w:rPr>
          <w:sz w:val="18"/>
        </w:rPr>
        <w:sectPr>
          <w:pgSz w:w="11910" w:h="16840"/>
          <w:pgMar w:header="0" w:footer="653" w:top="1580" w:bottom="840" w:left="1480" w:right="1480"/>
        </w:sectPr>
      </w:pPr>
    </w:p>
    <w:p>
      <w:pPr>
        <w:pStyle w:val="BodyText"/>
        <w:spacing w:line="252" w:lineRule="auto" w:before="114"/>
        <w:ind w:left="108" w:right="100"/>
        <w:jc w:val="both"/>
      </w:pPr>
      <w:r>
        <w:rPr/>
        <w:t>Accordingly, ASX would not be required to make up-front operational changes to accommodate competition until such time as a competing CCP committed to entry. However, at the same time, the technological design of ASX’s CS infrastructure should not raise barriers to the potential future implementation of interoperability or access to settlement arrangements by a competing CCP.</w:t>
      </w:r>
    </w:p>
    <w:p>
      <w:pPr>
        <w:pStyle w:val="BodyText"/>
        <w:spacing w:line="252" w:lineRule="auto" w:before="162"/>
        <w:ind w:left="108" w:right="102"/>
        <w:jc w:val="both"/>
      </w:pPr>
      <w:r>
        <w:rPr/>
        <w:t>This statement should be read alongside the analysis on the costs and benefits of competition</w:t>
      </w:r>
      <w:r>
        <w:rPr>
          <w:spacing w:val="40"/>
        </w:rPr>
        <w:t> </w:t>
      </w:r>
      <w:r>
        <w:rPr/>
        <w:t>detailed in the Conclusions. This statement should also be read alongside the </w:t>
      </w:r>
      <w:r>
        <w:rPr>
          <w:i/>
        </w:rPr>
        <w:t>Regulatory Expectations</w:t>
      </w:r>
      <w:r>
        <w:rPr>
          <w:i/>
        </w:rPr>
        <w:t> for Conduct in Operating Cash Equity Clearing and Settlement Services in Australia </w:t>
      </w:r>
      <w:r>
        <w:rPr/>
        <w:t>(Regulatory Expectations), which will continue to apply in the case that ASX remains the sole provider of clearing or settlement services.</w:t>
      </w:r>
      <w:r>
        <w:rPr>
          <w:vertAlign w:val="superscript"/>
        </w:rPr>
        <w:t>4</w:t>
      </w:r>
      <w:r>
        <w:rPr>
          <w:vertAlign w:val="baseline"/>
        </w:rPr>
        <w:t> If competition in settlement were to emerge then, where appropriate, this document should also be read alongside the Minimum Conditions (Settlement).</w:t>
      </w:r>
    </w:p>
    <w:p>
      <w:pPr>
        <w:pStyle w:val="BodyText"/>
        <w:spacing w:before="151"/>
        <w:ind w:left="108" w:right="167"/>
      </w:pPr>
      <w:r>
        <w:rPr/>
        <w:t>The Agencies also expect to review the Minimum Conditions (Clearing) periodically, including in the event</w:t>
      </w:r>
      <w:r>
        <w:rPr>
          <w:spacing w:val="-3"/>
        </w:rPr>
        <w:t> </w:t>
      </w:r>
      <w:r>
        <w:rPr/>
        <w:t>of</w:t>
      </w:r>
      <w:r>
        <w:rPr>
          <w:spacing w:val="-4"/>
        </w:rPr>
        <w:t> </w:t>
      </w:r>
      <w:r>
        <w:rPr/>
        <w:t>material</w:t>
      </w:r>
      <w:r>
        <w:rPr>
          <w:spacing w:val="-2"/>
        </w:rPr>
        <w:t> </w:t>
      </w:r>
      <w:r>
        <w:rPr/>
        <w:t>changes</w:t>
      </w:r>
      <w:r>
        <w:rPr>
          <w:spacing w:val="-3"/>
        </w:rPr>
        <w:t> </w:t>
      </w:r>
      <w:r>
        <w:rPr/>
        <w:t>to</w:t>
      </w:r>
      <w:r>
        <w:rPr>
          <w:spacing w:val="-4"/>
        </w:rPr>
        <w:t> </w:t>
      </w:r>
      <w:r>
        <w:rPr/>
        <w:t>the</w:t>
      </w:r>
      <w:r>
        <w:rPr>
          <w:spacing w:val="-2"/>
        </w:rPr>
        <w:t> </w:t>
      </w:r>
      <w:r>
        <w:rPr/>
        <w:t>operating</w:t>
      </w:r>
      <w:r>
        <w:rPr>
          <w:spacing w:val="-3"/>
        </w:rPr>
        <w:t> </w:t>
      </w:r>
      <w:r>
        <w:rPr/>
        <w:t>environment</w:t>
      </w:r>
      <w:r>
        <w:rPr>
          <w:spacing w:val="-5"/>
        </w:rPr>
        <w:t> </w:t>
      </w:r>
      <w:r>
        <w:rPr/>
        <w:t>or</w:t>
      </w:r>
      <w:r>
        <w:rPr>
          <w:spacing w:val="-1"/>
        </w:rPr>
        <w:t> </w:t>
      </w:r>
      <w:r>
        <w:rPr/>
        <w:t>market</w:t>
      </w:r>
      <w:r>
        <w:rPr>
          <w:spacing w:val="-3"/>
        </w:rPr>
        <w:t> </w:t>
      </w:r>
      <w:r>
        <w:rPr/>
        <w:t>structure</w:t>
      </w:r>
      <w:r>
        <w:rPr>
          <w:spacing w:val="-4"/>
        </w:rPr>
        <w:t> </w:t>
      </w:r>
      <w:r>
        <w:rPr/>
        <w:t>for</w:t>
      </w:r>
      <w:r>
        <w:rPr>
          <w:spacing w:val="-4"/>
        </w:rPr>
        <w:t> </w:t>
      </w:r>
      <w:r>
        <w:rPr/>
        <w:t>these</w:t>
      </w:r>
      <w:r>
        <w:rPr>
          <w:spacing w:val="-1"/>
        </w:rPr>
        <w:t> </w:t>
      </w:r>
      <w:r>
        <w:rPr/>
        <w:t>services,</w:t>
      </w:r>
      <w:r>
        <w:rPr>
          <w:spacing w:val="-2"/>
        </w:rPr>
        <w:t> </w:t>
      </w:r>
      <w:r>
        <w:rPr/>
        <w:t>such as the emergence of a competing settlement facility.</w:t>
      </w:r>
    </w:p>
    <w:p>
      <w:pPr>
        <w:pStyle w:val="BodyText"/>
        <w:spacing w:before="5"/>
        <w:rPr>
          <w:sz w:val="24"/>
        </w:rPr>
      </w:pPr>
    </w:p>
    <w:p>
      <w:pPr>
        <w:pStyle w:val="Heading1"/>
        <w:ind w:right="167"/>
      </w:pPr>
      <w:bookmarkStart w:name="Minimum Conditions for Safe and Effectiv" w:id="3"/>
      <w:bookmarkEnd w:id="3"/>
      <w:r>
        <w:rPr/>
      </w:r>
      <w:r>
        <w:rPr>
          <w:color w:val="007698"/>
        </w:rPr>
        <w:t>Minimum</w:t>
      </w:r>
      <w:r>
        <w:rPr>
          <w:color w:val="007698"/>
          <w:spacing w:val="-4"/>
        </w:rPr>
        <w:t> </w:t>
      </w:r>
      <w:r>
        <w:rPr>
          <w:color w:val="007698"/>
        </w:rPr>
        <w:t>Conditions</w:t>
      </w:r>
      <w:r>
        <w:rPr>
          <w:color w:val="007698"/>
          <w:spacing w:val="-4"/>
        </w:rPr>
        <w:t> </w:t>
      </w:r>
      <w:r>
        <w:rPr>
          <w:color w:val="007698"/>
        </w:rPr>
        <w:t>for</w:t>
      </w:r>
      <w:r>
        <w:rPr>
          <w:color w:val="007698"/>
          <w:spacing w:val="-4"/>
        </w:rPr>
        <w:t> </w:t>
      </w:r>
      <w:r>
        <w:rPr>
          <w:color w:val="007698"/>
        </w:rPr>
        <w:t>Safe</w:t>
      </w:r>
      <w:r>
        <w:rPr>
          <w:color w:val="007698"/>
          <w:spacing w:val="-5"/>
        </w:rPr>
        <w:t> </w:t>
      </w:r>
      <w:r>
        <w:rPr>
          <w:color w:val="007698"/>
        </w:rPr>
        <w:t>and</w:t>
      </w:r>
      <w:r>
        <w:rPr>
          <w:color w:val="007698"/>
          <w:spacing w:val="-6"/>
        </w:rPr>
        <w:t> </w:t>
      </w:r>
      <w:r>
        <w:rPr>
          <w:color w:val="007698"/>
        </w:rPr>
        <w:t>Effective</w:t>
      </w:r>
      <w:r>
        <w:rPr>
          <w:color w:val="007698"/>
          <w:spacing w:val="-5"/>
        </w:rPr>
        <w:t> </w:t>
      </w:r>
      <w:r>
        <w:rPr>
          <w:color w:val="007698"/>
        </w:rPr>
        <w:t>Competition</w:t>
      </w:r>
      <w:r>
        <w:rPr>
          <w:color w:val="007698"/>
          <w:spacing w:val="-6"/>
        </w:rPr>
        <w:t> </w:t>
      </w:r>
      <w:r>
        <w:rPr>
          <w:color w:val="007698"/>
        </w:rPr>
        <w:t>in </w:t>
      </w:r>
      <w:r>
        <w:rPr>
          <w:color w:val="007698"/>
          <w:spacing w:val="-2"/>
        </w:rPr>
        <w:t>Clearing</w:t>
      </w:r>
    </w:p>
    <w:p>
      <w:pPr>
        <w:pStyle w:val="BodyText"/>
        <w:spacing w:before="170"/>
        <w:ind w:left="108"/>
      </w:pPr>
      <w:r>
        <w:rPr/>
        <w:t>The</w:t>
      </w:r>
      <w:r>
        <w:rPr>
          <w:spacing w:val="-5"/>
        </w:rPr>
        <w:t> </w:t>
      </w:r>
      <w:r>
        <w:rPr/>
        <w:t>Minimum</w:t>
      </w:r>
      <w:r>
        <w:rPr>
          <w:spacing w:val="-7"/>
        </w:rPr>
        <w:t> </w:t>
      </w:r>
      <w:r>
        <w:rPr/>
        <w:t>Conditions</w:t>
      </w:r>
      <w:r>
        <w:rPr>
          <w:spacing w:val="-6"/>
        </w:rPr>
        <w:t> </w:t>
      </w:r>
      <w:r>
        <w:rPr/>
        <w:t>(Clearing)</w:t>
      </w:r>
      <w:r>
        <w:rPr>
          <w:spacing w:val="-6"/>
        </w:rPr>
        <w:t> </w:t>
      </w:r>
      <w:r>
        <w:rPr/>
        <w:t>relate</w:t>
      </w:r>
      <w:r>
        <w:rPr>
          <w:spacing w:val="-5"/>
        </w:rPr>
        <w:t> </w:t>
      </w:r>
      <w:r>
        <w:rPr/>
        <w:t>to</w:t>
      </w:r>
      <w:r>
        <w:rPr>
          <w:spacing w:val="-6"/>
        </w:rPr>
        <w:t> </w:t>
      </w:r>
      <w:r>
        <w:rPr/>
        <w:t>the</w:t>
      </w:r>
      <w:r>
        <w:rPr>
          <w:spacing w:val="-5"/>
        </w:rPr>
        <w:t> </w:t>
      </w:r>
      <w:r>
        <w:rPr>
          <w:spacing w:val="-2"/>
        </w:rPr>
        <w:t>following.</w:t>
      </w:r>
    </w:p>
    <w:p>
      <w:pPr>
        <w:pStyle w:val="ListParagraph"/>
        <w:numPr>
          <w:ilvl w:val="0"/>
          <w:numId w:val="3"/>
        </w:numPr>
        <w:tabs>
          <w:tab w:pos="533" w:val="left" w:leader="none"/>
          <w:tab w:pos="534" w:val="left" w:leader="none"/>
        </w:tabs>
        <w:spacing w:line="240" w:lineRule="auto" w:before="173" w:after="0"/>
        <w:ind w:left="533" w:right="0" w:hanging="425"/>
        <w:jc w:val="left"/>
        <w:rPr>
          <w:sz w:val="21"/>
        </w:rPr>
      </w:pPr>
      <w:r>
        <w:rPr>
          <w:sz w:val="21"/>
        </w:rPr>
        <w:t>Adequate</w:t>
      </w:r>
      <w:r>
        <w:rPr>
          <w:spacing w:val="-12"/>
          <w:sz w:val="21"/>
        </w:rPr>
        <w:t> </w:t>
      </w:r>
      <w:r>
        <w:rPr>
          <w:sz w:val="21"/>
        </w:rPr>
        <w:t>regulatory</w:t>
      </w:r>
      <w:r>
        <w:rPr>
          <w:spacing w:val="-8"/>
          <w:sz w:val="21"/>
        </w:rPr>
        <w:t> </w:t>
      </w:r>
      <w:r>
        <w:rPr>
          <w:sz w:val="21"/>
        </w:rPr>
        <w:t>arrangements.</w:t>
      </w:r>
      <w:r>
        <w:rPr>
          <w:spacing w:val="-9"/>
          <w:sz w:val="21"/>
        </w:rPr>
        <w:t> </w:t>
      </w:r>
      <w:r>
        <w:rPr>
          <w:sz w:val="21"/>
        </w:rPr>
        <w:t>These</w:t>
      </w:r>
      <w:r>
        <w:rPr>
          <w:spacing w:val="-9"/>
          <w:sz w:val="21"/>
        </w:rPr>
        <w:t> </w:t>
      </w:r>
      <w:r>
        <w:rPr>
          <w:sz w:val="21"/>
        </w:rPr>
        <w:t>should</w:t>
      </w:r>
      <w:r>
        <w:rPr>
          <w:spacing w:val="-8"/>
          <w:sz w:val="21"/>
        </w:rPr>
        <w:t> </w:t>
      </w:r>
      <w:r>
        <w:rPr>
          <w:spacing w:val="-2"/>
          <w:sz w:val="21"/>
        </w:rPr>
        <w:t>include:</w:t>
      </w:r>
    </w:p>
    <w:p>
      <w:pPr>
        <w:pStyle w:val="ListParagraph"/>
        <w:numPr>
          <w:ilvl w:val="1"/>
          <w:numId w:val="3"/>
        </w:numPr>
        <w:tabs>
          <w:tab w:pos="959" w:val="left" w:leader="none"/>
        </w:tabs>
        <w:spacing w:line="254" w:lineRule="auto" w:before="173" w:after="0"/>
        <w:ind w:left="958" w:right="104" w:hanging="425"/>
        <w:jc w:val="left"/>
        <w:rPr>
          <w:sz w:val="21"/>
        </w:rPr>
      </w:pPr>
      <w:r>
        <w:rPr>
          <w:sz w:val="21"/>
        </w:rPr>
        <w:t>rigorous</w:t>
      </w:r>
      <w:r>
        <w:rPr>
          <w:spacing w:val="80"/>
          <w:sz w:val="21"/>
        </w:rPr>
        <w:t> </w:t>
      </w:r>
      <w:r>
        <w:rPr>
          <w:sz w:val="21"/>
        </w:rPr>
        <w:t>supervision</w:t>
      </w:r>
      <w:r>
        <w:rPr>
          <w:spacing w:val="80"/>
          <w:sz w:val="21"/>
        </w:rPr>
        <w:t> </w:t>
      </w:r>
      <w:r>
        <w:rPr>
          <w:sz w:val="21"/>
        </w:rPr>
        <w:t>against</w:t>
      </w:r>
      <w:r>
        <w:rPr>
          <w:spacing w:val="80"/>
          <w:sz w:val="21"/>
        </w:rPr>
        <w:t> </w:t>
      </w:r>
      <w:r>
        <w:rPr>
          <w:sz w:val="21"/>
        </w:rPr>
        <w:t>the</w:t>
      </w:r>
      <w:r>
        <w:rPr>
          <w:spacing w:val="80"/>
          <w:sz w:val="21"/>
        </w:rPr>
        <w:t> </w:t>
      </w:r>
      <w:r>
        <w:rPr>
          <w:sz w:val="21"/>
        </w:rPr>
        <w:t>CCP</w:t>
      </w:r>
      <w:r>
        <w:rPr>
          <w:spacing w:val="80"/>
          <w:sz w:val="21"/>
        </w:rPr>
        <w:t> </w:t>
      </w:r>
      <w:r>
        <w:rPr>
          <w:sz w:val="21"/>
        </w:rPr>
        <w:t>Standards</w:t>
      </w:r>
      <w:r>
        <w:rPr>
          <w:spacing w:val="80"/>
          <w:sz w:val="21"/>
        </w:rPr>
        <w:t> </w:t>
      </w:r>
      <w:r>
        <w:rPr>
          <w:sz w:val="21"/>
        </w:rPr>
        <w:t>and</w:t>
      </w:r>
      <w:r>
        <w:rPr>
          <w:spacing w:val="80"/>
          <w:sz w:val="21"/>
        </w:rPr>
        <w:t> </w:t>
      </w:r>
      <w:r>
        <w:rPr>
          <w:sz w:val="21"/>
        </w:rPr>
        <w:t>other</w:t>
      </w:r>
      <w:r>
        <w:rPr>
          <w:spacing w:val="80"/>
          <w:sz w:val="21"/>
        </w:rPr>
        <w:t> </w:t>
      </w:r>
      <w:r>
        <w:rPr>
          <w:sz w:val="21"/>
        </w:rPr>
        <w:t>requirements</w:t>
      </w:r>
      <w:r>
        <w:rPr>
          <w:spacing w:val="80"/>
          <w:sz w:val="21"/>
        </w:rPr>
        <w:t> </w:t>
      </w:r>
      <w:r>
        <w:rPr>
          <w:sz w:val="21"/>
        </w:rPr>
        <w:t>under</w:t>
      </w:r>
      <w:r>
        <w:rPr>
          <w:spacing w:val="80"/>
          <w:sz w:val="21"/>
        </w:rPr>
        <w:t> </w:t>
      </w:r>
      <w:r>
        <w:rPr>
          <w:sz w:val="21"/>
        </w:rPr>
        <w:t>the Corporations Act</w:t>
      </w:r>
    </w:p>
    <w:p>
      <w:pPr>
        <w:pStyle w:val="ListParagraph"/>
        <w:numPr>
          <w:ilvl w:val="1"/>
          <w:numId w:val="3"/>
        </w:numPr>
        <w:tabs>
          <w:tab w:pos="961" w:val="left" w:leader="none"/>
        </w:tabs>
        <w:spacing w:line="240" w:lineRule="auto" w:before="158" w:after="0"/>
        <w:ind w:left="960" w:right="0" w:hanging="428"/>
        <w:jc w:val="left"/>
        <w:rPr>
          <w:sz w:val="21"/>
        </w:rPr>
      </w:pPr>
      <w:r>
        <w:rPr>
          <w:sz w:val="21"/>
        </w:rPr>
        <w:t>application</w:t>
      </w:r>
      <w:r>
        <w:rPr>
          <w:spacing w:val="-9"/>
          <w:sz w:val="21"/>
        </w:rPr>
        <w:t> </w:t>
      </w:r>
      <w:r>
        <w:rPr>
          <w:sz w:val="21"/>
        </w:rPr>
        <w:t>of</w:t>
      </w:r>
      <w:r>
        <w:rPr>
          <w:spacing w:val="-5"/>
          <w:sz w:val="21"/>
        </w:rPr>
        <w:t> </w:t>
      </w:r>
      <w:r>
        <w:rPr>
          <w:sz w:val="21"/>
        </w:rPr>
        <w:t>the</w:t>
      </w:r>
      <w:r>
        <w:rPr>
          <w:spacing w:val="-5"/>
          <w:sz w:val="21"/>
        </w:rPr>
        <w:t> </w:t>
      </w:r>
      <w:r>
        <w:rPr>
          <w:sz w:val="21"/>
        </w:rPr>
        <w:t>CFR’s</w:t>
      </w:r>
      <w:r>
        <w:rPr>
          <w:spacing w:val="-8"/>
          <w:sz w:val="21"/>
        </w:rPr>
        <w:t> </w:t>
      </w:r>
      <w:r>
        <w:rPr>
          <w:sz w:val="21"/>
        </w:rPr>
        <w:t>framework</w:t>
      </w:r>
      <w:r>
        <w:rPr>
          <w:spacing w:val="-5"/>
          <w:sz w:val="21"/>
        </w:rPr>
        <w:t> </w:t>
      </w:r>
      <w:r>
        <w:rPr>
          <w:sz w:val="21"/>
        </w:rPr>
        <w:t>for</w:t>
      </w:r>
      <w:r>
        <w:rPr>
          <w:spacing w:val="-7"/>
          <w:sz w:val="21"/>
        </w:rPr>
        <w:t> </w:t>
      </w:r>
      <w:r>
        <w:rPr>
          <w:sz w:val="21"/>
        </w:rPr>
        <w:t>regulatory</w:t>
      </w:r>
      <w:r>
        <w:rPr>
          <w:spacing w:val="-5"/>
          <w:sz w:val="21"/>
        </w:rPr>
        <w:t> </w:t>
      </w:r>
      <w:r>
        <w:rPr>
          <w:sz w:val="21"/>
        </w:rPr>
        <w:t>influence</w:t>
      </w:r>
      <w:r>
        <w:rPr>
          <w:spacing w:val="-5"/>
          <w:sz w:val="21"/>
        </w:rPr>
        <w:t> </w:t>
      </w:r>
      <w:r>
        <w:rPr>
          <w:sz w:val="21"/>
        </w:rPr>
        <w:t>over</w:t>
      </w:r>
      <w:r>
        <w:rPr>
          <w:spacing w:val="-7"/>
          <w:sz w:val="21"/>
        </w:rPr>
        <w:t> </w:t>
      </w:r>
      <w:r>
        <w:rPr>
          <w:sz w:val="21"/>
        </w:rPr>
        <w:t>cross-border</w:t>
      </w:r>
      <w:r>
        <w:rPr>
          <w:spacing w:val="-7"/>
          <w:sz w:val="21"/>
        </w:rPr>
        <w:t> </w:t>
      </w:r>
      <w:r>
        <w:rPr>
          <w:sz w:val="21"/>
        </w:rPr>
        <w:t>CS</w:t>
      </w:r>
      <w:r>
        <w:rPr>
          <w:spacing w:val="-6"/>
          <w:sz w:val="21"/>
        </w:rPr>
        <w:t> </w:t>
      </w:r>
      <w:r>
        <w:rPr>
          <w:spacing w:val="-2"/>
          <w:sz w:val="21"/>
        </w:rPr>
        <w:t>facilities</w:t>
      </w:r>
    </w:p>
    <w:p>
      <w:pPr>
        <w:pStyle w:val="ListParagraph"/>
        <w:numPr>
          <w:ilvl w:val="1"/>
          <w:numId w:val="3"/>
        </w:numPr>
        <w:tabs>
          <w:tab w:pos="960" w:val="left" w:leader="none"/>
          <w:tab w:pos="961" w:val="left" w:leader="none"/>
        </w:tabs>
        <w:spacing w:line="240" w:lineRule="auto" w:before="173" w:after="0"/>
        <w:ind w:left="960" w:right="0" w:hanging="428"/>
        <w:jc w:val="left"/>
        <w:rPr>
          <w:sz w:val="21"/>
        </w:rPr>
      </w:pPr>
      <w:r>
        <w:rPr>
          <w:i/>
          <w:sz w:val="21"/>
        </w:rPr>
        <w:t>ex</w:t>
      </w:r>
      <w:r>
        <w:rPr>
          <w:i/>
          <w:spacing w:val="-5"/>
          <w:sz w:val="21"/>
        </w:rPr>
        <w:t> </w:t>
      </w:r>
      <w:r>
        <w:rPr>
          <w:i/>
          <w:sz w:val="21"/>
        </w:rPr>
        <w:t>ante</w:t>
      </w:r>
      <w:r>
        <w:rPr>
          <w:i/>
          <w:spacing w:val="-4"/>
          <w:sz w:val="21"/>
        </w:rPr>
        <w:t> </w:t>
      </w:r>
      <w:r>
        <w:rPr>
          <w:sz w:val="21"/>
        </w:rPr>
        <w:t>wind-down</w:t>
      </w:r>
      <w:r>
        <w:rPr>
          <w:spacing w:val="-5"/>
          <w:sz w:val="21"/>
        </w:rPr>
        <w:t> </w:t>
      </w:r>
      <w:r>
        <w:rPr>
          <w:spacing w:val="-4"/>
          <w:sz w:val="21"/>
        </w:rPr>
        <w:t>plans</w:t>
      </w:r>
    </w:p>
    <w:p>
      <w:pPr>
        <w:pStyle w:val="ListParagraph"/>
        <w:numPr>
          <w:ilvl w:val="1"/>
          <w:numId w:val="3"/>
        </w:numPr>
        <w:tabs>
          <w:tab w:pos="961" w:val="left" w:leader="none"/>
        </w:tabs>
        <w:spacing w:line="240" w:lineRule="auto" w:before="173" w:after="0"/>
        <w:ind w:left="960" w:right="0" w:hanging="428"/>
        <w:jc w:val="left"/>
        <w:rPr>
          <w:sz w:val="21"/>
        </w:rPr>
      </w:pPr>
      <w:r>
        <w:rPr>
          <w:sz w:val="21"/>
        </w:rPr>
        <w:t>appropriate</w:t>
      </w:r>
      <w:r>
        <w:rPr>
          <w:spacing w:val="-9"/>
          <w:sz w:val="21"/>
        </w:rPr>
        <w:t> </w:t>
      </w:r>
      <w:r>
        <w:rPr>
          <w:sz w:val="21"/>
        </w:rPr>
        <w:t>arrangements</w:t>
      </w:r>
      <w:r>
        <w:rPr>
          <w:spacing w:val="-7"/>
          <w:sz w:val="21"/>
        </w:rPr>
        <w:t> </w:t>
      </w:r>
      <w:r>
        <w:rPr>
          <w:sz w:val="21"/>
        </w:rPr>
        <w:t>for</w:t>
      </w:r>
      <w:r>
        <w:rPr>
          <w:spacing w:val="-5"/>
          <w:sz w:val="21"/>
        </w:rPr>
        <w:t> </w:t>
      </w:r>
      <w:r>
        <w:rPr>
          <w:sz w:val="21"/>
        </w:rPr>
        <w:t>regulatory</w:t>
      </w:r>
      <w:r>
        <w:rPr>
          <w:spacing w:val="-6"/>
          <w:sz w:val="21"/>
        </w:rPr>
        <w:t> </w:t>
      </w:r>
      <w:r>
        <w:rPr>
          <w:sz w:val="21"/>
        </w:rPr>
        <w:t>oversight</w:t>
      </w:r>
      <w:r>
        <w:rPr>
          <w:spacing w:val="-7"/>
          <w:sz w:val="21"/>
        </w:rPr>
        <w:t> </w:t>
      </w:r>
      <w:r>
        <w:rPr>
          <w:sz w:val="21"/>
        </w:rPr>
        <w:t>in</w:t>
      </w:r>
      <w:r>
        <w:rPr>
          <w:spacing w:val="-8"/>
          <w:sz w:val="21"/>
        </w:rPr>
        <w:t> </w:t>
      </w:r>
      <w:r>
        <w:rPr>
          <w:sz w:val="21"/>
        </w:rPr>
        <w:t>a</w:t>
      </w:r>
      <w:r>
        <w:rPr>
          <w:spacing w:val="-8"/>
          <w:sz w:val="21"/>
        </w:rPr>
        <w:t> </w:t>
      </w:r>
      <w:r>
        <w:rPr>
          <w:sz w:val="21"/>
        </w:rPr>
        <w:t>multi-CCP</w:t>
      </w:r>
      <w:r>
        <w:rPr>
          <w:spacing w:val="-7"/>
          <w:sz w:val="21"/>
        </w:rPr>
        <w:t> </w:t>
      </w:r>
      <w:r>
        <w:rPr>
          <w:spacing w:val="-2"/>
          <w:sz w:val="21"/>
        </w:rPr>
        <w:t>environment.</w:t>
      </w:r>
    </w:p>
    <w:p>
      <w:pPr>
        <w:pStyle w:val="ListParagraph"/>
        <w:numPr>
          <w:ilvl w:val="0"/>
          <w:numId w:val="3"/>
        </w:numPr>
        <w:tabs>
          <w:tab w:pos="534" w:val="left" w:leader="none"/>
        </w:tabs>
        <w:spacing w:line="252" w:lineRule="auto" w:before="176" w:after="0"/>
        <w:ind w:left="533" w:right="100" w:hanging="425"/>
        <w:jc w:val="both"/>
        <w:rPr>
          <w:sz w:val="21"/>
        </w:rPr>
      </w:pPr>
      <w:r>
        <w:rPr>
          <w:sz w:val="21"/>
        </w:rPr>
        <w:t>Appropriate safeguards in the settlement</w:t>
      </w:r>
      <w:r>
        <w:rPr>
          <w:spacing w:val="-1"/>
          <w:sz w:val="21"/>
        </w:rPr>
        <w:t> </w:t>
      </w:r>
      <w:r>
        <w:rPr>
          <w:sz w:val="21"/>
        </w:rPr>
        <w:t>process. The cash equity settlement</w:t>
      </w:r>
      <w:r>
        <w:rPr>
          <w:spacing w:val="-1"/>
          <w:sz w:val="21"/>
        </w:rPr>
        <w:t> </w:t>
      </w:r>
      <w:r>
        <w:rPr>
          <w:sz w:val="21"/>
        </w:rPr>
        <w:t>model applied in a multi-CCP environment should seek as far as possible to preserve the efficiencies of the</w:t>
      </w:r>
      <w:r>
        <w:rPr>
          <w:spacing w:val="40"/>
          <w:sz w:val="21"/>
        </w:rPr>
        <w:t> </w:t>
      </w:r>
      <w:r>
        <w:rPr>
          <w:sz w:val="21"/>
        </w:rPr>
        <w:t>prevailing settlement model at the time a competitor emerged, while:</w:t>
      </w:r>
    </w:p>
    <w:p>
      <w:pPr>
        <w:pStyle w:val="ListParagraph"/>
        <w:numPr>
          <w:ilvl w:val="1"/>
          <w:numId w:val="3"/>
        </w:numPr>
        <w:tabs>
          <w:tab w:pos="961" w:val="left" w:leader="none"/>
        </w:tabs>
        <w:spacing w:line="240" w:lineRule="auto" w:before="162" w:after="0"/>
        <w:ind w:left="960" w:right="0" w:hanging="428"/>
        <w:jc w:val="left"/>
        <w:rPr>
          <w:sz w:val="21"/>
        </w:rPr>
      </w:pPr>
      <w:r>
        <w:rPr>
          <w:sz w:val="21"/>
        </w:rPr>
        <w:t>affording</w:t>
      </w:r>
      <w:r>
        <w:rPr>
          <w:spacing w:val="-9"/>
          <w:sz w:val="21"/>
        </w:rPr>
        <w:t> </w:t>
      </w:r>
      <w:r>
        <w:rPr>
          <w:sz w:val="21"/>
        </w:rPr>
        <w:t>materially</w:t>
      </w:r>
      <w:r>
        <w:rPr>
          <w:spacing w:val="-7"/>
          <w:sz w:val="21"/>
        </w:rPr>
        <w:t> </w:t>
      </w:r>
      <w:r>
        <w:rPr>
          <w:sz w:val="21"/>
        </w:rPr>
        <w:t>equivalent</w:t>
      </w:r>
      <w:r>
        <w:rPr>
          <w:spacing w:val="-7"/>
          <w:sz w:val="21"/>
        </w:rPr>
        <w:t> </w:t>
      </w:r>
      <w:r>
        <w:rPr>
          <w:sz w:val="21"/>
        </w:rPr>
        <w:t>priority</w:t>
      </w:r>
      <w:r>
        <w:rPr>
          <w:spacing w:val="-6"/>
          <w:sz w:val="21"/>
        </w:rPr>
        <w:t> </w:t>
      </w:r>
      <w:r>
        <w:rPr>
          <w:sz w:val="21"/>
        </w:rPr>
        <w:t>to</w:t>
      </w:r>
      <w:r>
        <w:rPr>
          <w:spacing w:val="-6"/>
          <w:sz w:val="21"/>
        </w:rPr>
        <w:t> </w:t>
      </w:r>
      <w:r>
        <w:rPr>
          <w:sz w:val="21"/>
        </w:rPr>
        <w:t>trades</w:t>
      </w:r>
      <w:r>
        <w:rPr>
          <w:spacing w:val="-7"/>
          <w:sz w:val="21"/>
        </w:rPr>
        <w:t> </w:t>
      </w:r>
      <w:r>
        <w:rPr>
          <w:sz w:val="21"/>
        </w:rPr>
        <w:t>novated</w:t>
      </w:r>
      <w:r>
        <w:rPr>
          <w:spacing w:val="-8"/>
          <w:sz w:val="21"/>
        </w:rPr>
        <w:t> </w:t>
      </w:r>
      <w:r>
        <w:rPr>
          <w:sz w:val="21"/>
        </w:rPr>
        <w:t>to</w:t>
      </w:r>
      <w:r>
        <w:rPr>
          <w:spacing w:val="-6"/>
          <w:sz w:val="21"/>
        </w:rPr>
        <w:t> </w:t>
      </w:r>
      <w:r>
        <w:rPr>
          <w:sz w:val="21"/>
        </w:rPr>
        <w:t>a</w:t>
      </w:r>
      <w:r>
        <w:rPr>
          <w:spacing w:val="-6"/>
          <w:sz w:val="21"/>
        </w:rPr>
        <w:t> </w:t>
      </w:r>
      <w:r>
        <w:rPr>
          <w:sz w:val="21"/>
        </w:rPr>
        <w:t>competing</w:t>
      </w:r>
      <w:r>
        <w:rPr>
          <w:spacing w:val="-6"/>
          <w:sz w:val="21"/>
        </w:rPr>
        <w:t> </w:t>
      </w:r>
      <w:r>
        <w:rPr>
          <w:spacing w:val="-5"/>
          <w:sz w:val="21"/>
        </w:rPr>
        <w:t>CCP</w:t>
      </w:r>
    </w:p>
    <w:p>
      <w:pPr>
        <w:pStyle w:val="ListParagraph"/>
        <w:numPr>
          <w:ilvl w:val="1"/>
          <w:numId w:val="3"/>
        </w:numPr>
        <w:tabs>
          <w:tab w:pos="961" w:val="left" w:leader="none"/>
        </w:tabs>
        <w:spacing w:line="240" w:lineRule="auto" w:before="173" w:after="0"/>
        <w:ind w:left="960" w:right="0" w:hanging="428"/>
        <w:jc w:val="left"/>
        <w:rPr>
          <w:sz w:val="21"/>
        </w:rPr>
      </w:pPr>
      <w:r>
        <w:rPr>
          <w:sz w:val="21"/>
        </w:rPr>
        <w:t>minimising</w:t>
      </w:r>
      <w:r>
        <w:rPr>
          <w:spacing w:val="-11"/>
          <w:sz w:val="21"/>
        </w:rPr>
        <w:t> </w:t>
      </w:r>
      <w:r>
        <w:rPr>
          <w:sz w:val="21"/>
        </w:rPr>
        <w:t>financial</w:t>
      </w:r>
      <w:r>
        <w:rPr>
          <w:spacing w:val="-7"/>
          <w:sz w:val="21"/>
        </w:rPr>
        <w:t> </w:t>
      </w:r>
      <w:r>
        <w:rPr>
          <w:sz w:val="21"/>
        </w:rPr>
        <w:t>interdependencies</w:t>
      </w:r>
      <w:r>
        <w:rPr>
          <w:spacing w:val="-8"/>
          <w:sz w:val="21"/>
        </w:rPr>
        <w:t> </w:t>
      </w:r>
      <w:r>
        <w:rPr>
          <w:sz w:val="21"/>
        </w:rPr>
        <w:t>between</w:t>
      </w:r>
      <w:r>
        <w:rPr>
          <w:spacing w:val="-8"/>
          <w:sz w:val="21"/>
        </w:rPr>
        <w:t> </w:t>
      </w:r>
      <w:r>
        <w:rPr>
          <w:sz w:val="21"/>
        </w:rPr>
        <w:t>competing</w:t>
      </w:r>
      <w:r>
        <w:rPr>
          <w:spacing w:val="-8"/>
          <w:sz w:val="21"/>
        </w:rPr>
        <w:t> </w:t>
      </w:r>
      <w:r>
        <w:rPr>
          <w:sz w:val="21"/>
        </w:rPr>
        <w:t>CCPs</w:t>
      </w:r>
      <w:r>
        <w:rPr>
          <w:spacing w:val="-8"/>
          <w:sz w:val="21"/>
        </w:rPr>
        <w:t> </w:t>
      </w:r>
      <w:r>
        <w:rPr>
          <w:sz w:val="21"/>
        </w:rPr>
        <w:t>in</w:t>
      </w:r>
      <w:r>
        <w:rPr>
          <w:spacing w:val="-8"/>
          <w:sz w:val="21"/>
        </w:rPr>
        <w:t> </w:t>
      </w:r>
      <w:r>
        <w:rPr>
          <w:sz w:val="21"/>
        </w:rPr>
        <w:t>the</w:t>
      </w:r>
      <w:r>
        <w:rPr>
          <w:spacing w:val="-8"/>
          <w:sz w:val="21"/>
        </w:rPr>
        <w:t> </w:t>
      </w:r>
      <w:r>
        <w:rPr>
          <w:sz w:val="21"/>
        </w:rPr>
        <w:t>settlement</w:t>
      </w:r>
      <w:r>
        <w:rPr>
          <w:spacing w:val="-9"/>
          <w:sz w:val="21"/>
        </w:rPr>
        <w:t> </w:t>
      </w:r>
      <w:r>
        <w:rPr>
          <w:spacing w:val="-2"/>
          <w:sz w:val="21"/>
        </w:rPr>
        <w:t>process</w:t>
      </w:r>
    </w:p>
    <w:p>
      <w:pPr>
        <w:pStyle w:val="ListParagraph"/>
        <w:numPr>
          <w:ilvl w:val="1"/>
          <w:numId w:val="3"/>
        </w:numPr>
        <w:tabs>
          <w:tab w:pos="960" w:val="left" w:leader="none"/>
          <w:tab w:pos="961" w:val="left" w:leader="none"/>
        </w:tabs>
        <w:spacing w:line="240" w:lineRule="auto" w:before="173" w:after="0"/>
        <w:ind w:left="960" w:right="0" w:hanging="428"/>
        <w:jc w:val="left"/>
        <w:rPr>
          <w:sz w:val="21"/>
        </w:rPr>
      </w:pPr>
      <w:r>
        <w:rPr>
          <w:sz w:val="21"/>
        </w:rPr>
        <w:t>facilitating</w:t>
      </w:r>
      <w:r>
        <w:rPr>
          <w:spacing w:val="-11"/>
          <w:sz w:val="21"/>
        </w:rPr>
        <w:t> </w:t>
      </w:r>
      <w:r>
        <w:rPr>
          <w:sz w:val="21"/>
        </w:rPr>
        <w:t>appropriate</w:t>
      </w:r>
      <w:r>
        <w:rPr>
          <w:spacing w:val="-10"/>
          <w:sz w:val="21"/>
        </w:rPr>
        <w:t> </w:t>
      </w:r>
      <w:r>
        <w:rPr>
          <w:sz w:val="21"/>
        </w:rPr>
        <w:t>default</w:t>
      </w:r>
      <w:r>
        <w:rPr>
          <w:spacing w:val="-10"/>
          <w:sz w:val="21"/>
        </w:rPr>
        <w:t> </w:t>
      </w:r>
      <w:r>
        <w:rPr>
          <w:sz w:val="21"/>
        </w:rPr>
        <w:t>management</w:t>
      </w:r>
      <w:r>
        <w:rPr>
          <w:spacing w:val="-10"/>
          <w:sz w:val="21"/>
        </w:rPr>
        <w:t> </w:t>
      </w:r>
      <w:r>
        <w:rPr>
          <w:spacing w:val="-2"/>
          <w:sz w:val="21"/>
        </w:rPr>
        <w:t>actions.</w:t>
      </w:r>
    </w:p>
    <w:p>
      <w:pPr>
        <w:pStyle w:val="ListParagraph"/>
        <w:numPr>
          <w:ilvl w:val="0"/>
          <w:numId w:val="3"/>
        </w:numPr>
        <w:tabs>
          <w:tab w:pos="534" w:val="left" w:leader="none"/>
        </w:tabs>
        <w:spacing w:line="254" w:lineRule="auto" w:before="173" w:after="0"/>
        <w:ind w:left="533" w:right="104" w:hanging="425"/>
        <w:jc w:val="both"/>
        <w:rPr>
          <w:sz w:val="21"/>
        </w:rPr>
      </w:pPr>
      <w:r>
        <w:rPr>
          <w:sz w:val="21"/>
        </w:rPr>
        <w:t>Access to securities settlement infrastructure on non-discriminatory, transparent, fair and reasonable terms.</w:t>
      </w:r>
    </w:p>
    <w:p>
      <w:pPr>
        <w:pStyle w:val="ListParagraph"/>
        <w:numPr>
          <w:ilvl w:val="0"/>
          <w:numId w:val="3"/>
        </w:numPr>
        <w:tabs>
          <w:tab w:pos="533" w:val="left" w:leader="none"/>
          <w:tab w:pos="534" w:val="left" w:leader="none"/>
        </w:tabs>
        <w:spacing w:line="240" w:lineRule="auto" w:before="158" w:after="0"/>
        <w:ind w:left="533" w:right="0" w:hanging="426"/>
        <w:jc w:val="left"/>
        <w:rPr>
          <w:sz w:val="21"/>
        </w:rPr>
      </w:pPr>
      <w:r>
        <w:rPr>
          <w:sz w:val="21"/>
        </w:rPr>
        <w:t>Appropriate</w:t>
      </w:r>
      <w:r>
        <w:rPr>
          <w:spacing w:val="-13"/>
          <w:sz w:val="21"/>
        </w:rPr>
        <w:t> </w:t>
      </w:r>
      <w:r>
        <w:rPr>
          <w:sz w:val="21"/>
        </w:rPr>
        <w:t>interoperability</w:t>
      </w:r>
      <w:r>
        <w:rPr>
          <w:spacing w:val="-10"/>
          <w:sz w:val="21"/>
        </w:rPr>
        <w:t> </w:t>
      </w:r>
      <w:r>
        <w:rPr>
          <w:sz w:val="21"/>
        </w:rPr>
        <w:t>arrangements</w:t>
      </w:r>
      <w:r>
        <w:rPr>
          <w:spacing w:val="-9"/>
          <w:sz w:val="21"/>
        </w:rPr>
        <w:t> </w:t>
      </w:r>
      <w:r>
        <w:rPr>
          <w:sz w:val="21"/>
        </w:rPr>
        <w:t>between</w:t>
      </w:r>
      <w:r>
        <w:rPr>
          <w:spacing w:val="-10"/>
          <w:sz w:val="21"/>
        </w:rPr>
        <w:t> </w:t>
      </w:r>
      <w:r>
        <w:rPr>
          <w:sz w:val="21"/>
        </w:rPr>
        <w:t>competing</w:t>
      </w:r>
      <w:r>
        <w:rPr>
          <w:spacing w:val="-9"/>
          <w:sz w:val="21"/>
        </w:rPr>
        <w:t> </w:t>
      </w:r>
      <w:r>
        <w:rPr>
          <w:sz w:val="21"/>
        </w:rPr>
        <w:t>cash</w:t>
      </w:r>
      <w:r>
        <w:rPr>
          <w:spacing w:val="-10"/>
          <w:sz w:val="21"/>
        </w:rPr>
        <w:t> </w:t>
      </w:r>
      <w:r>
        <w:rPr>
          <w:sz w:val="21"/>
        </w:rPr>
        <w:t>equity</w:t>
      </w:r>
      <w:r>
        <w:rPr>
          <w:spacing w:val="-8"/>
          <w:sz w:val="21"/>
        </w:rPr>
        <w:t> </w:t>
      </w:r>
      <w:r>
        <w:rPr>
          <w:spacing w:val="-2"/>
          <w:sz w:val="21"/>
        </w:rPr>
        <w:t>CCPs.</w:t>
      </w:r>
    </w:p>
    <w:p>
      <w:pPr>
        <w:pStyle w:val="BodyText"/>
        <w:spacing w:line="254" w:lineRule="auto" w:before="173"/>
        <w:ind w:left="108" w:right="104"/>
        <w:jc w:val="both"/>
      </w:pPr>
      <w:r>
        <w:rPr/>
        <w:t>Each of the Minimum Conditions (Clearing) identified above is considered in greater detail in the remainder of this policy statement.</w:t>
      </w:r>
    </w:p>
    <w:p>
      <w:pPr>
        <w:pStyle w:val="BodyText"/>
        <w:rPr>
          <w:sz w:val="20"/>
        </w:rPr>
      </w:pPr>
    </w:p>
    <w:p>
      <w:pPr>
        <w:pStyle w:val="BodyText"/>
        <w:rPr>
          <w:sz w:val="20"/>
        </w:rPr>
      </w:pPr>
    </w:p>
    <w:p>
      <w:pPr>
        <w:pStyle w:val="BodyText"/>
        <w:rPr>
          <w:sz w:val="20"/>
        </w:rPr>
      </w:pPr>
    </w:p>
    <w:p>
      <w:pPr>
        <w:pStyle w:val="BodyText"/>
        <w:spacing w:before="5"/>
        <w:rPr>
          <w:sz w:val="19"/>
        </w:rPr>
      </w:pPr>
      <w:r>
        <w:rPr/>
        <w:pict>
          <v:rect style="position:absolute;margin-left:79.440002pt;margin-top:13.07417pt;width:436.559pt;height:.72pt;mso-position-horizontal-relative:page;mso-position-vertical-relative:paragraph;z-index:-15726592;mso-wrap-distance-left:0;mso-wrap-distance-right:0" id="docshape6" filled="true" fillcolor="#818181" stroked="false">
            <v:fill type="solid"/>
            <w10:wrap type="topAndBottom"/>
          </v:rect>
        </w:pict>
      </w:r>
    </w:p>
    <w:p>
      <w:pPr>
        <w:pStyle w:val="ListParagraph"/>
        <w:numPr>
          <w:ilvl w:val="0"/>
          <w:numId w:val="1"/>
        </w:numPr>
        <w:tabs>
          <w:tab w:pos="392" w:val="left" w:leader="none"/>
          <w:tab w:pos="900" w:val="left" w:leader="none"/>
          <w:tab w:pos="1932" w:val="left" w:leader="none"/>
          <w:tab w:pos="3106" w:val="left" w:leader="none"/>
          <w:tab w:pos="3583" w:val="left" w:leader="none"/>
          <w:tab w:pos="4469" w:val="left" w:leader="none"/>
          <w:tab w:pos="4855" w:val="left" w:leader="none"/>
        </w:tabs>
        <w:spacing w:line="240" w:lineRule="auto" w:before="102" w:after="0"/>
        <w:ind w:left="392" w:right="106" w:hanging="284"/>
        <w:jc w:val="left"/>
        <w:rPr>
          <w:sz w:val="18"/>
        </w:rPr>
      </w:pPr>
      <w:r>
        <w:rPr>
          <w:spacing w:val="-4"/>
          <w:sz w:val="18"/>
        </w:rPr>
        <w:t>The</w:t>
      </w:r>
      <w:r>
        <w:rPr>
          <w:sz w:val="18"/>
        </w:rPr>
        <w:tab/>
      </w:r>
      <w:r>
        <w:rPr>
          <w:spacing w:val="-2"/>
          <w:sz w:val="18"/>
        </w:rPr>
        <w:t>Regulatory</w:t>
      </w:r>
      <w:r>
        <w:rPr>
          <w:sz w:val="18"/>
        </w:rPr>
        <w:tab/>
      </w:r>
      <w:r>
        <w:rPr>
          <w:spacing w:val="-2"/>
          <w:sz w:val="18"/>
        </w:rPr>
        <w:t>Expectations</w:t>
      </w:r>
      <w:r>
        <w:rPr>
          <w:sz w:val="18"/>
        </w:rPr>
        <w:tab/>
      </w:r>
      <w:r>
        <w:rPr>
          <w:spacing w:val="-4"/>
          <w:sz w:val="18"/>
        </w:rPr>
        <w:t>are</w:t>
      </w:r>
      <w:r>
        <w:rPr>
          <w:sz w:val="18"/>
        </w:rPr>
        <w:tab/>
      </w:r>
      <w:r>
        <w:rPr>
          <w:spacing w:val="-2"/>
          <w:sz w:val="18"/>
        </w:rPr>
        <w:t>available</w:t>
      </w:r>
      <w:r>
        <w:rPr>
          <w:sz w:val="18"/>
        </w:rPr>
        <w:tab/>
      </w:r>
      <w:r>
        <w:rPr>
          <w:spacing w:val="-6"/>
          <w:sz w:val="18"/>
        </w:rPr>
        <w:t>at</w:t>
      </w:r>
      <w:r>
        <w:rPr>
          <w:sz w:val="18"/>
        </w:rPr>
        <w:tab/>
      </w:r>
      <w:r>
        <w:rPr>
          <w:spacing w:val="-2"/>
          <w:sz w:val="18"/>
        </w:rPr>
        <w:t>&lt;</w:t>
      </w:r>
      <w:hyperlink r:id="rId11">
        <w:r>
          <w:rPr>
            <w:spacing w:val="-2"/>
            <w:sz w:val="18"/>
          </w:rPr>
          <w:t>http://www.cfr.gov.au/publications/cfr-publications/</w:t>
        </w:r>
      </w:hyperlink>
      <w:r>
        <w:rPr>
          <w:sz w:val="18"/>
        </w:rPr>
        <w:t> </w:t>
      </w:r>
      <w:r>
        <w:rPr>
          <w:spacing w:val="-2"/>
          <w:sz w:val="18"/>
        </w:rPr>
        <w:t>2016/regulatory-expectations-policy-statement/&gt;.</w:t>
      </w:r>
    </w:p>
    <w:p>
      <w:pPr>
        <w:spacing w:after="0" w:line="240" w:lineRule="auto"/>
        <w:jc w:val="left"/>
        <w:rPr>
          <w:sz w:val="18"/>
        </w:rPr>
        <w:sectPr>
          <w:pgSz w:w="11910" w:h="16840"/>
          <w:pgMar w:header="0" w:footer="653" w:top="1580" w:bottom="840" w:left="1480" w:right="1480"/>
        </w:sectPr>
      </w:pPr>
    </w:p>
    <w:p>
      <w:pPr>
        <w:pStyle w:val="Heading2"/>
        <w:numPr>
          <w:ilvl w:val="0"/>
          <w:numId w:val="4"/>
        </w:numPr>
        <w:tabs>
          <w:tab w:pos="817" w:val="left" w:leader="none"/>
        </w:tabs>
        <w:spacing w:line="240" w:lineRule="auto" w:before="104" w:after="0"/>
        <w:ind w:left="816" w:right="0" w:hanging="709"/>
        <w:jc w:val="both"/>
      </w:pPr>
      <w:bookmarkStart w:name="1. Adequate regulatory arrangements" w:id="4"/>
      <w:bookmarkEnd w:id="4"/>
      <w:r>
        <w:rPr>
          <w:color w:val="007698"/>
        </w:rPr>
        <w:t>A</w:t>
      </w:r>
      <w:r>
        <w:rPr>
          <w:color w:val="007698"/>
        </w:rPr>
        <w:t>dequate</w:t>
      </w:r>
      <w:r>
        <w:rPr>
          <w:color w:val="007698"/>
          <w:spacing w:val="-7"/>
        </w:rPr>
        <w:t> </w:t>
      </w:r>
      <w:r>
        <w:rPr>
          <w:color w:val="007698"/>
        </w:rPr>
        <w:t>regulatory</w:t>
      </w:r>
      <w:r>
        <w:rPr>
          <w:color w:val="007698"/>
          <w:spacing w:val="-6"/>
        </w:rPr>
        <w:t> </w:t>
      </w:r>
      <w:r>
        <w:rPr>
          <w:color w:val="007698"/>
          <w:spacing w:val="-2"/>
        </w:rPr>
        <w:t>arrangements</w:t>
      </w:r>
    </w:p>
    <w:p>
      <w:pPr>
        <w:pStyle w:val="Heading3"/>
        <w:numPr>
          <w:ilvl w:val="0"/>
          <w:numId w:val="5"/>
        </w:numPr>
        <w:tabs>
          <w:tab w:pos="398" w:val="left" w:leader="none"/>
        </w:tabs>
        <w:spacing w:line="242" w:lineRule="auto" w:before="115" w:after="0"/>
        <w:ind w:left="108" w:right="354" w:firstLine="0"/>
        <w:jc w:val="both"/>
      </w:pPr>
      <w:r>
        <w:rPr>
          <w:i/>
        </w:rPr>
        <w:t>Rigorous</w:t>
      </w:r>
      <w:r>
        <w:rPr>
          <w:i/>
          <w:spacing w:val="-2"/>
        </w:rPr>
        <w:t> </w:t>
      </w:r>
      <w:r>
        <w:rPr>
          <w:i/>
        </w:rPr>
        <w:t>oversight</w:t>
      </w:r>
      <w:r>
        <w:rPr>
          <w:i/>
          <w:spacing w:val="-4"/>
        </w:rPr>
        <w:t> </w:t>
      </w:r>
      <w:r>
        <w:rPr>
          <w:i/>
        </w:rPr>
        <w:t>against</w:t>
      </w:r>
      <w:r>
        <w:rPr>
          <w:i/>
          <w:spacing w:val="-4"/>
        </w:rPr>
        <w:t> </w:t>
      </w:r>
      <w:r>
        <w:rPr>
          <w:i/>
        </w:rPr>
        <w:t>the</w:t>
      </w:r>
      <w:r>
        <w:rPr>
          <w:i/>
          <w:spacing w:val="-4"/>
        </w:rPr>
        <w:t> </w:t>
      </w:r>
      <w:r>
        <w:rPr>
          <w:i/>
        </w:rPr>
        <w:t>Financial</w:t>
      </w:r>
      <w:r>
        <w:rPr>
          <w:i/>
          <w:spacing w:val="-2"/>
        </w:rPr>
        <w:t> </w:t>
      </w:r>
      <w:r>
        <w:rPr>
          <w:i/>
        </w:rPr>
        <w:t>Stability</w:t>
      </w:r>
      <w:r>
        <w:rPr>
          <w:i/>
          <w:spacing w:val="-4"/>
        </w:rPr>
        <w:t> </w:t>
      </w:r>
      <w:r>
        <w:rPr>
          <w:i/>
        </w:rPr>
        <w:t>Standards</w:t>
      </w:r>
      <w:r>
        <w:rPr>
          <w:i/>
          <w:spacing w:val="-2"/>
        </w:rPr>
        <w:t> </w:t>
      </w:r>
      <w:r>
        <w:rPr>
          <w:i/>
        </w:rPr>
        <w:t>and</w:t>
      </w:r>
      <w:r>
        <w:rPr>
          <w:i/>
          <w:spacing w:val="-4"/>
        </w:rPr>
        <w:t> </w:t>
      </w:r>
      <w:r>
        <w:rPr>
          <w:i/>
        </w:rPr>
        <w:t>other</w:t>
      </w:r>
      <w:r>
        <w:rPr>
          <w:i/>
          <w:spacing w:val="-3"/>
        </w:rPr>
        <w:t> </w:t>
      </w:r>
      <w:r>
        <w:rPr>
          <w:i/>
        </w:rPr>
        <w:t>requirements</w:t>
      </w:r>
      <w:r>
        <w:rPr>
          <w:i/>
          <w:spacing w:val="-2"/>
        </w:rPr>
        <w:t> </w:t>
      </w:r>
      <w:r>
        <w:rPr>
          <w:i/>
        </w:rPr>
        <w:t>under</w:t>
      </w:r>
      <w:r>
        <w:rPr>
          <w:i/>
          <w:spacing w:val="-5"/>
        </w:rPr>
        <w:t> </w:t>
      </w:r>
      <w:r>
        <w:rPr>
          <w:i/>
        </w:rPr>
        <w:t>the</w:t>
      </w:r>
      <w:r>
        <w:rPr/>
        <w:t> Corporations Act</w:t>
      </w:r>
    </w:p>
    <w:p>
      <w:pPr>
        <w:pStyle w:val="BodyText"/>
        <w:spacing w:line="252" w:lineRule="auto" w:before="89"/>
        <w:ind w:left="108" w:right="101"/>
        <w:jc w:val="both"/>
      </w:pPr>
      <w:r>
        <w:rPr/>
        <w:t>The Corporations Act gives ASIC and the Bank joint regulatory responsibility for supervising CS facility licensees. The Bank is responsible for ensuring that CS facilities comply with the CCP Standards and take any other steps necessary to reduce systemic risk. The CCP Standards are aligned with the financial stability-related requirements of the CPMI-IOSCO Principles for Financial Market Infrastructure (PFMI)</w:t>
      </w:r>
      <w:r>
        <w:rPr>
          <w:vertAlign w:val="superscript"/>
        </w:rPr>
        <w:t>5</w:t>
      </w:r>
      <w:r>
        <w:rPr>
          <w:vertAlign w:val="baseline"/>
        </w:rPr>
        <w:t>, which establish an international benchmark for the risk management and operational standards of CS facilities. ASIC is responsible for ensuring CS facilities comply with other obligations under the Corporations Act, as elaborated in ASIC’s Regulatory Guide 211: </w:t>
      </w:r>
      <w:r>
        <w:rPr>
          <w:i/>
          <w:vertAlign w:val="baseline"/>
        </w:rPr>
        <w:t>Clearing and</w:t>
      </w:r>
      <w:r>
        <w:rPr>
          <w:i/>
          <w:vertAlign w:val="baseline"/>
        </w:rPr>
        <w:t> Settlement Facilities: Australian and Overseas Operators </w:t>
      </w:r>
      <w:r>
        <w:rPr>
          <w:vertAlign w:val="baseline"/>
        </w:rPr>
        <w:t>(RG211).</w:t>
      </w:r>
      <w:r>
        <w:rPr>
          <w:vertAlign w:val="superscript"/>
        </w:rPr>
        <w:t>6</w:t>
      </w:r>
    </w:p>
    <w:p>
      <w:pPr>
        <w:pStyle w:val="BodyText"/>
        <w:spacing w:line="252" w:lineRule="auto" w:before="168"/>
        <w:ind w:left="108" w:right="103"/>
        <w:jc w:val="both"/>
      </w:pPr>
      <w:r>
        <w:rPr/>
        <w:t>Equivalent application of these oversight standards across competing CCPs should be sufficient to</w:t>
      </w:r>
      <w:r>
        <w:rPr>
          <w:spacing w:val="40"/>
        </w:rPr>
        <w:t> </w:t>
      </w:r>
      <w:r>
        <w:rPr/>
        <w:t>limit any scope for competition on the basis of less onerous risk controls, and thereby ensure that the market continues to function in a safe and effective manner. The Agencies nevertheless acknowledge the need for close vigilance at the margins of the standards, including cost-cutting measures and product development processes.</w:t>
      </w:r>
    </w:p>
    <w:p>
      <w:pPr>
        <w:pStyle w:val="Heading3"/>
        <w:numPr>
          <w:ilvl w:val="0"/>
          <w:numId w:val="5"/>
        </w:numPr>
        <w:tabs>
          <w:tab w:pos="398" w:val="left" w:leader="none"/>
        </w:tabs>
        <w:spacing w:line="240" w:lineRule="auto" w:before="151" w:after="0"/>
        <w:ind w:left="397" w:right="0" w:hanging="290"/>
        <w:jc w:val="both"/>
        <w:rPr>
          <w:i/>
        </w:rPr>
      </w:pPr>
      <w:r>
        <w:rPr>
          <w:i/>
        </w:rPr>
        <w:t>Application</w:t>
      </w:r>
      <w:r>
        <w:rPr>
          <w:i/>
          <w:spacing w:val="-8"/>
        </w:rPr>
        <w:t> </w:t>
      </w:r>
      <w:r>
        <w:rPr>
          <w:i/>
        </w:rPr>
        <w:t>of</w:t>
      </w:r>
      <w:r>
        <w:rPr>
          <w:i/>
          <w:spacing w:val="-6"/>
        </w:rPr>
        <w:t> </w:t>
      </w:r>
      <w:r>
        <w:rPr>
          <w:i/>
        </w:rPr>
        <w:t>the</w:t>
      </w:r>
      <w:r>
        <w:rPr>
          <w:i/>
          <w:spacing w:val="-8"/>
        </w:rPr>
        <w:t> </w:t>
      </w:r>
      <w:r>
        <w:rPr>
          <w:i/>
        </w:rPr>
        <w:t>CFR’s</w:t>
      </w:r>
      <w:r>
        <w:rPr>
          <w:i/>
          <w:spacing w:val="-8"/>
        </w:rPr>
        <w:t> </w:t>
      </w:r>
      <w:r>
        <w:rPr>
          <w:i/>
        </w:rPr>
        <w:t>framework</w:t>
      </w:r>
      <w:r>
        <w:rPr>
          <w:i/>
          <w:spacing w:val="-6"/>
        </w:rPr>
        <w:t> </w:t>
      </w:r>
      <w:r>
        <w:rPr>
          <w:i/>
        </w:rPr>
        <w:t>for</w:t>
      </w:r>
      <w:r>
        <w:rPr>
          <w:i/>
          <w:spacing w:val="-6"/>
        </w:rPr>
        <w:t> </w:t>
      </w:r>
      <w:r>
        <w:rPr>
          <w:i/>
        </w:rPr>
        <w:t>regulatory</w:t>
      </w:r>
      <w:r>
        <w:rPr>
          <w:i/>
          <w:spacing w:val="-5"/>
        </w:rPr>
        <w:t> </w:t>
      </w:r>
      <w:r>
        <w:rPr>
          <w:i/>
        </w:rPr>
        <w:t>influence</w:t>
      </w:r>
      <w:r>
        <w:rPr>
          <w:i/>
          <w:spacing w:val="-6"/>
        </w:rPr>
        <w:t> </w:t>
      </w:r>
      <w:r>
        <w:rPr>
          <w:i/>
        </w:rPr>
        <w:t>over</w:t>
      </w:r>
      <w:r>
        <w:rPr>
          <w:i/>
          <w:spacing w:val="-5"/>
        </w:rPr>
        <w:t> </w:t>
      </w:r>
      <w:r>
        <w:rPr>
          <w:i/>
        </w:rPr>
        <w:t>cross-border</w:t>
      </w:r>
      <w:r>
        <w:rPr>
          <w:i/>
          <w:spacing w:val="-6"/>
        </w:rPr>
        <w:t> </w:t>
      </w:r>
      <w:r>
        <w:rPr>
          <w:i/>
        </w:rPr>
        <w:t>CS</w:t>
      </w:r>
      <w:r>
        <w:rPr>
          <w:i/>
          <w:spacing w:val="-6"/>
        </w:rPr>
        <w:t> </w:t>
      </w:r>
      <w:r>
        <w:rPr>
          <w:i/>
          <w:spacing w:val="-2"/>
        </w:rPr>
        <w:t>facilities</w:t>
      </w:r>
    </w:p>
    <w:p>
      <w:pPr>
        <w:pStyle w:val="BodyText"/>
        <w:spacing w:line="252" w:lineRule="auto" w:before="92"/>
        <w:ind w:left="108" w:right="101"/>
        <w:jc w:val="both"/>
      </w:pPr>
      <w:r>
        <w:rPr/>
        <w:t>If</w:t>
      </w:r>
      <w:r>
        <w:rPr>
          <w:spacing w:val="-1"/>
        </w:rPr>
        <w:t> </w:t>
      </w:r>
      <w:r>
        <w:rPr/>
        <w:t>a</w:t>
      </w:r>
      <w:r>
        <w:rPr>
          <w:spacing w:val="-1"/>
        </w:rPr>
        <w:t> </w:t>
      </w:r>
      <w:r>
        <w:rPr/>
        <w:t>new</w:t>
      </w:r>
      <w:r>
        <w:rPr>
          <w:spacing w:val="-3"/>
        </w:rPr>
        <w:t> </w:t>
      </w:r>
      <w:r>
        <w:rPr/>
        <w:t>entrant</w:t>
      </w:r>
      <w:r>
        <w:rPr>
          <w:spacing w:val="-5"/>
        </w:rPr>
        <w:t> </w:t>
      </w:r>
      <w:r>
        <w:rPr/>
        <w:t>CCP</w:t>
      </w:r>
      <w:r>
        <w:rPr>
          <w:spacing w:val="-2"/>
        </w:rPr>
        <w:t> </w:t>
      </w:r>
      <w:r>
        <w:rPr/>
        <w:t>was</w:t>
      </w:r>
      <w:r>
        <w:rPr>
          <w:spacing w:val="-2"/>
        </w:rPr>
        <w:t> </w:t>
      </w:r>
      <w:r>
        <w:rPr/>
        <w:t>seeking</w:t>
      </w:r>
      <w:r>
        <w:rPr>
          <w:spacing w:val="-2"/>
        </w:rPr>
        <w:t> </w:t>
      </w:r>
      <w:r>
        <w:rPr/>
        <w:t>to</w:t>
      </w:r>
      <w:r>
        <w:rPr>
          <w:spacing w:val="-2"/>
        </w:rPr>
        <w:t> </w:t>
      </w:r>
      <w:r>
        <w:rPr/>
        <w:t>leverage</w:t>
      </w:r>
      <w:r>
        <w:rPr>
          <w:spacing w:val="-3"/>
        </w:rPr>
        <w:t> </w:t>
      </w:r>
      <w:r>
        <w:rPr/>
        <w:t>existing</w:t>
      </w:r>
      <w:r>
        <w:rPr>
          <w:spacing w:val="-2"/>
        </w:rPr>
        <w:t> </w:t>
      </w:r>
      <w:r>
        <w:rPr/>
        <w:t>capabilities</w:t>
      </w:r>
      <w:r>
        <w:rPr>
          <w:spacing w:val="-2"/>
        </w:rPr>
        <w:t> </w:t>
      </w:r>
      <w:r>
        <w:rPr/>
        <w:t>in</w:t>
      </w:r>
      <w:r>
        <w:rPr>
          <w:spacing w:val="-2"/>
        </w:rPr>
        <w:t> </w:t>
      </w:r>
      <w:r>
        <w:rPr/>
        <w:t>overseas</w:t>
      </w:r>
      <w:r>
        <w:rPr>
          <w:spacing w:val="-2"/>
        </w:rPr>
        <w:t> </w:t>
      </w:r>
      <w:r>
        <w:rPr/>
        <w:t>cash</w:t>
      </w:r>
      <w:r>
        <w:rPr>
          <w:spacing w:val="-4"/>
        </w:rPr>
        <w:t> </w:t>
      </w:r>
      <w:r>
        <w:rPr/>
        <w:t>equity</w:t>
      </w:r>
      <w:r>
        <w:rPr>
          <w:spacing w:val="-1"/>
        </w:rPr>
        <w:t> </w:t>
      </w:r>
      <w:r>
        <w:rPr/>
        <w:t>markets ASIC and the Bank’s supervisory approach would be guided by the CFR’s Regulatory Influence Framework. This is a framework for ensuring that Australian regulators have sufficient influence over overseas providers of clearing and settlement services in the Australian market to support domestic policy </w:t>
      </w:r>
      <w:r>
        <w:rPr>
          <w:spacing w:val="-2"/>
        </w:rPr>
        <w:t>objectives.</w:t>
      </w:r>
      <w:r>
        <w:rPr>
          <w:spacing w:val="-2"/>
          <w:vertAlign w:val="superscript"/>
        </w:rPr>
        <w:t>7</w:t>
      </w:r>
    </w:p>
    <w:p>
      <w:pPr>
        <w:pStyle w:val="BodyText"/>
        <w:spacing w:line="252" w:lineRule="auto" w:before="164"/>
        <w:ind w:left="108" w:right="101"/>
        <w:jc w:val="both"/>
      </w:pPr>
      <w:r>
        <w:rPr/>
        <w:t>One measure under the Regulatory Influence Framework, which would apply primarily where a CS facility was both systemically important in Australia and had a strong domestic connection, is the requirement to incorporate locally and seek a domestic CS facility licence. As articulated in the additional guidance on the Regulatory Influence Framework, the threshold for application of this requirement would be likely to be set at a relatively low level for any CCP seeking to clear ASX securities. The Agencies consider this to be an integral part of the Minimum Conditions (Clearing), at least until ASIC and the Bank are comfortable with the arrangements for cross-border coordination and management of FMI recovery and resolution.</w:t>
      </w:r>
      <w:r>
        <w:rPr>
          <w:vertAlign w:val="superscript"/>
        </w:rPr>
        <w:t>8</w:t>
      </w:r>
      <w:r>
        <w:rPr>
          <w:vertAlign w:val="baseline"/>
        </w:rPr>
        <w:t> The precise threshold for the requirement would be discussed and agreed with a prospective competitor in order to provide the entrant with sufficient certainty</w:t>
      </w:r>
      <w:r>
        <w:rPr>
          <w:spacing w:val="36"/>
          <w:vertAlign w:val="baseline"/>
        </w:rPr>
        <w:t> </w:t>
      </w:r>
      <w:r>
        <w:rPr>
          <w:vertAlign w:val="baseline"/>
        </w:rPr>
        <w:t>to</w:t>
      </w:r>
      <w:r>
        <w:rPr>
          <w:spacing w:val="35"/>
          <w:vertAlign w:val="baseline"/>
        </w:rPr>
        <w:t> </w:t>
      </w:r>
      <w:r>
        <w:rPr>
          <w:vertAlign w:val="baseline"/>
        </w:rPr>
        <w:t>support</w:t>
      </w:r>
      <w:r>
        <w:rPr>
          <w:spacing w:val="32"/>
          <w:vertAlign w:val="baseline"/>
        </w:rPr>
        <w:t> </w:t>
      </w:r>
      <w:r>
        <w:rPr>
          <w:vertAlign w:val="baseline"/>
        </w:rPr>
        <w:t>business</w:t>
      </w:r>
      <w:r>
        <w:rPr>
          <w:spacing w:val="35"/>
          <w:vertAlign w:val="baseline"/>
        </w:rPr>
        <w:t> </w:t>
      </w:r>
      <w:r>
        <w:rPr>
          <w:vertAlign w:val="baseline"/>
        </w:rPr>
        <w:t>plans</w:t>
      </w:r>
      <w:r>
        <w:rPr>
          <w:spacing w:val="35"/>
          <w:vertAlign w:val="baseline"/>
        </w:rPr>
        <w:t> </w:t>
      </w:r>
      <w:r>
        <w:rPr>
          <w:vertAlign w:val="baseline"/>
        </w:rPr>
        <w:t>and</w:t>
      </w:r>
      <w:r>
        <w:rPr>
          <w:spacing w:val="35"/>
          <w:vertAlign w:val="baseline"/>
        </w:rPr>
        <w:t> </w:t>
      </w:r>
      <w:r>
        <w:rPr>
          <w:vertAlign w:val="baseline"/>
        </w:rPr>
        <w:t>investment</w:t>
      </w:r>
      <w:r>
        <w:rPr>
          <w:spacing w:val="35"/>
          <w:vertAlign w:val="baseline"/>
        </w:rPr>
        <w:t> </w:t>
      </w:r>
      <w:r>
        <w:rPr>
          <w:vertAlign w:val="baseline"/>
        </w:rPr>
        <w:t>decisions.</w:t>
      </w:r>
      <w:r>
        <w:rPr>
          <w:spacing w:val="35"/>
          <w:vertAlign w:val="baseline"/>
        </w:rPr>
        <w:t> </w:t>
      </w:r>
      <w:r>
        <w:rPr>
          <w:vertAlign w:val="baseline"/>
        </w:rPr>
        <w:t>The</w:t>
      </w:r>
      <w:r>
        <w:rPr>
          <w:spacing w:val="36"/>
          <w:vertAlign w:val="baseline"/>
        </w:rPr>
        <w:t> </w:t>
      </w:r>
      <w:r>
        <w:rPr>
          <w:vertAlign w:val="baseline"/>
        </w:rPr>
        <w:t>threshold</w:t>
      </w:r>
      <w:r>
        <w:rPr>
          <w:spacing w:val="33"/>
          <w:vertAlign w:val="baseline"/>
        </w:rPr>
        <w:t> </w:t>
      </w:r>
      <w:r>
        <w:rPr>
          <w:vertAlign w:val="baseline"/>
        </w:rPr>
        <w:t>would</w:t>
      </w:r>
      <w:r>
        <w:rPr>
          <w:spacing w:val="35"/>
          <w:vertAlign w:val="baseline"/>
        </w:rPr>
        <w:t> </w:t>
      </w:r>
      <w:r>
        <w:rPr>
          <w:vertAlign w:val="baseline"/>
        </w:rPr>
        <w:t>also</w:t>
      </w:r>
      <w:r>
        <w:rPr>
          <w:spacing w:val="35"/>
          <w:vertAlign w:val="baseline"/>
        </w:rPr>
        <w:t> </w:t>
      </w:r>
      <w:r>
        <w:rPr>
          <w:vertAlign w:val="baseline"/>
        </w:rPr>
        <w:t>be</w:t>
      </w:r>
      <w:r>
        <w:rPr>
          <w:spacing w:val="34"/>
          <w:vertAlign w:val="baseline"/>
        </w:rPr>
        <w:t> </w:t>
      </w:r>
      <w:r>
        <w:rPr>
          <w:vertAlign w:val="baseline"/>
        </w:rPr>
        <w:t>made</w:t>
      </w:r>
    </w:p>
    <w:p>
      <w:pPr>
        <w:pStyle w:val="BodyText"/>
        <w:spacing w:before="6"/>
        <w:rPr>
          <w:sz w:val="26"/>
        </w:rPr>
      </w:pPr>
      <w:r>
        <w:rPr/>
        <w:pict>
          <v:rect style="position:absolute;margin-left:79.440002pt;margin-top:17.382753pt;width:436.559pt;height:.72pt;mso-position-horizontal-relative:page;mso-position-vertical-relative:paragraph;z-index:-15726080;mso-wrap-distance-left:0;mso-wrap-distance-right:0" id="docshape7" filled="true" fillcolor="#818181" stroked="false">
            <v:fill type="solid"/>
            <w10:wrap type="topAndBottom"/>
          </v:rect>
        </w:pict>
      </w:r>
    </w:p>
    <w:p>
      <w:pPr>
        <w:pStyle w:val="ListParagraph"/>
        <w:numPr>
          <w:ilvl w:val="0"/>
          <w:numId w:val="1"/>
        </w:numPr>
        <w:tabs>
          <w:tab w:pos="392" w:val="left" w:leader="none"/>
        </w:tabs>
        <w:spacing w:line="240" w:lineRule="auto" w:before="102" w:after="0"/>
        <w:ind w:left="391" w:right="105" w:hanging="284"/>
        <w:jc w:val="both"/>
        <w:rPr>
          <w:sz w:val="18"/>
        </w:rPr>
      </w:pPr>
      <w:r>
        <w:rPr>
          <w:sz w:val="18"/>
        </w:rPr>
        <w:t>The PFMI, published by the Committee on Payment and Settlement Systems (now known as the Committee on Payments and Market Infrastructures (CPMI) and the International Organization of Securities Commissions is available at &lt;</w:t>
      </w:r>
      <w:hyperlink r:id="rId12">
        <w:r>
          <w:rPr>
            <w:sz w:val="18"/>
          </w:rPr>
          <w:t>http://www.bis.org/cpmi/info_pfmi.htm</w:t>
        </w:r>
      </w:hyperlink>
      <w:r>
        <w:rPr>
          <w:sz w:val="18"/>
        </w:rPr>
        <w:t>&gt;</w:t>
      </w:r>
    </w:p>
    <w:p>
      <w:pPr>
        <w:pStyle w:val="ListParagraph"/>
        <w:numPr>
          <w:ilvl w:val="0"/>
          <w:numId w:val="1"/>
        </w:numPr>
        <w:tabs>
          <w:tab w:pos="392" w:val="left" w:leader="none"/>
        </w:tabs>
        <w:spacing w:line="240" w:lineRule="auto" w:before="1" w:after="0"/>
        <w:ind w:left="392" w:right="106" w:hanging="284"/>
        <w:jc w:val="both"/>
        <w:rPr>
          <w:sz w:val="18"/>
        </w:rPr>
      </w:pPr>
      <w:r>
        <w:rPr>
          <w:sz w:val="18"/>
        </w:rPr>
        <w:t>ASIC’s Regulatory Guide 211 is available at &lt;</w:t>
      </w:r>
      <w:hyperlink r:id="rId13">
        <w:r>
          <w:rPr>
            <w:sz w:val="18"/>
          </w:rPr>
          <w:t>http://asic.gov.au/regulatory-resources/find-a-document/regulatory-</w:t>
        </w:r>
      </w:hyperlink>
      <w:r>
        <w:rPr>
          <w:sz w:val="18"/>
        </w:rPr>
        <w:t> </w:t>
      </w:r>
      <w:r>
        <w:rPr>
          <w:spacing w:val="-2"/>
          <w:sz w:val="18"/>
        </w:rPr>
        <w:t>guides/rg-211-clearing-and-settlement-facilities-australian-and-overseas-operators/&gt;</w:t>
      </w:r>
    </w:p>
    <w:p>
      <w:pPr>
        <w:pStyle w:val="ListParagraph"/>
        <w:numPr>
          <w:ilvl w:val="0"/>
          <w:numId w:val="1"/>
        </w:numPr>
        <w:tabs>
          <w:tab w:pos="393" w:val="left" w:leader="none"/>
        </w:tabs>
        <w:spacing w:line="240" w:lineRule="auto" w:before="0" w:after="0"/>
        <w:ind w:left="392" w:right="309" w:hanging="284"/>
        <w:jc w:val="left"/>
        <w:rPr>
          <w:sz w:val="18"/>
        </w:rPr>
      </w:pPr>
      <w:r>
        <w:rPr>
          <w:sz w:val="18"/>
        </w:rPr>
        <w:t>The CFR’s framework for ensuring appropriate influence over cross-border clearing and settlement facilities (the Regulatory Influence Framework) is available at &lt; </w:t>
      </w:r>
      <w:hyperlink r:id="rId14">
        <w:r>
          <w:rPr>
            <w:sz w:val="18"/>
          </w:rPr>
          <w:t>http://www.treasury.gov.au/ConsultationsandReviews/Consultations/2012/cross-border-clearing</w:t>
        </w:r>
      </w:hyperlink>
      <w:r>
        <w:rPr>
          <w:sz w:val="18"/>
        </w:rPr>
        <w:t>&gt;.</w:t>
      </w:r>
      <w:r>
        <w:rPr>
          <w:spacing w:val="-11"/>
          <w:sz w:val="18"/>
        </w:rPr>
        <w:t> </w:t>
      </w:r>
      <w:r>
        <w:rPr>
          <w:sz w:val="18"/>
        </w:rPr>
        <w:t>Guidance</w:t>
      </w:r>
      <w:r>
        <w:rPr>
          <w:spacing w:val="-10"/>
          <w:sz w:val="18"/>
        </w:rPr>
        <w:t> </w:t>
      </w:r>
      <w:r>
        <w:rPr>
          <w:sz w:val="18"/>
        </w:rPr>
        <w:t>on the application of this framework in the case of CCPs is available at &lt;</w:t>
      </w:r>
      <w:hyperlink r:id="rId9">
        <w:r>
          <w:rPr>
            <w:sz w:val="18"/>
          </w:rPr>
          <w:t>http://www.cfr.gov.au/publications/cfr-</w:t>
        </w:r>
      </w:hyperlink>
      <w:r>
        <w:rPr>
          <w:sz w:val="18"/>
        </w:rPr>
        <w:t> </w:t>
      </w:r>
      <w:r>
        <w:rPr>
          <w:spacing w:val="-2"/>
          <w:sz w:val="18"/>
        </w:rPr>
        <w:t>publications/2014/pdf/app-reg-influence-framework-cross-border-central-counterparties.pdf&gt;</w:t>
      </w:r>
    </w:p>
    <w:p>
      <w:pPr>
        <w:pStyle w:val="ListParagraph"/>
        <w:numPr>
          <w:ilvl w:val="0"/>
          <w:numId w:val="1"/>
        </w:numPr>
        <w:tabs>
          <w:tab w:pos="393" w:val="left" w:leader="none"/>
        </w:tabs>
        <w:spacing w:line="240" w:lineRule="auto" w:before="0" w:after="0"/>
        <w:ind w:left="392" w:right="103" w:hanging="284"/>
        <w:jc w:val="both"/>
        <w:rPr>
          <w:sz w:val="18"/>
        </w:rPr>
      </w:pPr>
      <w:r>
        <w:rPr>
          <w:sz w:val="18"/>
        </w:rPr>
        <w:t>The</w:t>
      </w:r>
      <w:r>
        <w:rPr>
          <w:spacing w:val="-2"/>
          <w:sz w:val="18"/>
        </w:rPr>
        <w:t> </w:t>
      </w:r>
      <w:r>
        <w:rPr>
          <w:sz w:val="18"/>
        </w:rPr>
        <w:t>international</w:t>
      </w:r>
      <w:r>
        <w:rPr>
          <w:spacing w:val="-2"/>
          <w:sz w:val="18"/>
        </w:rPr>
        <w:t> </w:t>
      </w:r>
      <w:r>
        <w:rPr>
          <w:sz w:val="18"/>
        </w:rPr>
        <w:t>work</w:t>
      </w:r>
      <w:r>
        <w:rPr>
          <w:spacing w:val="-2"/>
          <w:sz w:val="18"/>
        </w:rPr>
        <w:t> </w:t>
      </w:r>
      <w:r>
        <w:rPr>
          <w:sz w:val="18"/>
        </w:rPr>
        <w:t>on recovery</w:t>
      </w:r>
      <w:r>
        <w:rPr>
          <w:spacing w:val="-1"/>
          <w:sz w:val="18"/>
        </w:rPr>
        <w:t> </w:t>
      </w:r>
      <w:r>
        <w:rPr>
          <w:sz w:val="18"/>
        </w:rPr>
        <w:t>and resolution of</w:t>
      </w:r>
      <w:r>
        <w:rPr>
          <w:spacing w:val="-1"/>
          <w:sz w:val="18"/>
        </w:rPr>
        <w:t> </w:t>
      </w:r>
      <w:r>
        <w:rPr>
          <w:sz w:val="18"/>
        </w:rPr>
        <w:t>FMIs is currently</w:t>
      </w:r>
      <w:r>
        <w:rPr>
          <w:spacing w:val="-1"/>
          <w:sz w:val="18"/>
        </w:rPr>
        <w:t> </w:t>
      </w:r>
      <w:r>
        <w:rPr>
          <w:sz w:val="18"/>
        </w:rPr>
        <w:t>ongoing.</w:t>
      </w:r>
      <w:r>
        <w:rPr>
          <w:spacing w:val="-1"/>
          <w:sz w:val="18"/>
        </w:rPr>
        <w:t> </w:t>
      </w:r>
      <w:r>
        <w:rPr>
          <w:sz w:val="18"/>
        </w:rPr>
        <w:t>Domestically,</w:t>
      </w:r>
      <w:r>
        <w:rPr>
          <w:spacing w:val="-1"/>
          <w:sz w:val="18"/>
        </w:rPr>
        <w:t> </w:t>
      </w:r>
      <w:r>
        <w:rPr>
          <w:sz w:val="18"/>
        </w:rPr>
        <w:t>in February</w:t>
      </w:r>
      <w:r>
        <w:rPr>
          <w:spacing w:val="-1"/>
          <w:sz w:val="18"/>
        </w:rPr>
        <w:t> </w:t>
      </w:r>
      <w:r>
        <w:rPr>
          <w:sz w:val="18"/>
        </w:rPr>
        <w:t>2015,</w:t>
      </w:r>
      <w:r>
        <w:rPr>
          <w:spacing w:val="-1"/>
          <w:sz w:val="18"/>
        </w:rPr>
        <w:t> </w:t>
      </w:r>
      <w:r>
        <w:rPr>
          <w:sz w:val="18"/>
        </w:rPr>
        <w:t>the government released</w:t>
      </w:r>
      <w:r>
        <w:rPr>
          <w:spacing w:val="-1"/>
          <w:sz w:val="18"/>
        </w:rPr>
        <w:t> </w:t>
      </w:r>
      <w:r>
        <w:rPr>
          <w:sz w:val="18"/>
        </w:rPr>
        <w:t>a consultation</w:t>
      </w:r>
      <w:r>
        <w:rPr>
          <w:spacing w:val="-1"/>
          <w:sz w:val="18"/>
        </w:rPr>
        <w:t> </w:t>
      </w:r>
      <w:r>
        <w:rPr>
          <w:sz w:val="18"/>
        </w:rPr>
        <w:t>paper on legislative proposals</w:t>
      </w:r>
      <w:r>
        <w:rPr>
          <w:spacing w:val="-1"/>
          <w:sz w:val="18"/>
        </w:rPr>
        <w:t> </w:t>
      </w:r>
      <w:r>
        <w:rPr>
          <w:sz w:val="18"/>
        </w:rPr>
        <w:t>to establish a special resolution regime</w:t>
      </w:r>
      <w:r>
        <w:rPr>
          <w:spacing w:val="-1"/>
          <w:sz w:val="18"/>
        </w:rPr>
        <w:t> </w:t>
      </w:r>
      <w:r>
        <w:rPr>
          <w:sz w:val="18"/>
        </w:rPr>
        <w:t>for FMIs in Australia, available at &lt;</w:t>
      </w:r>
      <w:hyperlink r:id="rId15">
        <w:r>
          <w:rPr>
            <w:sz w:val="18"/>
          </w:rPr>
          <w:t>http://www.treasury.gov.au/ConsultationsandReviews/Consultations/2015/Resolution-</w:t>
        </w:r>
      </w:hyperlink>
      <w:r>
        <w:rPr>
          <w:sz w:val="18"/>
        </w:rPr>
        <w:t> regime-for-financial-market-infrastructures&gt;. The CFR’s response to this consultation was published in November 2015. This is available at &lt;</w:t>
      </w:r>
      <w:hyperlink r:id="rId16">
        <w:r>
          <w:rPr>
            <w:sz w:val="18"/>
          </w:rPr>
          <w:t>http://www.cfr.gov.au/publications/cfr-publications/2015/resolution-regime-financial-</w:t>
        </w:r>
      </w:hyperlink>
      <w:r>
        <w:rPr>
          <w:sz w:val="18"/>
        </w:rPr>
        <w:t> </w:t>
      </w:r>
      <w:r>
        <w:rPr>
          <w:spacing w:val="-2"/>
          <w:sz w:val="18"/>
        </w:rPr>
        <w:t>market/&gt;.</w:t>
      </w:r>
    </w:p>
    <w:p>
      <w:pPr>
        <w:spacing w:after="0" w:line="240" w:lineRule="auto"/>
        <w:jc w:val="both"/>
        <w:rPr>
          <w:sz w:val="18"/>
        </w:rPr>
        <w:sectPr>
          <w:pgSz w:w="11910" w:h="16840"/>
          <w:pgMar w:header="0" w:footer="653" w:top="1580" w:bottom="840" w:left="1480" w:right="1480"/>
        </w:sectPr>
      </w:pPr>
    </w:p>
    <w:p>
      <w:pPr>
        <w:pStyle w:val="BodyText"/>
        <w:spacing w:line="252" w:lineRule="auto" w:before="114"/>
        <w:ind w:left="108" w:right="101"/>
        <w:jc w:val="both"/>
      </w:pPr>
      <w:r>
        <w:rPr/>
        <w:t>transparent to market participants, market operators</w:t>
      </w:r>
      <w:r>
        <w:rPr>
          <w:spacing w:val="-1"/>
        </w:rPr>
        <w:t> </w:t>
      </w:r>
      <w:r>
        <w:rPr/>
        <w:t>and ASX, to ensure that all stakeholders had the necessary information to formulate business plans with certainty.</w:t>
      </w:r>
    </w:p>
    <w:p>
      <w:pPr>
        <w:pStyle w:val="Heading3"/>
        <w:spacing w:before="148"/>
        <w:rPr>
          <w:i/>
        </w:rPr>
      </w:pPr>
      <w:r>
        <w:rPr>
          <w:i/>
        </w:rPr>
        <w:t>(с)</w:t>
      </w:r>
      <w:r>
        <w:rPr>
          <w:i/>
          <w:spacing w:val="-6"/>
        </w:rPr>
        <w:t> </w:t>
      </w:r>
      <w:r>
        <w:rPr>
          <w:i w:val="0"/>
        </w:rPr>
        <w:t>Ex</w:t>
      </w:r>
      <w:r>
        <w:rPr>
          <w:i w:val="0"/>
          <w:spacing w:val="-5"/>
        </w:rPr>
        <w:t> </w:t>
      </w:r>
      <w:r>
        <w:rPr>
          <w:i w:val="0"/>
        </w:rPr>
        <w:t>ante</w:t>
      </w:r>
      <w:r>
        <w:rPr>
          <w:i w:val="0"/>
          <w:spacing w:val="-5"/>
        </w:rPr>
        <w:t> </w:t>
      </w:r>
      <w:r>
        <w:rPr>
          <w:i/>
        </w:rPr>
        <w:t>wind-down</w:t>
      </w:r>
      <w:r>
        <w:rPr>
          <w:i/>
          <w:spacing w:val="-5"/>
        </w:rPr>
        <w:t> </w:t>
      </w:r>
      <w:r>
        <w:rPr>
          <w:i/>
        </w:rPr>
        <w:t>plans</w:t>
      </w:r>
      <w:r>
        <w:rPr>
          <w:i/>
          <w:spacing w:val="-5"/>
        </w:rPr>
        <w:t> </w:t>
      </w:r>
      <w:r>
        <w:rPr>
          <w:i/>
        </w:rPr>
        <w:t>and</w:t>
      </w:r>
      <w:r>
        <w:rPr>
          <w:i/>
          <w:spacing w:val="-5"/>
        </w:rPr>
        <w:t> </w:t>
      </w:r>
      <w:r>
        <w:rPr>
          <w:i/>
        </w:rPr>
        <w:t>associated</w:t>
      </w:r>
      <w:r>
        <w:rPr>
          <w:i/>
          <w:spacing w:val="-5"/>
        </w:rPr>
        <w:t> </w:t>
      </w:r>
      <w:r>
        <w:rPr>
          <w:i/>
          <w:spacing w:val="-2"/>
        </w:rPr>
        <w:t>commitments</w:t>
      </w:r>
    </w:p>
    <w:p>
      <w:pPr>
        <w:pStyle w:val="BodyText"/>
        <w:spacing w:line="252" w:lineRule="auto" w:before="94"/>
        <w:ind w:left="108" w:right="104"/>
        <w:jc w:val="both"/>
      </w:pPr>
      <w:r>
        <w:rPr/>
        <w:t>Since a commercially driven exit of a CCP in a competitive environment could disrupt activity in the segment of market activity that it cleared, the Agencies see a case to include measures aimed at mitigating such market disruption within the Minimum Conditions (Clearing).</w:t>
      </w:r>
    </w:p>
    <w:p>
      <w:pPr>
        <w:pStyle w:val="BodyText"/>
        <w:spacing w:line="252" w:lineRule="auto" w:before="162"/>
        <w:ind w:left="108" w:right="101"/>
        <w:jc w:val="both"/>
      </w:pPr>
      <w:r>
        <w:rPr/>
        <w:t>In particular,</w:t>
      </w:r>
      <w:r>
        <w:rPr>
          <w:spacing w:val="-2"/>
        </w:rPr>
        <w:t> </w:t>
      </w:r>
      <w:r>
        <w:rPr/>
        <w:t>all competing</w:t>
      </w:r>
      <w:r>
        <w:rPr>
          <w:spacing w:val="-1"/>
        </w:rPr>
        <w:t> </w:t>
      </w:r>
      <w:r>
        <w:rPr/>
        <w:t>CCPs – including</w:t>
      </w:r>
      <w:r>
        <w:rPr>
          <w:spacing w:val="-1"/>
        </w:rPr>
        <w:t> </w:t>
      </w:r>
      <w:r>
        <w:rPr/>
        <w:t>the incumbent</w:t>
      </w:r>
      <w:r>
        <w:rPr>
          <w:spacing w:val="-1"/>
        </w:rPr>
        <w:t> </w:t>
      </w:r>
      <w:r>
        <w:rPr/>
        <w:t>and any</w:t>
      </w:r>
      <w:r>
        <w:rPr>
          <w:spacing w:val="-1"/>
        </w:rPr>
        <w:t> </w:t>
      </w:r>
      <w:r>
        <w:rPr/>
        <w:t>new</w:t>
      </w:r>
      <w:r>
        <w:rPr>
          <w:spacing w:val="-2"/>
        </w:rPr>
        <w:t> </w:t>
      </w:r>
      <w:r>
        <w:rPr/>
        <w:t>entrants</w:t>
      </w:r>
      <w:r>
        <w:rPr>
          <w:spacing w:val="-1"/>
        </w:rPr>
        <w:t> </w:t>
      </w:r>
      <w:r>
        <w:rPr/>
        <w:t>–</w:t>
      </w:r>
      <w:r>
        <w:rPr>
          <w:spacing w:val="-2"/>
        </w:rPr>
        <w:t> </w:t>
      </w:r>
      <w:r>
        <w:rPr/>
        <w:t>would be</w:t>
      </w:r>
      <w:r>
        <w:rPr>
          <w:spacing w:val="-2"/>
        </w:rPr>
        <w:t> </w:t>
      </w:r>
      <w:r>
        <w:rPr/>
        <w:t>required to commit </w:t>
      </w:r>
      <w:r>
        <w:rPr>
          <w:i/>
        </w:rPr>
        <w:t>ex ante </w:t>
      </w:r>
      <w:r>
        <w:rPr/>
        <w:t>to a notice period of at least one year prior to any planned exit from the market. This should be supported by ring-fenced capital sufficient to cover operating expenses for the</w:t>
      </w:r>
      <w:r>
        <w:rPr>
          <w:spacing w:val="40"/>
        </w:rPr>
        <w:t> </w:t>
      </w:r>
      <w:r>
        <w:rPr/>
        <w:t>duration of the notice period, calculated on a rolling basis, as well as clearly articulated wind-down plans which would be discussed with ASIC and the Bank.</w:t>
      </w:r>
    </w:p>
    <w:p>
      <w:pPr>
        <w:pStyle w:val="BodyText"/>
        <w:spacing w:line="252" w:lineRule="auto" w:before="164"/>
        <w:ind w:left="108" w:right="100"/>
        <w:jc w:val="both"/>
      </w:pPr>
      <w:r>
        <w:rPr/>
        <w:t>The Agencies acknowledge that the conditions stated here are more stringent than the requirements for orderly wind-down envisaged in the CCP Standards; Standard 14 on general business risk requires that ‘at a minimum, a CCP should hold, or have legally certain access to, liquid net assets funded by equity equal to at least six months of current operating expenses’. The Agencies consider this difference to be appropriate, as this condition is intended to provide for a planned exit for</w:t>
      </w:r>
      <w:r>
        <w:rPr>
          <w:spacing w:val="80"/>
        </w:rPr>
        <w:t> </w:t>
      </w:r>
      <w:r>
        <w:rPr/>
        <w:t>commercial reasons, while the Standard 14 seeks to protect against exit due to the crystallisation of business risk.</w:t>
      </w:r>
    </w:p>
    <w:p>
      <w:pPr>
        <w:pStyle w:val="BodyText"/>
        <w:spacing w:line="252" w:lineRule="auto" w:before="166"/>
        <w:ind w:left="108" w:right="101"/>
        <w:jc w:val="both"/>
      </w:pPr>
      <w:r>
        <w:rPr/>
        <w:t>Furthermore, as discussed above, a commercially driven exit of a CCP could disrupt activity in the segment of market activity that it cleared. Such disruption could also arise if an existing provider scaled back its activities due to increased costs (e.g. if its exposures became concentrated in less</w:t>
      </w:r>
      <w:r>
        <w:rPr>
          <w:spacing w:val="80"/>
        </w:rPr>
        <w:t> </w:t>
      </w:r>
      <w:r>
        <w:rPr/>
        <w:t>liquid products). The Agencies would therefore work with the CCPs and relevant market operators to establish </w:t>
      </w:r>
      <w:r>
        <w:rPr>
          <w:i/>
        </w:rPr>
        <w:t>ex ante </w:t>
      </w:r>
      <w:r>
        <w:rPr/>
        <w:t>contingency arrangements to ensure the continued provision of clearing services for less liquid securities in the event that the incumbent CCP for those securities exited the market or reappraised its provision of those services.</w:t>
      </w:r>
    </w:p>
    <w:p>
      <w:pPr>
        <w:pStyle w:val="Heading3"/>
        <w:spacing w:before="153"/>
        <w:rPr>
          <w:i/>
        </w:rPr>
      </w:pPr>
      <w:r>
        <w:rPr>
          <w:i/>
        </w:rPr>
        <w:t>(d)</w:t>
      </w:r>
      <w:r>
        <w:rPr>
          <w:i/>
          <w:spacing w:val="-9"/>
        </w:rPr>
        <w:t> </w:t>
      </w:r>
      <w:r>
        <w:rPr>
          <w:i/>
        </w:rPr>
        <w:t>Appropriate</w:t>
      </w:r>
      <w:r>
        <w:rPr>
          <w:i/>
          <w:spacing w:val="-7"/>
        </w:rPr>
        <w:t> </w:t>
      </w:r>
      <w:r>
        <w:rPr>
          <w:i/>
        </w:rPr>
        <w:t>arrangements</w:t>
      </w:r>
      <w:r>
        <w:rPr>
          <w:i/>
          <w:spacing w:val="-7"/>
        </w:rPr>
        <w:t> </w:t>
      </w:r>
      <w:r>
        <w:rPr>
          <w:i/>
        </w:rPr>
        <w:t>for</w:t>
      </w:r>
      <w:r>
        <w:rPr>
          <w:i/>
          <w:spacing w:val="-6"/>
        </w:rPr>
        <w:t> </w:t>
      </w:r>
      <w:r>
        <w:rPr>
          <w:i/>
        </w:rPr>
        <w:t>regulatory</w:t>
      </w:r>
      <w:r>
        <w:rPr>
          <w:i/>
          <w:spacing w:val="-7"/>
        </w:rPr>
        <w:t> </w:t>
      </w:r>
      <w:r>
        <w:rPr>
          <w:i/>
        </w:rPr>
        <w:t>oversight</w:t>
      </w:r>
      <w:r>
        <w:rPr>
          <w:i/>
          <w:spacing w:val="-6"/>
        </w:rPr>
        <w:t> </w:t>
      </w:r>
      <w:r>
        <w:rPr>
          <w:i/>
        </w:rPr>
        <w:t>in</w:t>
      </w:r>
      <w:r>
        <w:rPr>
          <w:i/>
          <w:spacing w:val="-7"/>
        </w:rPr>
        <w:t> </w:t>
      </w:r>
      <w:r>
        <w:rPr>
          <w:i/>
        </w:rPr>
        <w:t>a</w:t>
      </w:r>
      <w:r>
        <w:rPr>
          <w:i/>
          <w:spacing w:val="-7"/>
        </w:rPr>
        <w:t> </w:t>
      </w:r>
      <w:r>
        <w:rPr>
          <w:i/>
        </w:rPr>
        <w:t>multi-CCP</w:t>
      </w:r>
      <w:r>
        <w:rPr>
          <w:i/>
          <w:spacing w:val="-5"/>
        </w:rPr>
        <w:t> </w:t>
      </w:r>
      <w:r>
        <w:rPr>
          <w:i/>
          <w:spacing w:val="-2"/>
        </w:rPr>
        <w:t>environment</w:t>
      </w:r>
    </w:p>
    <w:p>
      <w:pPr>
        <w:pStyle w:val="BodyText"/>
        <w:spacing w:line="252" w:lineRule="auto" w:before="92"/>
        <w:ind w:left="108" w:right="102"/>
        <w:jc w:val="both"/>
      </w:pPr>
      <w:r>
        <w:rPr/>
        <w:t>The Agencies do not see a strong case for a material change in ASIC and the Bank's supervisory responsibilities in a multi-CCP environment. This view is consistent with the idea that participant oversight is central to a CCP’s risk management activities, given the proprietary risk exposure that a CCP assumes to its participants.</w:t>
      </w:r>
    </w:p>
    <w:p>
      <w:pPr>
        <w:pStyle w:val="BodyText"/>
        <w:spacing w:line="252" w:lineRule="auto" w:before="164"/>
        <w:ind w:left="108" w:right="102"/>
        <w:jc w:val="both"/>
      </w:pPr>
      <w:r>
        <w:rPr/>
        <w:t>However, a more fragmented view of participants in a multi-CCP environment could disrupt arrangements for monitoring and managing clearing risk, including perhaps most notably in default management. As part of the Minimum Conditions (Clearing), the Agencies would clarify arrangements for regulatory oversight, particularly in relation to default management and CCP recovery, at such</w:t>
      </w:r>
      <w:r>
        <w:rPr>
          <w:spacing w:val="40"/>
        </w:rPr>
        <w:t> </w:t>
      </w:r>
      <w:r>
        <w:rPr/>
        <w:t>time as a committed competitor emerged.</w:t>
      </w:r>
    </w:p>
    <w:p>
      <w:pPr>
        <w:pStyle w:val="BodyText"/>
        <w:spacing w:line="252" w:lineRule="auto" w:before="164"/>
        <w:ind w:left="108" w:right="101"/>
        <w:jc w:val="both"/>
      </w:pPr>
      <w:r>
        <w:rPr/>
        <w:t>Competition in clearing could also give rise to adverse selection in both products and participants. For instance, a competing CCP may be motivated to only offer clearing services in the most liquid securities or to structure their business so as to favour larger participants over smaller participants. This could lead to the fragmentation of the market along the lines of liquidity, with potential implications for the profile of exposures to be managed by each CCP. If a competing CCP were to emerge, the Agencies might consider steps to mitigate these effects, such as through closer oversight of product and participant scope; it is acknowledged, however, that there could be practical</w:t>
      </w:r>
      <w:r>
        <w:rPr>
          <w:spacing w:val="40"/>
        </w:rPr>
        <w:t> </w:t>
      </w:r>
      <w:r>
        <w:rPr/>
        <w:t>challenges in implementing such steps.</w:t>
      </w:r>
    </w:p>
    <w:p>
      <w:pPr>
        <w:spacing w:after="0" w:line="252" w:lineRule="auto"/>
        <w:jc w:val="both"/>
        <w:sectPr>
          <w:pgSz w:w="11910" w:h="16840"/>
          <w:pgMar w:header="0" w:footer="653" w:top="1580" w:bottom="840" w:left="1480" w:right="1480"/>
        </w:sectPr>
      </w:pPr>
    </w:p>
    <w:p>
      <w:pPr>
        <w:pStyle w:val="Heading2"/>
        <w:numPr>
          <w:ilvl w:val="0"/>
          <w:numId w:val="4"/>
        </w:numPr>
        <w:tabs>
          <w:tab w:pos="816" w:val="left" w:leader="none"/>
          <w:tab w:pos="817" w:val="left" w:leader="none"/>
        </w:tabs>
        <w:spacing w:line="240" w:lineRule="auto" w:before="104" w:after="0"/>
        <w:ind w:left="816" w:right="0" w:hanging="709"/>
        <w:jc w:val="left"/>
      </w:pPr>
      <w:bookmarkStart w:name="2. Appropriate safeguards in the settlem" w:id="5"/>
      <w:bookmarkEnd w:id="5"/>
      <w:r>
        <w:rPr>
          <w:color w:val="007698"/>
        </w:rPr>
        <w:t>A</w:t>
      </w:r>
      <w:r>
        <w:rPr>
          <w:color w:val="007698"/>
        </w:rPr>
        <w:t>ppropriate</w:t>
      </w:r>
      <w:r>
        <w:rPr>
          <w:color w:val="007698"/>
          <w:spacing w:val="-8"/>
        </w:rPr>
        <w:t> </w:t>
      </w:r>
      <w:r>
        <w:rPr>
          <w:color w:val="007698"/>
        </w:rPr>
        <w:t>safeguards</w:t>
      </w:r>
      <w:r>
        <w:rPr>
          <w:color w:val="007698"/>
          <w:spacing w:val="-4"/>
        </w:rPr>
        <w:t> </w:t>
      </w:r>
      <w:r>
        <w:rPr>
          <w:color w:val="007698"/>
        </w:rPr>
        <w:t>in</w:t>
      </w:r>
      <w:r>
        <w:rPr>
          <w:color w:val="007698"/>
          <w:spacing w:val="-6"/>
        </w:rPr>
        <w:t> </w:t>
      </w:r>
      <w:r>
        <w:rPr>
          <w:color w:val="007698"/>
        </w:rPr>
        <w:t>the</w:t>
      </w:r>
      <w:r>
        <w:rPr>
          <w:color w:val="007698"/>
          <w:spacing w:val="-5"/>
        </w:rPr>
        <w:t> </w:t>
      </w:r>
      <w:r>
        <w:rPr>
          <w:color w:val="007698"/>
        </w:rPr>
        <w:t>settlement</w:t>
      </w:r>
      <w:r>
        <w:rPr>
          <w:color w:val="007698"/>
          <w:spacing w:val="-5"/>
        </w:rPr>
        <w:t> </w:t>
      </w:r>
      <w:r>
        <w:rPr>
          <w:color w:val="007698"/>
          <w:spacing w:val="-2"/>
        </w:rPr>
        <w:t>process</w:t>
      </w:r>
    </w:p>
    <w:p>
      <w:pPr>
        <w:pStyle w:val="BodyText"/>
        <w:spacing w:line="252" w:lineRule="auto" w:before="129"/>
        <w:ind w:left="108" w:right="102"/>
        <w:jc w:val="both"/>
      </w:pPr>
      <w:r>
        <w:rPr/>
        <w:t>The entry of a competing cash equity CCP would have implications for the design, operation and organisation of the settlement model. Any changes to the existing settlement arrangements could potentially give rise to additional costs, as well as financial and operational risks. In light of this, the Agencies</w:t>
      </w:r>
      <w:r>
        <w:rPr>
          <w:spacing w:val="-2"/>
        </w:rPr>
        <w:t> </w:t>
      </w:r>
      <w:r>
        <w:rPr/>
        <w:t>see</w:t>
      </w:r>
      <w:r>
        <w:rPr>
          <w:spacing w:val="-1"/>
        </w:rPr>
        <w:t> </w:t>
      </w:r>
      <w:r>
        <w:rPr/>
        <w:t>a</w:t>
      </w:r>
      <w:r>
        <w:rPr>
          <w:spacing w:val="-1"/>
        </w:rPr>
        <w:t> </w:t>
      </w:r>
      <w:r>
        <w:rPr/>
        <w:t>case</w:t>
      </w:r>
      <w:r>
        <w:rPr>
          <w:spacing w:val="-1"/>
        </w:rPr>
        <w:t> </w:t>
      </w:r>
      <w:r>
        <w:rPr/>
        <w:t>to</w:t>
      </w:r>
      <w:r>
        <w:rPr>
          <w:spacing w:val="-2"/>
        </w:rPr>
        <w:t> </w:t>
      </w:r>
      <w:r>
        <w:rPr/>
        <w:t>set</w:t>
      </w:r>
      <w:r>
        <w:rPr>
          <w:spacing w:val="-2"/>
        </w:rPr>
        <w:t> </w:t>
      </w:r>
      <w:r>
        <w:rPr/>
        <w:t>minimum</w:t>
      </w:r>
      <w:r>
        <w:rPr>
          <w:spacing w:val="-2"/>
        </w:rPr>
        <w:t> </w:t>
      </w:r>
      <w:r>
        <w:rPr/>
        <w:t>conditions</w:t>
      </w:r>
      <w:r>
        <w:rPr>
          <w:spacing w:val="-2"/>
        </w:rPr>
        <w:t> </w:t>
      </w:r>
      <w:r>
        <w:rPr/>
        <w:t>around</w:t>
      </w:r>
      <w:r>
        <w:rPr>
          <w:spacing w:val="-2"/>
        </w:rPr>
        <w:t> </w:t>
      </w:r>
      <w:r>
        <w:rPr/>
        <w:t>the</w:t>
      </w:r>
      <w:r>
        <w:rPr>
          <w:spacing w:val="-1"/>
        </w:rPr>
        <w:t> </w:t>
      </w:r>
      <w:r>
        <w:rPr/>
        <w:t>design</w:t>
      </w:r>
      <w:r>
        <w:rPr>
          <w:spacing w:val="-1"/>
        </w:rPr>
        <w:t> </w:t>
      </w:r>
      <w:r>
        <w:rPr/>
        <w:t>of</w:t>
      </w:r>
      <w:r>
        <w:rPr>
          <w:spacing w:val="-1"/>
        </w:rPr>
        <w:t> </w:t>
      </w:r>
      <w:r>
        <w:rPr/>
        <w:t>the</w:t>
      </w:r>
      <w:r>
        <w:rPr>
          <w:spacing w:val="-3"/>
        </w:rPr>
        <w:t> </w:t>
      </w:r>
      <w:r>
        <w:rPr/>
        <w:t>settlement</w:t>
      </w:r>
      <w:r>
        <w:rPr>
          <w:spacing w:val="-5"/>
        </w:rPr>
        <w:t> </w:t>
      </w:r>
      <w:r>
        <w:rPr/>
        <w:t>model</w:t>
      </w:r>
      <w:r>
        <w:rPr>
          <w:spacing w:val="-2"/>
        </w:rPr>
        <w:t> </w:t>
      </w:r>
      <w:r>
        <w:rPr/>
        <w:t>for a</w:t>
      </w:r>
      <w:r>
        <w:rPr>
          <w:spacing w:val="-4"/>
        </w:rPr>
        <w:t> </w:t>
      </w:r>
      <w:r>
        <w:rPr/>
        <w:t>multi- CCP environment. As far as possible, the new model would need to preserve the efficiencies of the prevailing settlement model in a single-CCP environment, while affording materially equivalent</w:t>
      </w:r>
      <w:r>
        <w:rPr>
          <w:spacing w:val="40"/>
        </w:rPr>
        <w:t> </w:t>
      </w:r>
      <w:r>
        <w:rPr/>
        <w:t>priority to a competing CCP. It should also minimise financial interdependencies between CCPs in the settlement process and facilitate appropriate default management actions.</w:t>
      </w:r>
    </w:p>
    <w:p>
      <w:pPr>
        <w:pStyle w:val="BodyText"/>
        <w:spacing w:before="9"/>
        <w:rPr>
          <w:sz w:val="22"/>
        </w:rPr>
      </w:pPr>
    </w:p>
    <w:p>
      <w:pPr>
        <w:pStyle w:val="Heading2"/>
        <w:numPr>
          <w:ilvl w:val="0"/>
          <w:numId w:val="4"/>
        </w:numPr>
        <w:tabs>
          <w:tab w:pos="816" w:val="left" w:leader="none"/>
          <w:tab w:pos="817" w:val="left" w:leader="none"/>
        </w:tabs>
        <w:spacing w:line="240" w:lineRule="auto" w:before="0" w:after="0"/>
        <w:ind w:left="108" w:right="1966" w:firstLine="0"/>
        <w:jc w:val="left"/>
      </w:pPr>
      <w:bookmarkStart w:name="3. Access to settlement services on tran" w:id="6"/>
      <w:bookmarkEnd w:id="6"/>
      <w:r>
        <w:rPr>
          <w:color w:val="007698"/>
        </w:rPr>
        <w:t>Acc</w:t>
      </w:r>
      <w:r>
        <w:rPr>
          <w:color w:val="007698"/>
        </w:rPr>
        <w:t>ess</w:t>
      </w:r>
      <w:r>
        <w:rPr>
          <w:color w:val="007698"/>
          <w:spacing w:val="-5"/>
        </w:rPr>
        <w:t> </w:t>
      </w:r>
      <w:r>
        <w:rPr>
          <w:color w:val="007698"/>
        </w:rPr>
        <w:t>to</w:t>
      </w:r>
      <w:r>
        <w:rPr>
          <w:color w:val="007698"/>
          <w:spacing w:val="-6"/>
        </w:rPr>
        <w:t> </w:t>
      </w:r>
      <w:r>
        <w:rPr>
          <w:color w:val="007698"/>
        </w:rPr>
        <w:t>settlement</w:t>
      </w:r>
      <w:r>
        <w:rPr>
          <w:color w:val="007698"/>
          <w:spacing w:val="-7"/>
        </w:rPr>
        <w:t> </w:t>
      </w:r>
      <w:r>
        <w:rPr>
          <w:color w:val="007698"/>
        </w:rPr>
        <w:t>services</w:t>
      </w:r>
      <w:r>
        <w:rPr>
          <w:color w:val="007698"/>
          <w:spacing w:val="-5"/>
        </w:rPr>
        <w:t> </w:t>
      </w:r>
      <w:r>
        <w:rPr>
          <w:color w:val="007698"/>
        </w:rPr>
        <w:t>on</w:t>
      </w:r>
      <w:r>
        <w:rPr>
          <w:color w:val="007698"/>
          <w:spacing w:val="-6"/>
        </w:rPr>
        <w:t> </w:t>
      </w:r>
      <w:r>
        <w:rPr>
          <w:color w:val="007698"/>
        </w:rPr>
        <w:t>transparent,</w:t>
      </w:r>
      <w:r>
        <w:rPr>
          <w:color w:val="007698"/>
          <w:spacing w:val="-6"/>
        </w:rPr>
        <w:t> </w:t>
      </w:r>
      <w:r>
        <w:rPr>
          <w:color w:val="007698"/>
        </w:rPr>
        <w:t>non- discriminatory, and fair and reasonable terms</w:t>
      </w:r>
    </w:p>
    <w:p>
      <w:pPr>
        <w:pStyle w:val="BodyText"/>
        <w:spacing w:line="252" w:lineRule="auto" w:before="131"/>
        <w:ind w:left="108" w:right="101"/>
        <w:jc w:val="both"/>
      </w:pPr>
      <w:r>
        <w:rPr/>
        <w:t>In the absence of an alternative provider of cash equity settlement services emerging, any new cash equity</w:t>
      </w:r>
      <w:r>
        <w:rPr>
          <w:spacing w:val="40"/>
        </w:rPr>
        <w:t> </w:t>
      </w:r>
      <w:r>
        <w:rPr/>
        <w:t>CCP</w:t>
      </w:r>
      <w:r>
        <w:rPr>
          <w:spacing w:val="40"/>
        </w:rPr>
        <w:t> </w:t>
      </w:r>
      <w:r>
        <w:rPr/>
        <w:t>would</w:t>
      </w:r>
      <w:r>
        <w:rPr>
          <w:spacing w:val="40"/>
        </w:rPr>
        <w:t> </w:t>
      </w:r>
      <w:r>
        <w:rPr/>
        <w:t>require</w:t>
      </w:r>
      <w:r>
        <w:rPr>
          <w:spacing w:val="40"/>
        </w:rPr>
        <w:t> </w:t>
      </w:r>
      <w:r>
        <w:rPr/>
        <w:t>access</w:t>
      </w:r>
      <w:r>
        <w:rPr>
          <w:spacing w:val="40"/>
        </w:rPr>
        <w:t> </w:t>
      </w:r>
      <w:r>
        <w:rPr/>
        <w:t>to</w:t>
      </w:r>
      <w:r>
        <w:rPr>
          <w:spacing w:val="40"/>
        </w:rPr>
        <w:t> </w:t>
      </w:r>
      <w:r>
        <w:rPr/>
        <w:t>the</w:t>
      </w:r>
      <w:r>
        <w:rPr>
          <w:spacing w:val="40"/>
        </w:rPr>
        <w:t> </w:t>
      </w:r>
      <w:r>
        <w:rPr/>
        <w:t>vertically</w:t>
      </w:r>
      <w:r>
        <w:rPr>
          <w:spacing w:val="40"/>
        </w:rPr>
        <w:t> </w:t>
      </w:r>
      <w:r>
        <w:rPr/>
        <w:t>integrated</w:t>
      </w:r>
      <w:r>
        <w:rPr>
          <w:spacing w:val="40"/>
        </w:rPr>
        <w:t> </w:t>
      </w:r>
      <w:r>
        <w:rPr/>
        <w:t>incumbent</w:t>
      </w:r>
      <w:r>
        <w:rPr>
          <w:spacing w:val="40"/>
        </w:rPr>
        <w:t> </w:t>
      </w:r>
      <w:r>
        <w:rPr/>
        <w:t>settlement</w:t>
      </w:r>
      <w:r>
        <w:rPr>
          <w:spacing w:val="40"/>
        </w:rPr>
        <w:t> </w:t>
      </w:r>
      <w:r>
        <w:rPr/>
        <w:t>services</w:t>
      </w:r>
      <w:r>
        <w:rPr>
          <w:spacing w:val="40"/>
        </w:rPr>
        <w:t> </w:t>
      </w:r>
      <w:r>
        <w:rPr/>
        <w:t>of ASX Settlement. To the extent that it remains the sole provider of cash equity settlement services,</w:t>
      </w:r>
      <w:r>
        <w:rPr>
          <w:spacing w:val="80"/>
        </w:rPr>
        <w:t> </w:t>
      </w:r>
      <w:r>
        <w:rPr/>
        <w:t>ASX Settlement would be required to facilitate the provision of access to its cash equity settlement infrastructure on a transparent and non-discriminatory basis with terms and conditions, including price, that are fair and reasonable. The Regulatory Expectations, outlined by the Agencies in a</w:t>
      </w:r>
      <w:r>
        <w:rPr>
          <w:spacing w:val="40"/>
        </w:rPr>
        <w:t> </w:t>
      </w:r>
      <w:r>
        <w:rPr/>
        <w:t>separate policy statement, deal with access to ASX’s monopoly CS services. The relevant provisions in the Regulatory Expectations explicitly address access on transparent, non-discriminatory, and fair and reasonable terms; these provisions would also apply to ASX’s provision of CS services to a competing CCP for cash equities under the Minimum Conditions (Clearing). Additionally, following the proposed legislative changes as previously noted, the ACCC will have the power to arbitrate disputes in relation to</w:t>
      </w:r>
      <w:r>
        <w:rPr>
          <w:spacing w:val="-2"/>
        </w:rPr>
        <w:t> </w:t>
      </w:r>
      <w:r>
        <w:rPr/>
        <w:t>price</w:t>
      </w:r>
      <w:r>
        <w:rPr>
          <w:spacing w:val="-1"/>
        </w:rPr>
        <w:t> </w:t>
      </w:r>
      <w:r>
        <w:rPr/>
        <w:t>and/or</w:t>
      </w:r>
      <w:r>
        <w:rPr>
          <w:spacing w:val="-1"/>
        </w:rPr>
        <w:t> </w:t>
      </w:r>
      <w:r>
        <w:rPr/>
        <w:t>non-price</w:t>
      </w:r>
      <w:r>
        <w:rPr>
          <w:spacing w:val="-1"/>
        </w:rPr>
        <w:t> </w:t>
      </w:r>
      <w:r>
        <w:rPr/>
        <w:t>terms</w:t>
      </w:r>
      <w:r>
        <w:rPr>
          <w:spacing w:val="-2"/>
        </w:rPr>
        <w:t> </w:t>
      </w:r>
      <w:r>
        <w:rPr/>
        <w:t>and</w:t>
      </w:r>
      <w:r>
        <w:rPr>
          <w:spacing w:val="-2"/>
        </w:rPr>
        <w:t> </w:t>
      </w:r>
      <w:r>
        <w:rPr/>
        <w:t>conditions</w:t>
      </w:r>
      <w:r>
        <w:rPr>
          <w:spacing w:val="-1"/>
        </w:rPr>
        <w:t> </w:t>
      </w:r>
      <w:r>
        <w:rPr/>
        <w:t>of</w:t>
      </w:r>
      <w:r>
        <w:rPr>
          <w:spacing w:val="-1"/>
        </w:rPr>
        <w:t> </w:t>
      </w:r>
      <w:r>
        <w:rPr/>
        <w:t>access</w:t>
      </w:r>
      <w:r>
        <w:rPr>
          <w:spacing w:val="-1"/>
        </w:rPr>
        <w:t> </w:t>
      </w:r>
      <w:r>
        <w:rPr/>
        <w:t>where</w:t>
      </w:r>
      <w:r>
        <w:rPr>
          <w:spacing w:val="-1"/>
        </w:rPr>
        <w:t> </w:t>
      </w:r>
      <w:r>
        <w:rPr/>
        <w:t>negotiations</w:t>
      </w:r>
      <w:r>
        <w:rPr>
          <w:spacing w:val="-2"/>
        </w:rPr>
        <w:t> </w:t>
      </w:r>
      <w:r>
        <w:rPr/>
        <w:t>guided</w:t>
      </w:r>
      <w:r>
        <w:rPr>
          <w:spacing w:val="-2"/>
        </w:rPr>
        <w:t> </w:t>
      </w:r>
      <w:r>
        <w:rPr/>
        <w:t>by</w:t>
      </w:r>
      <w:r>
        <w:rPr>
          <w:spacing w:val="-1"/>
        </w:rPr>
        <w:t> </w:t>
      </w:r>
      <w:r>
        <w:rPr/>
        <w:t>the</w:t>
      </w:r>
      <w:r>
        <w:rPr>
          <w:spacing w:val="-1"/>
        </w:rPr>
        <w:t> </w:t>
      </w:r>
      <w:r>
        <w:rPr/>
        <w:t>Regulatory Expectations fail.</w:t>
      </w:r>
    </w:p>
    <w:p>
      <w:pPr>
        <w:pStyle w:val="BodyText"/>
        <w:spacing w:before="11"/>
        <w:rPr>
          <w:sz w:val="22"/>
        </w:rPr>
      </w:pPr>
    </w:p>
    <w:p>
      <w:pPr>
        <w:pStyle w:val="Heading2"/>
        <w:numPr>
          <w:ilvl w:val="0"/>
          <w:numId w:val="4"/>
        </w:numPr>
        <w:tabs>
          <w:tab w:pos="816" w:val="left" w:leader="none"/>
          <w:tab w:pos="817" w:val="left" w:leader="none"/>
        </w:tabs>
        <w:spacing w:line="240" w:lineRule="auto" w:before="1" w:after="0"/>
        <w:ind w:left="108" w:right="294" w:firstLine="0"/>
        <w:jc w:val="left"/>
      </w:pPr>
      <w:bookmarkStart w:name="4. Appropriate interoperability arrangem" w:id="7"/>
      <w:bookmarkEnd w:id="7"/>
      <w:r>
        <w:rPr>
          <w:color w:val="007698"/>
        </w:rPr>
        <w:t>A</w:t>
      </w:r>
      <w:r>
        <w:rPr>
          <w:color w:val="007698"/>
        </w:rPr>
        <w:t>ppropriate</w:t>
      </w:r>
      <w:r>
        <w:rPr>
          <w:color w:val="007698"/>
          <w:spacing w:val="-7"/>
        </w:rPr>
        <w:t> </w:t>
      </w:r>
      <w:r>
        <w:rPr>
          <w:color w:val="007698"/>
        </w:rPr>
        <w:t>interoperability</w:t>
      </w:r>
      <w:r>
        <w:rPr>
          <w:color w:val="007698"/>
          <w:spacing w:val="-9"/>
        </w:rPr>
        <w:t> </w:t>
      </w:r>
      <w:r>
        <w:rPr>
          <w:color w:val="007698"/>
        </w:rPr>
        <w:t>arrangements</w:t>
      </w:r>
      <w:r>
        <w:rPr>
          <w:color w:val="007698"/>
          <w:spacing w:val="-6"/>
        </w:rPr>
        <w:t> </w:t>
      </w:r>
      <w:r>
        <w:rPr>
          <w:color w:val="007698"/>
        </w:rPr>
        <w:t>between</w:t>
      </w:r>
      <w:r>
        <w:rPr>
          <w:color w:val="007698"/>
          <w:spacing w:val="-7"/>
        </w:rPr>
        <w:t> </w:t>
      </w:r>
      <w:r>
        <w:rPr>
          <w:color w:val="007698"/>
        </w:rPr>
        <w:t>competing </w:t>
      </w:r>
      <w:r>
        <w:rPr>
          <w:color w:val="007698"/>
          <w:spacing w:val="-4"/>
        </w:rPr>
        <w:t>CCPs</w:t>
      </w:r>
    </w:p>
    <w:p>
      <w:pPr>
        <w:pStyle w:val="BodyText"/>
        <w:spacing w:line="252" w:lineRule="auto" w:before="130"/>
        <w:ind w:left="108" w:right="102"/>
        <w:jc w:val="both"/>
      </w:pPr>
      <w:r>
        <w:rPr/>
        <w:t>Interoperability has been identified as a potentially effective mechanism for ensuring that the</w:t>
      </w:r>
      <w:r>
        <w:rPr>
          <w:spacing w:val="80"/>
        </w:rPr>
        <w:t> </w:t>
      </w:r>
      <w:r>
        <w:rPr/>
        <w:t>benefits of competition are realised while mitigating some of the adverse implications, including market</w:t>
      </w:r>
      <w:r>
        <w:rPr>
          <w:spacing w:val="-1"/>
        </w:rPr>
        <w:t> </w:t>
      </w:r>
      <w:r>
        <w:rPr/>
        <w:t>fragmentation and increased operational costs</w:t>
      </w:r>
      <w:r>
        <w:rPr>
          <w:spacing w:val="-1"/>
        </w:rPr>
        <w:t> </w:t>
      </w:r>
      <w:r>
        <w:rPr/>
        <w:t>for participants. Based on analysis summarised in the Conclusions, the Agencies consider that a requirement to establish appropriate interoperability arrangements</w:t>
      </w:r>
      <w:r>
        <w:rPr>
          <w:spacing w:val="-2"/>
        </w:rPr>
        <w:t> </w:t>
      </w:r>
      <w:r>
        <w:rPr/>
        <w:t>between</w:t>
      </w:r>
      <w:r>
        <w:rPr>
          <w:spacing w:val="-2"/>
        </w:rPr>
        <w:t> </w:t>
      </w:r>
      <w:r>
        <w:rPr/>
        <w:t>cash</w:t>
      </w:r>
      <w:r>
        <w:rPr>
          <w:spacing w:val="-2"/>
        </w:rPr>
        <w:t> </w:t>
      </w:r>
      <w:r>
        <w:rPr/>
        <w:t>equity</w:t>
      </w:r>
      <w:r>
        <w:rPr>
          <w:spacing w:val="-1"/>
        </w:rPr>
        <w:t> </w:t>
      </w:r>
      <w:r>
        <w:rPr/>
        <w:t>CCPs,</w:t>
      </w:r>
      <w:r>
        <w:rPr>
          <w:spacing w:val="-1"/>
        </w:rPr>
        <w:t> </w:t>
      </w:r>
      <w:r>
        <w:rPr/>
        <w:t>prior to</w:t>
      </w:r>
      <w:r>
        <w:rPr>
          <w:spacing w:val="-2"/>
        </w:rPr>
        <w:t> </w:t>
      </w:r>
      <w:r>
        <w:rPr/>
        <w:t>a</w:t>
      </w:r>
      <w:r>
        <w:rPr>
          <w:spacing w:val="-1"/>
        </w:rPr>
        <w:t> </w:t>
      </w:r>
      <w:r>
        <w:rPr/>
        <w:t>competing</w:t>
      </w:r>
      <w:r>
        <w:rPr>
          <w:spacing w:val="-2"/>
        </w:rPr>
        <w:t> </w:t>
      </w:r>
      <w:r>
        <w:rPr/>
        <w:t>CCP</w:t>
      </w:r>
      <w:r>
        <w:rPr>
          <w:spacing w:val="-2"/>
        </w:rPr>
        <w:t> </w:t>
      </w:r>
      <w:r>
        <w:rPr/>
        <w:t>commencing</w:t>
      </w:r>
      <w:r>
        <w:rPr>
          <w:spacing w:val="-2"/>
        </w:rPr>
        <w:t> </w:t>
      </w:r>
      <w:r>
        <w:rPr/>
        <w:t>operations,</w:t>
      </w:r>
      <w:r>
        <w:rPr>
          <w:spacing w:val="-1"/>
        </w:rPr>
        <w:t> </w:t>
      </w:r>
      <w:r>
        <w:rPr/>
        <w:t>would</w:t>
      </w:r>
      <w:r>
        <w:rPr>
          <w:spacing w:val="-2"/>
        </w:rPr>
        <w:t> </w:t>
      </w:r>
      <w:r>
        <w:rPr/>
        <w:t>be a necessary condition to support competition.</w:t>
      </w:r>
    </w:p>
    <w:p>
      <w:pPr>
        <w:pStyle w:val="BodyText"/>
        <w:spacing w:line="252" w:lineRule="auto" w:before="164"/>
        <w:ind w:left="108" w:right="102"/>
        <w:jc w:val="both"/>
      </w:pPr>
      <w:r>
        <w:rPr/>
        <w:t>Given commercial and operational considerations, the incumbent CCP may have little incentive to voluntarily develop interoperability arrangements with a new entrant. ‘Open access’ obligations or other regulatory measures may therefore need to be imposed to facilitate the establishment of fair and effective interoperability between the incumbent CCP and any new CCP seeking to enter the Australian cash equity market.</w:t>
      </w:r>
    </w:p>
    <w:p>
      <w:pPr>
        <w:pStyle w:val="BodyText"/>
        <w:spacing w:line="252" w:lineRule="auto" w:before="163"/>
        <w:ind w:left="109" w:right="102"/>
        <w:jc w:val="both"/>
      </w:pPr>
      <w:r>
        <w:rPr/>
        <w:t>The</w:t>
      </w:r>
      <w:r>
        <w:rPr>
          <w:spacing w:val="-2"/>
        </w:rPr>
        <w:t> </w:t>
      </w:r>
      <w:r>
        <w:rPr/>
        <w:t>Agencies</w:t>
      </w:r>
      <w:r>
        <w:rPr>
          <w:spacing w:val="-3"/>
        </w:rPr>
        <w:t> </w:t>
      </w:r>
      <w:r>
        <w:rPr/>
        <w:t>also</w:t>
      </w:r>
      <w:r>
        <w:rPr>
          <w:spacing w:val="-3"/>
        </w:rPr>
        <w:t> </w:t>
      </w:r>
      <w:r>
        <w:rPr/>
        <w:t>acknowledge</w:t>
      </w:r>
      <w:r>
        <w:rPr>
          <w:spacing w:val="-2"/>
        </w:rPr>
        <w:t> </w:t>
      </w:r>
      <w:r>
        <w:rPr/>
        <w:t>that</w:t>
      </w:r>
      <w:r>
        <w:rPr>
          <w:spacing w:val="-3"/>
        </w:rPr>
        <w:t> </w:t>
      </w:r>
      <w:r>
        <w:rPr/>
        <w:t>interoperability</w:t>
      </w:r>
      <w:r>
        <w:rPr>
          <w:spacing w:val="-2"/>
        </w:rPr>
        <w:t> </w:t>
      </w:r>
      <w:r>
        <w:rPr/>
        <w:t>may</w:t>
      </w:r>
      <w:r>
        <w:rPr>
          <w:spacing w:val="-2"/>
        </w:rPr>
        <w:t> </w:t>
      </w:r>
      <w:r>
        <w:rPr/>
        <w:t>give</w:t>
      </w:r>
      <w:r>
        <w:rPr>
          <w:spacing w:val="-2"/>
        </w:rPr>
        <w:t> </w:t>
      </w:r>
      <w:r>
        <w:rPr/>
        <w:t>rise</w:t>
      </w:r>
      <w:r>
        <w:rPr>
          <w:spacing w:val="-2"/>
        </w:rPr>
        <w:t> </w:t>
      </w:r>
      <w:r>
        <w:rPr/>
        <w:t>to</w:t>
      </w:r>
      <w:r>
        <w:rPr>
          <w:spacing w:val="-3"/>
        </w:rPr>
        <w:t> </w:t>
      </w:r>
      <w:r>
        <w:rPr/>
        <w:t>additional</w:t>
      </w:r>
      <w:r>
        <w:rPr>
          <w:spacing w:val="-3"/>
        </w:rPr>
        <w:t> </w:t>
      </w:r>
      <w:r>
        <w:rPr/>
        <w:t>complexities</w:t>
      </w:r>
      <w:r>
        <w:rPr>
          <w:spacing w:val="-3"/>
        </w:rPr>
        <w:t> </w:t>
      </w:r>
      <w:r>
        <w:rPr/>
        <w:t>and</w:t>
      </w:r>
      <w:r>
        <w:rPr>
          <w:spacing w:val="-2"/>
        </w:rPr>
        <w:t> </w:t>
      </w:r>
      <w:r>
        <w:rPr/>
        <w:t>risks. Should a competing CCP emerge, an effective risk management framework for interoperability arrangements would need to be put in place in order to mitigate these incremental risks. Specifically, the</w:t>
      </w:r>
      <w:r>
        <w:rPr>
          <w:spacing w:val="80"/>
        </w:rPr>
        <w:t> </w:t>
      </w:r>
      <w:r>
        <w:rPr/>
        <w:t>Bank</w:t>
      </w:r>
      <w:r>
        <w:rPr>
          <w:spacing w:val="80"/>
        </w:rPr>
        <w:t> </w:t>
      </w:r>
      <w:r>
        <w:rPr/>
        <w:t>would</w:t>
      </w:r>
      <w:r>
        <w:rPr>
          <w:spacing w:val="80"/>
        </w:rPr>
        <w:t> </w:t>
      </w:r>
      <w:r>
        <w:rPr/>
        <w:t>need</w:t>
      </w:r>
      <w:r>
        <w:rPr>
          <w:spacing w:val="80"/>
        </w:rPr>
        <w:t> </w:t>
      </w:r>
      <w:r>
        <w:rPr/>
        <w:t>to</w:t>
      </w:r>
      <w:r>
        <w:rPr>
          <w:spacing w:val="80"/>
        </w:rPr>
        <w:t> </w:t>
      </w:r>
      <w:r>
        <w:rPr/>
        <w:t>issue</w:t>
      </w:r>
      <w:r>
        <w:rPr>
          <w:spacing w:val="80"/>
        </w:rPr>
        <w:t> </w:t>
      </w:r>
      <w:r>
        <w:rPr/>
        <w:t>additional</w:t>
      </w:r>
      <w:r>
        <w:rPr>
          <w:spacing w:val="80"/>
        </w:rPr>
        <w:t> </w:t>
      </w:r>
      <w:r>
        <w:rPr/>
        <w:t>guidance</w:t>
      </w:r>
      <w:r>
        <w:rPr>
          <w:spacing w:val="80"/>
        </w:rPr>
        <w:t> </w:t>
      </w:r>
      <w:r>
        <w:rPr/>
        <w:t>to</w:t>
      </w:r>
      <w:r>
        <w:rPr>
          <w:spacing w:val="80"/>
        </w:rPr>
        <w:t> </w:t>
      </w:r>
      <w:r>
        <w:rPr/>
        <w:t>clarify</w:t>
      </w:r>
      <w:r>
        <w:rPr>
          <w:spacing w:val="80"/>
        </w:rPr>
        <w:t> </w:t>
      </w:r>
      <w:r>
        <w:rPr/>
        <w:t>how</w:t>
      </w:r>
      <w:r>
        <w:rPr>
          <w:spacing w:val="80"/>
        </w:rPr>
        <w:t> </w:t>
      </w:r>
      <w:r>
        <w:rPr/>
        <w:t>the</w:t>
      </w:r>
      <w:r>
        <w:rPr>
          <w:spacing w:val="80"/>
        </w:rPr>
        <w:t> </w:t>
      </w:r>
      <w:r>
        <w:rPr/>
        <w:t>requirements</w:t>
      </w:r>
      <w:r>
        <w:rPr>
          <w:spacing w:val="80"/>
        </w:rPr>
        <w:t> </w:t>
      </w:r>
      <w:r>
        <w:rPr/>
        <w:t>under CCP</w:t>
      </w:r>
      <w:r>
        <w:rPr>
          <w:spacing w:val="-2"/>
        </w:rPr>
        <w:t> </w:t>
      </w:r>
      <w:r>
        <w:rPr/>
        <w:t>Standard 19 (FMI Links) should be met for the purpose of establishing safe and effective interoperable links.</w:t>
      </w:r>
    </w:p>
    <w:sectPr>
      <w:pgSz w:w="11910" w:h="16840"/>
      <w:pgMar w:header="0" w:footer="653" w:top="1580" w:bottom="840" w:left="14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6.346802pt;margin-top:798.265747pt;width:13.8pt;height:9.1pt;mso-position-horizontal-relative:page;mso-position-vertical-relative:page;z-index:-15855616" type="#_x0000_t202" id="docshape2" filled="false" stroked="false">
          <v:textbox inset="0,0,0,0">
            <w:txbxContent>
              <w:p>
                <w:pPr>
                  <w:spacing w:line="164" w:lineRule="exact" w:before="0"/>
                  <w:ind w:left="20" w:right="0" w:firstLine="0"/>
                  <w:jc w:val="left"/>
                  <w:rPr>
                    <w:rFonts w:ascii="Palatino Linotype"/>
                    <w:sz w:val="14"/>
                  </w:rPr>
                </w:pPr>
                <w:r>
                  <w:rPr>
                    <w:rFonts w:ascii="Palatino Linotype"/>
                    <w:color w:val="007698"/>
                    <w:sz w:val="14"/>
                  </w:rPr>
                  <w:t>| </w:t>
                </w:r>
                <w:r>
                  <w:rPr>
                    <w:rFonts w:ascii="Palatino Linotype"/>
                    <w:spacing w:val="-10"/>
                    <w:sz w:val="14"/>
                  </w:rPr>
                  <w:fldChar w:fldCharType="begin"/>
                </w:r>
                <w:r>
                  <w:rPr>
                    <w:rFonts w:ascii="Palatino Linotype"/>
                    <w:spacing w:val="-10"/>
                    <w:sz w:val="14"/>
                  </w:rPr>
                  <w:instrText> PAGE </w:instrText>
                </w:r>
                <w:r>
                  <w:rPr>
                    <w:rFonts w:ascii="Palatino Linotype"/>
                    <w:spacing w:val="-10"/>
                    <w:sz w:val="14"/>
                  </w:rPr>
                  <w:fldChar w:fldCharType="separate"/>
                </w:r>
                <w:r>
                  <w:rPr>
                    <w:rFonts w:ascii="Palatino Linotype"/>
                    <w:spacing w:val="-10"/>
                    <w:sz w:val="14"/>
                  </w:rPr>
                  <w:t>3</w:t>
                </w:r>
                <w:r>
                  <w:rPr>
                    <w:rFonts w:ascii="Palatino Linotype"/>
                    <w:spacing w:val="-10"/>
                    <w:sz w:val="1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40002pt;margin-top:798.265747pt;width:151.35pt;height:9.1pt;mso-position-horizontal-relative:page;mso-position-vertical-relative:page;z-index:-15855104" type="#_x0000_t202" id="docshape3" filled="false" stroked="false">
          <v:textbox inset="0,0,0,0">
            <w:txbxContent>
              <w:p>
                <w:pPr>
                  <w:spacing w:line="164" w:lineRule="exact" w:before="0"/>
                  <w:ind w:left="60" w:right="0" w:firstLine="0"/>
                  <w:jc w:val="left"/>
                  <w:rPr>
                    <w:rFonts w:ascii="Palatino Linotype"/>
                    <w:b/>
                    <w:sz w:val="14"/>
                  </w:rPr>
                </w:pPr>
                <w:r>
                  <w:rPr>
                    <w:rFonts w:ascii="Palatino Linotype"/>
                    <w:sz w:val="14"/>
                  </w:rPr>
                  <w:fldChar w:fldCharType="begin"/>
                </w:r>
                <w:r>
                  <w:rPr>
                    <w:rFonts w:ascii="Palatino Linotype"/>
                    <w:sz w:val="14"/>
                  </w:rPr>
                  <w:instrText> PAGE </w:instrText>
                </w:r>
                <w:r>
                  <w:rPr>
                    <w:rFonts w:ascii="Palatino Linotype"/>
                    <w:sz w:val="14"/>
                  </w:rPr>
                  <w:fldChar w:fldCharType="separate"/>
                </w:r>
                <w:r>
                  <w:rPr>
                    <w:rFonts w:ascii="Palatino Linotype"/>
                    <w:sz w:val="14"/>
                  </w:rPr>
                  <w:t>4</w:t>
                </w:r>
                <w:r>
                  <w:rPr>
                    <w:rFonts w:ascii="Palatino Linotype"/>
                    <w:sz w:val="14"/>
                  </w:rPr>
                  <w:fldChar w:fldCharType="end"/>
                </w:r>
                <w:r>
                  <w:rPr>
                    <w:rFonts w:ascii="Palatino Linotype"/>
                    <w:spacing w:val="29"/>
                    <w:sz w:val="14"/>
                  </w:rPr>
                  <w:t> </w:t>
                </w:r>
                <w:r>
                  <w:rPr>
                    <w:rFonts w:ascii="Palatino Linotype"/>
                    <w:b/>
                    <w:sz w:val="14"/>
                  </w:rPr>
                  <w:t>COUNCIL</w:t>
                </w:r>
                <w:r>
                  <w:rPr>
                    <w:rFonts w:ascii="Palatino Linotype"/>
                    <w:b/>
                    <w:spacing w:val="-3"/>
                    <w:sz w:val="14"/>
                  </w:rPr>
                  <w:t> </w:t>
                </w:r>
                <w:r>
                  <w:rPr>
                    <w:rFonts w:ascii="Palatino Linotype"/>
                    <w:b/>
                    <w:sz w:val="14"/>
                  </w:rPr>
                  <w:t>OF</w:t>
                </w:r>
                <w:r>
                  <w:rPr>
                    <w:rFonts w:ascii="Palatino Linotype"/>
                    <w:b/>
                    <w:spacing w:val="-4"/>
                    <w:sz w:val="14"/>
                  </w:rPr>
                  <w:t> </w:t>
                </w:r>
                <w:r>
                  <w:rPr>
                    <w:rFonts w:ascii="Palatino Linotype"/>
                    <w:b/>
                    <w:sz w:val="14"/>
                  </w:rPr>
                  <w:t>FINANCIAL</w:t>
                </w:r>
                <w:r>
                  <w:rPr>
                    <w:rFonts w:ascii="Palatino Linotype"/>
                    <w:b/>
                    <w:spacing w:val="-3"/>
                    <w:sz w:val="14"/>
                  </w:rPr>
                  <w:t> </w:t>
                </w:r>
                <w:r>
                  <w:rPr>
                    <w:rFonts w:ascii="Palatino Linotype"/>
                    <w:b/>
                    <w:spacing w:val="-2"/>
                    <w:sz w:val="14"/>
                  </w:rPr>
                  <w:t>REGULATORS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08" w:hanging="289"/>
        <w:jc w:val="left"/>
      </w:pPr>
      <w:rPr>
        <w:rFonts w:hint="default" w:ascii="Calibri" w:hAnsi="Calibri" w:eastAsia="Calibri" w:cs="Calibri"/>
        <w:b/>
        <w:bCs/>
        <w:i/>
        <w:iCs/>
        <w:spacing w:val="-1"/>
        <w:w w:val="100"/>
        <w:sz w:val="21"/>
        <w:szCs w:val="21"/>
        <w:lang w:val="en-au" w:eastAsia="en-US" w:bidi="ar-SA"/>
      </w:rPr>
    </w:lvl>
    <w:lvl w:ilvl="1">
      <w:start w:val="0"/>
      <w:numFmt w:val="bullet"/>
      <w:lvlText w:val="•"/>
      <w:lvlJc w:val="left"/>
      <w:pPr>
        <w:ind w:left="984" w:hanging="289"/>
      </w:pPr>
      <w:rPr>
        <w:rFonts w:hint="default"/>
        <w:lang w:val="en-au" w:eastAsia="en-US" w:bidi="ar-SA"/>
      </w:rPr>
    </w:lvl>
    <w:lvl w:ilvl="2">
      <w:start w:val="0"/>
      <w:numFmt w:val="bullet"/>
      <w:lvlText w:val="•"/>
      <w:lvlJc w:val="left"/>
      <w:pPr>
        <w:ind w:left="1869" w:hanging="289"/>
      </w:pPr>
      <w:rPr>
        <w:rFonts w:hint="default"/>
        <w:lang w:val="en-au" w:eastAsia="en-US" w:bidi="ar-SA"/>
      </w:rPr>
    </w:lvl>
    <w:lvl w:ilvl="3">
      <w:start w:val="0"/>
      <w:numFmt w:val="bullet"/>
      <w:lvlText w:val="•"/>
      <w:lvlJc w:val="left"/>
      <w:pPr>
        <w:ind w:left="2753" w:hanging="289"/>
      </w:pPr>
      <w:rPr>
        <w:rFonts w:hint="default"/>
        <w:lang w:val="en-au" w:eastAsia="en-US" w:bidi="ar-SA"/>
      </w:rPr>
    </w:lvl>
    <w:lvl w:ilvl="4">
      <w:start w:val="0"/>
      <w:numFmt w:val="bullet"/>
      <w:lvlText w:val="•"/>
      <w:lvlJc w:val="left"/>
      <w:pPr>
        <w:ind w:left="3638" w:hanging="289"/>
      </w:pPr>
      <w:rPr>
        <w:rFonts w:hint="default"/>
        <w:lang w:val="en-au" w:eastAsia="en-US" w:bidi="ar-SA"/>
      </w:rPr>
    </w:lvl>
    <w:lvl w:ilvl="5">
      <w:start w:val="0"/>
      <w:numFmt w:val="bullet"/>
      <w:lvlText w:val="•"/>
      <w:lvlJc w:val="left"/>
      <w:pPr>
        <w:ind w:left="4523" w:hanging="289"/>
      </w:pPr>
      <w:rPr>
        <w:rFonts w:hint="default"/>
        <w:lang w:val="en-au" w:eastAsia="en-US" w:bidi="ar-SA"/>
      </w:rPr>
    </w:lvl>
    <w:lvl w:ilvl="6">
      <w:start w:val="0"/>
      <w:numFmt w:val="bullet"/>
      <w:lvlText w:val="•"/>
      <w:lvlJc w:val="left"/>
      <w:pPr>
        <w:ind w:left="5407" w:hanging="289"/>
      </w:pPr>
      <w:rPr>
        <w:rFonts w:hint="default"/>
        <w:lang w:val="en-au" w:eastAsia="en-US" w:bidi="ar-SA"/>
      </w:rPr>
    </w:lvl>
    <w:lvl w:ilvl="7">
      <w:start w:val="0"/>
      <w:numFmt w:val="bullet"/>
      <w:lvlText w:val="•"/>
      <w:lvlJc w:val="left"/>
      <w:pPr>
        <w:ind w:left="6292" w:hanging="289"/>
      </w:pPr>
      <w:rPr>
        <w:rFonts w:hint="default"/>
        <w:lang w:val="en-au" w:eastAsia="en-US" w:bidi="ar-SA"/>
      </w:rPr>
    </w:lvl>
    <w:lvl w:ilvl="8">
      <w:start w:val="0"/>
      <w:numFmt w:val="bullet"/>
      <w:lvlText w:val="•"/>
      <w:lvlJc w:val="left"/>
      <w:pPr>
        <w:ind w:left="7177" w:hanging="289"/>
      </w:pPr>
      <w:rPr>
        <w:rFonts w:hint="default"/>
        <w:lang w:val="en-au" w:eastAsia="en-US" w:bidi="ar-SA"/>
      </w:rPr>
    </w:lvl>
  </w:abstractNum>
  <w:abstractNum w:abstractNumId="3">
    <w:multiLevelType w:val="hybridMultilevel"/>
    <w:lvl w:ilvl="0">
      <w:start w:val="1"/>
      <w:numFmt w:val="decimal"/>
      <w:lvlText w:val="%1."/>
      <w:lvlJc w:val="left"/>
      <w:pPr>
        <w:ind w:left="816" w:hanging="708"/>
        <w:jc w:val="left"/>
      </w:pPr>
      <w:rPr>
        <w:rFonts w:hint="default" w:ascii="Palatino Linotype" w:hAnsi="Palatino Linotype" w:eastAsia="Palatino Linotype" w:cs="Palatino Linotype"/>
        <w:b w:val="0"/>
        <w:bCs w:val="0"/>
        <w:i w:val="0"/>
        <w:iCs w:val="0"/>
        <w:color w:val="007698"/>
        <w:spacing w:val="0"/>
        <w:w w:val="100"/>
        <w:sz w:val="28"/>
        <w:szCs w:val="28"/>
        <w:lang w:val="en-au" w:eastAsia="en-US" w:bidi="ar-SA"/>
      </w:rPr>
    </w:lvl>
    <w:lvl w:ilvl="1">
      <w:start w:val="0"/>
      <w:numFmt w:val="bullet"/>
      <w:lvlText w:val="•"/>
      <w:lvlJc w:val="left"/>
      <w:pPr>
        <w:ind w:left="1632" w:hanging="708"/>
      </w:pPr>
      <w:rPr>
        <w:rFonts w:hint="default"/>
        <w:lang w:val="en-au" w:eastAsia="en-US" w:bidi="ar-SA"/>
      </w:rPr>
    </w:lvl>
    <w:lvl w:ilvl="2">
      <w:start w:val="0"/>
      <w:numFmt w:val="bullet"/>
      <w:lvlText w:val="•"/>
      <w:lvlJc w:val="left"/>
      <w:pPr>
        <w:ind w:left="2445" w:hanging="708"/>
      </w:pPr>
      <w:rPr>
        <w:rFonts w:hint="default"/>
        <w:lang w:val="en-au" w:eastAsia="en-US" w:bidi="ar-SA"/>
      </w:rPr>
    </w:lvl>
    <w:lvl w:ilvl="3">
      <w:start w:val="0"/>
      <w:numFmt w:val="bullet"/>
      <w:lvlText w:val="•"/>
      <w:lvlJc w:val="left"/>
      <w:pPr>
        <w:ind w:left="3257" w:hanging="708"/>
      </w:pPr>
      <w:rPr>
        <w:rFonts w:hint="default"/>
        <w:lang w:val="en-au" w:eastAsia="en-US" w:bidi="ar-SA"/>
      </w:rPr>
    </w:lvl>
    <w:lvl w:ilvl="4">
      <w:start w:val="0"/>
      <w:numFmt w:val="bullet"/>
      <w:lvlText w:val="•"/>
      <w:lvlJc w:val="left"/>
      <w:pPr>
        <w:ind w:left="4070" w:hanging="708"/>
      </w:pPr>
      <w:rPr>
        <w:rFonts w:hint="default"/>
        <w:lang w:val="en-au" w:eastAsia="en-US" w:bidi="ar-SA"/>
      </w:rPr>
    </w:lvl>
    <w:lvl w:ilvl="5">
      <w:start w:val="0"/>
      <w:numFmt w:val="bullet"/>
      <w:lvlText w:val="•"/>
      <w:lvlJc w:val="left"/>
      <w:pPr>
        <w:ind w:left="4883" w:hanging="708"/>
      </w:pPr>
      <w:rPr>
        <w:rFonts w:hint="default"/>
        <w:lang w:val="en-au" w:eastAsia="en-US" w:bidi="ar-SA"/>
      </w:rPr>
    </w:lvl>
    <w:lvl w:ilvl="6">
      <w:start w:val="0"/>
      <w:numFmt w:val="bullet"/>
      <w:lvlText w:val="•"/>
      <w:lvlJc w:val="left"/>
      <w:pPr>
        <w:ind w:left="5695" w:hanging="708"/>
      </w:pPr>
      <w:rPr>
        <w:rFonts w:hint="default"/>
        <w:lang w:val="en-au" w:eastAsia="en-US" w:bidi="ar-SA"/>
      </w:rPr>
    </w:lvl>
    <w:lvl w:ilvl="7">
      <w:start w:val="0"/>
      <w:numFmt w:val="bullet"/>
      <w:lvlText w:val="•"/>
      <w:lvlJc w:val="left"/>
      <w:pPr>
        <w:ind w:left="6508" w:hanging="708"/>
      </w:pPr>
      <w:rPr>
        <w:rFonts w:hint="default"/>
        <w:lang w:val="en-au" w:eastAsia="en-US" w:bidi="ar-SA"/>
      </w:rPr>
    </w:lvl>
    <w:lvl w:ilvl="8">
      <w:start w:val="0"/>
      <w:numFmt w:val="bullet"/>
      <w:lvlText w:val="•"/>
      <w:lvlJc w:val="left"/>
      <w:pPr>
        <w:ind w:left="7321" w:hanging="708"/>
      </w:pPr>
      <w:rPr>
        <w:rFonts w:hint="default"/>
        <w:lang w:val="en-au" w:eastAsia="en-US" w:bidi="ar-SA"/>
      </w:rPr>
    </w:lvl>
  </w:abstractNum>
  <w:abstractNum w:abstractNumId="2">
    <w:multiLevelType w:val="hybridMultilevel"/>
    <w:lvl w:ilvl="0">
      <w:start w:val="1"/>
      <w:numFmt w:val="decimal"/>
      <w:lvlText w:val="%1."/>
      <w:lvlJc w:val="left"/>
      <w:pPr>
        <w:ind w:left="533" w:hanging="425"/>
        <w:jc w:val="left"/>
      </w:pPr>
      <w:rPr>
        <w:rFonts w:hint="default" w:ascii="Calibri" w:hAnsi="Calibri" w:eastAsia="Calibri" w:cs="Calibri"/>
        <w:b w:val="0"/>
        <w:bCs w:val="0"/>
        <w:i w:val="0"/>
        <w:iCs w:val="0"/>
        <w:w w:val="100"/>
        <w:sz w:val="21"/>
        <w:szCs w:val="21"/>
        <w:lang w:val="en-au" w:eastAsia="en-US" w:bidi="ar-SA"/>
      </w:rPr>
    </w:lvl>
    <w:lvl w:ilvl="1">
      <w:start w:val="1"/>
      <w:numFmt w:val="lowerLetter"/>
      <w:lvlText w:val="(%2)"/>
      <w:lvlJc w:val="left"/>
      <w:pPr>
        <w:ind w:left="958" w:hanging="425"/>
        <w:jc w:val="left"/>
      </w:pPr>
      <w:rPr>
        <w:rFonts w:hint="default" w:ascii="Calibri" w:hAnsi="Calibri" w:eastAsia="Calibri" w:cs="Calibri"/>
        <w:b w:val="0"/>
        <w:bCs w:val="0"/>
        <w:i w:val="0"/>
        <w:iCs w:val="0"/>
        <w:spacing w:val="-1"/>
        <w:w w:val="100"/>
        <w:sz w:val="21"/>
        <w:szCs w:val="21"/>
        <w:lang w:val="en-au" w:eastAsia="en-US" w:bidi="ar-SA"/>
      </w:rPr>
    </w:lvl>
    <w:lvl w:ilvl="2">
      <w:start w:val="0"/>
      <w:numFmt w:val="bullet"/>
      <w:lvlText w:val="•"/>
      <w:lvlJc w:val="left"/>
      <w:pPr>
        <w:ind w:left="1847" w:hanging="425"/>
      </w:pPr>
      <w:rPr>
        <w:rFonts w:hint="default"/>
        <w:lang w:val="en-au" w:eastAsia="en-US" w:bidi="ar-SA"/>
      </w:rPr>
    </w:lvl>
    <w:lvl w:ilvl="3">
      <w:start w:val="0"/>
      <w:numFmt w:val="bullet"/>
      <w:lvlText w:val="•"/>
      <w:lvlJc w:val="left"/>
      <w:pPr>
        <w:ind w:left="2734" w:hanging="425"/>
      </w:pPr>
      <w:rPr>
        <w:rFonts w:hint="default"/>
        <w:lang w:val="en-au" w:eastAsia="en-US" w:bidi="ar-SA"/>
      </w:rPr>
    </w:lvl>
    <w:lvl w:ilvl="4">
      <w:start w:val="0"/>
      <w:numFmt w:val="bullet"/>
      <w:lvlText w:val="•"/>
      <w:lvlJc w:val="left"/>
      <w:pPr>
        <w:ind w:left="3622" w:hanging="425"/>
      </w:pPr>
      <w:rPr>
        <w:rFonts w:hint="default"/>
        <w:lang w:val="en-au" w:eastAsia="en-US" w:bidi="ar-SA"/>
      </w:rPr>
    </w:lvl>
    <w:lvl w:ilvl="5">
      <w:start w:val="0"/>
      <w:numFmt w:val="bullet"/>
      <w:lvlText w:val="•"/>
      <w:lvlJc w:val="left"/>
      <w:pPr>
        <w:ind w:left="4509" w:hanging="425"/>
      </w:pPr>
      <w:rPr>
        <w:rFonts w:hint="default"/>
        <w:lang w:val="en-au" w:eastAsia="en-US" w:bidi="ar-SA"/>
      </w:rPr>
    </w:lvl>
    <w:lvl w:ilvl="6">
      <w:start w:val="0"/>
      <w:numFmt w:val="bullet"/>
      <w:lvlText w:val="•"/>
      <w:lvlJc w:val="left"/>
      <w:pPr>
        <w:ind w:left="5396" w:hanging="425"/>
      </w:pPr>
      <w:rPr>
        <w:rFonts w:hint="default"/>
        <w:lang w:val="en-au" w:eastAsia="en-US" w:bidi="ar-SA"/>
      </w:rPr>
    </w:lvl>
    <w:lvl w:ilvl="7">
      <w:start w:val="0"/>
      <w:numFmt w:val="bullet"/>
      <w:lvlText w:val="•"/>
      <w:lvlJc w:val="left"/>
      <w:pPr>
        <w:ind w:left="6284" w:hanging="425"/>
      </w:pPr>
      <w:rPr>
        <w:rFonts w:hint="default"/>
        <w:lang w:val="en-au" w:eastAsia="en-US" w:bidi="ar-SA"/>
      </w:rPr>
    </w:lvl>
    <w:lvl w:ilvl="8">
      <w:start w:val="0"/>
      <w:numFmt w:val="bullet"/>
      <w:lvlText w:val="•"/>
      <w:lvlJc w:val="left"/>
      <w:pPr>
        <w:ind w:left="7171" w:hanging="425"/>
      </w:pPr>
      <w:rPr>
        <w:rFonts w:hint="default"/>
        <w:lang w:val="en-au" w:eastAsia="en-US" w:bidi="ar-SA"/>
      </w:rPr>
    </w:lvl>
  </w:abstractNum>
  <w:abstractNum w:abstractNumId="1">
    <w:multiLevelType w:val="hybridMultilevel"/>
    <w:lvl w:ilvl="0">
      <w:start w:val="0"/>
      <w:numFmt w:val="bullet"/>
      <w:lvlText w:val=""/>
      <w:lvlJc w:val="left"/>
      <w:pPr>
        <w:ind w:left="468" w:hanging="361"/>
      </w:pPr>
      <w:rPr>
        <w:rFonts w:hint="default" w:ascii="Symbol" w:hAnsi="Symbol" w:eastAsia="Symbol" w:cs="Symbol"/>
        <w:b w:val="0"/>
        <w:bCs w:val="0"/>
        <w:i w:val="0"/>
        <w:iCs w:val="0"/>
        <w:w w:val="100"/>
        <w:sz w:val="21"/>
        <w:szCs w:val="21"/>
        <w:lang w:val="en-au" w:eastAsia="en-US" w:bidi="ar-SA"/>
      </w:rPr>
    </w:lvl>
    <w:lvl w:ilvl="1">
      <w:start w:val="0"/>
      <w:numFmt w:val="bullet"/>
      <w:lvlText w:val="•"/>
      <w:lvlJc w:val="left"/>
      <w:pPr>
        <w:ind w:left="1308" w:hanging="361"/>
      </w:pPr>
      <w:rPr>
        <w:rFonts w:hint="default"/>
        <w:lang w:val="en-au" w:eastAsia="en-US" w:bidi="ar-SA"/>
      </w:rPr>
    </w:lvl>
    <w:lvl w:ilvl="2">
      <w:start w:val="0"/>
      <w:numFmt w:val="bullet"/>
      <w:lvlText w:val="•"/>
      <w:lvlJc w:val="left"/>
      <w:pPr>
        <w:ind w:left="2157" w:hanging="361"/>
      </w:pPr>
      <w:rPr>
        <w:rFonts w:hint="default"/>
        <w:lang w:val="en-au" w:eastAsia="en-US" w:bidi="ar-SA"/>
      </w:rPr>
    </w:lvl>
    <w:lvl w:ilvl="3">
      <w:start w:val="0"/>
      <w:numFmt w:val="bullet"/>
      <w:lvlText w:val="•"/>
      <w:lvlJc w:val="left"/>
      <w:pPr>
        <w:ind w:left="3005" w:hanging="361"/>
      </w:pPr>
      <w:rPr>
        <w:rFonts w:hint="default"/>
        <w:lang w:val="en-au" w:eastAsia="en-US" w:bidi="ar-SA"/>
      </w:rPr>
    </w:lvl>
    <w:lvl w:ilvl="4">
      <w:start w:val="0"/>
      <w:numFmt w:val="bullet"/>
      <w:lvlText w:val="•"/>
      <w:lvlJc w:val="left"/>
      <w:pPr>
        <w:ind w:left="3854" w:hanging="361"/>
      </w:pPr>
      <w:rPr>
        <w:rFonts w:hint="default"/>
        <w:lang w:val="en-au" w:eastAsia="en-US" w:bidi="ar-SA"/>
      </w:rPr>
    </w:lvl>
    <w:lvl w:ilvl="5">
      <w:start w:val="0"/>
      <w:numFmt w:val="bullet"/>
      <w:lvlText w:val="•"/>
      <w:lvlJc w:val="left"/>
      <w:pPr>
        <w:ind w:left="4703" w:hanging="361"/>
      </w:pPr>
      <w:rPr>
        <w:rFonts w:hint="default"/>
        <w:lang w:val="en-au" w:eastAsia="en-US" w:bidi="ar-SA"/>
      </w:rPr>
    </w:lvl>
    <w:lvl w:ilvl="6">
      <w:start w:val="0"/>
      <w:numFmt w:val="bullet"/>
      <w:lvlText w:val="•"/>
      <w:lvlJc w:val="left"/>
      <w:pPr>
        <w:ind w:left="5551" w:hanging="361"/>
      </w:pPr>
      <w:rPr>
        <w:rFonts w:hint="default"/>
        <w:lang w:val="en-au" w:eastAsia="en-US" w:bidi="ar-SA"/>
      </w:rPr>
    </w:lvl>
    <w:lvl w:ilvl="7">
      <w:start w:val="0"/>
      <w:numFmt w:val="bullet"/>
      <w:lvlText w:val="•"/>
      <w:lvlJc w:val="left"/>
      <w:pPr>
        <w:ind w:left="6400" w:hanging="361"/>
      </w:pPr>
      <w:rPr>
        <w:rFonts w:hint="default"/>
        <w:lang w:val="en-au" w:eastAsia="en-US" w:bidi="ar-SA"/>
      </w:rPr>
    </w:lvl>
    <w:lvl w:ilvl="8">
      <w:start w:val="0"/>
      <w:numFmt w:val="bullet"/>
      <w:lvlText w:val="•"/>
      <w:lvlJc w:val="left"/>
      <w:pPr>
        <w:ind w:left="7249" w:hanging="361"/>
      </w:pPr>
      <w:rPr>
        <w:rFonts w:hint="default"/>
        <w:lang w:val="en-au" w:eastAsia="en-US" w:bidi="ar-SA"/>
      </w:rPr>
    </w:lvl>
  </w:abstractNum>
  <w:abstractNum w:abstractNumId="0">
    <w:multiLevelType w:val="hybridMultilevel"/>
    <w:lvl w:ilvl="0">
      <w:start w:val="1"/>
      <w:numFmt w:val="decimal"/>
      <w:lvlText w:val="%1"/>
      <w:lvlJc w:val="left"/>
      <w:pPr>
        <w:ind w:left="391" w:hanging="284"/>
        <w:jc w:val="left"/>
      </w:pPr>
      <w:rPr>
        <w:rFonts w:hint="default" w:ascii="Calibri" w:hAnsi="Calibri" w:eastAsia="Calibri" w:cs="Calibri"/>
        <w:b w:val="0"/>
        <w:bCs w:val="0"/>
        <w:i w:val="0"/>
        <w:iCs w:val="0"/>
        <w:w w:val="100"/>
        <w:sz w:val="18"/>
        <w:szCs w:val="18"/>
        <w:lang w:val="en-au" w:eastAsia="en-US" w:bidi="ar-SA"/>
      </w:rPr>
    </w:lvl>
    <w:lvl w:ilvl="1">
      <w:start w:val="0"/>
      <w:numFmt w:val="bullet"/>
      <w:lvlText w:val="•"/>
      <w:lvlJc w:val="left"/>
      <w:pPr>
        <w:ind w:left="1254" w:hanging="284"/>
      </w:pPr>
      <w:rPr>
        <w:rFonts w:hint="default"/>
        <w:lang w:val="en-au" w:eastAsia="en-US" w:bidi="ar-SA"/>
      </w:rPr>
    </w:lvl>
    <w:lvl w:ilvl="2">
      <w:start w:val="0"/>
      <w:numFmt w:val="bullet"/>
      <w:lvlText w:val="•"/>
      <w:lvlJc w:val="left"/>
      <w:pPr>
        <w:ind w:left="2109" w:hanging="284"/>
      </w:pPr>
      <w:rPr>
        <w:rFonts w:hint="default"/>
        <w:lang w:val="en-au" w:eastAsia="en-US" w:bidi="ar-SA"/>
      </w:rPr>
    </w:lvl>
    <w:lvl w:ilvl="3">
      <w:start w:val="0"/>
      <w:numFmt w:val="bullet"/>
      <w:lvlText w:val="•"/>
      <w:lvlJc w:val="left"/>
      <w:pPr>
        <w:ind w:left="2963" w:hanging="284"/>
      </w:pPr>
      <w:rPr>
        <w:rFonts w:hint="default"/>
        <w:lang w:val="en-au" w:eastAsia="en-US" w:bidi="ar-SA"/>
      </w:rPr>
    </w:lvl>
    <w:lvl w:ilvl="4">
      <w:start w:val="0"/>
      <w:numFmt w:val="bullet"/>
      <w:lvlText w:val="•"/>
      <w:lvlJc w:val="left"/>
      <w:pPr>
        <w:ind w:left="3818" w:hanging="284"/>
      </w:pPr>
      <w:rPr>
        <w:rFonts w:hint="default"/>
        <w:lang w:val="en-au" w:eastAsia="en-US" w:bidi="ar-SA"/>
      </w:rPr>
    </w:lvl>
    <w:lvl w:ilvl="5">
      <w:start w:val="0"/>
      <w:numFmt w:val="bullet"/>
      <w:lvlText w:val="•"/>
      <w:lvlJc w:val="left"/>
      <w:pPr>
        <w:ind w:left="4673" w:hanging="284"/>
      </w:pPr>
      <w:rPr>
        <w:rFonts w:hint="default"/>
        <w:lang w:val="en-au" w:eastAsia="en-US" w:bidi="ar-SA"/>
      </w:rPr>
    </w:lvl>
    <w:lvl w:ilvl="6">
      <w:start w:val="0"/>
      <w:numFmt w:val="bullet"/>
      <w:lvlText w:val="•"/>
      <w:lvlJc w:val="left"/>
      <w:pPr>
        <w:ind w:left="5527" w:hanging="284"/>
      </w:pPr>
      <w:rPr>
        <w:rFonts w:hint="default"/>
        <w:lang w:val="en-au" w:eastAsia="en-US" w:bidi="ar-SA"/>
      </w:rPr>
    </w:lvl>
    <w:lvl w:ilvl="7">
      <w:start w:val="0"/>
      <w:numFmt w:val="bullet"/>
      <w:lvlText w:val="•"/>
      <w:lvlJc w:val="left"/>
      <w:pPr>
        <w:ind w:left="6382" w:hanging="284"/>
      </w:pPr>
      <w:rPr>
        <w:rFonts w:hint="default"/>
        <w:lang w:val="en-au" w:eastAsia="en-US" w:bidi="ar-SA"/>
      </w:rPr>
    </w:lvl>
    <w:lvl w:ilvl="8">
      <w:start w:val="0"/>
      <w:numFmt w:val="bullet"/>
      <w:lvlText w:val="•"/>
      <w:lvlJc w:val="left"/>
      <w:pPr>
        <w:ind w:left="7237" w:hanging="284"/>
      </w:pPr>
      <w:rPr>
        <w:rFonts w:hint="default"/>
        <w:lang w:val="en-au"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1"/>
      <w:szCs w:val="21"/>
      <w:lang w:val="en-au" w:eastAsia="en-US" w:bidi="ar-SA"/>
    </w:rPr>
  </w:style>
  <w:style w:styleId="Heading1" w:type="paragraph">
    <w:name w:val="Heading 1"/>
    <w:basedOn w:val="Normal"/>
    <w:uiPriority w:val="1"/>
    <w:qFormat/>
    <w:pPr>
      <w:ind w:left="108"/>
      <w:outlineLvl w:val="1"/>
    </w:pPr>
    <w:rPr>
      <w:rFonts w:ascii="Palatino Linotype" w:hAnsi="Palatino Linotype" w:eastAsia="Palatino Linotype" w:cs="Palatino Linotype"/>
      <w:sz w:val="32"/>
      <w:szCs w:val="32"/>
      <w:lang w:val="en-au" w:eastAsia="en-US" w:bidi="ar-SA"/>
    </w:rPr>
  </w:style>
  <w:style w:styleId="Heading2" w:type="paragraph">
    <w:name w:val="Heading 2"/>
    <w:basedOn w:val="Normal"/>
    <w:uiPriority w:val="1"/>
    <w:qFormat/>
    <w:pPr>
      <w:spacing w:before="104"/>
      <w:ind w:left="108"/>
      <w:outlineLvl w:val="2"/>
    </w:pPr>
    <w:rPr>
      <w:rFonts w:ascii="Palatino Linotype" w:hAnsi="Palatino Linotype" w:eastAsia="Palatino Linotype" w:cs="Palatino Linotype"/>
      <w:sz w:val="28"/>
      <w:szCs w:val="28"/>
      <w:lang w:val="en-au" w:eastAsia="en-US" w:bidi="ar-SA"/>
    </w:rPr>
  </w:style>
  <w:style w:styleId="Heading3" w:type="paragraph">
    <w:name w:val="Heading 3"/>
    <w:basedOn w:val="Normal"/>
    <w:uiPriority w:val="1"/>
    <w:qFormat/>
    <w:pPr>
      <w:spacing w:before="115"/>
      <w:ind w:left="108"/>
      <w:jc w:val="both"/>
      <w:outlineLvl w:val="3"/>
    </w:pPr>
    <w:rPr>
      <w:rFonts w:ascii="Calibri" w:hAnsi="Calibri" w:eastAsia="Calibri" w:cs="Calibri"/>
      <w:b/>
      <w:bCs/>
      <w:i/>
      <w:iCs/>
      <w:sz w:val="21"/>
      <w:szCs w:val="21"/>
      <w:lang w:val="en-au" w:eastAsia="en-US" w:bidi="ar-SA"/>
    </w:rPr>
  </w:style>
  <w:style w:styleId="Title" w:type="paragraph">
    <w:name w:val="Title"/>
    <w:basedOn w:val="Normal"/>
    <w:uiPriority w:val="1"/>
    <w:qFormat/>
    <w:pPr>
      <w:ind w:left="141"/>
    </w:pPr>
    <w:rPr>
      <w:rFonts w:ascii="Palatino Linotype" w:hAnsi="Palatino Linotype" w:eastAsia="Palatino Linotype" w:cs="Palatino Linotype"/>
      <w:sz w:val="56"/>
      <w:szCs w:val="56"/>
      <w:lang w:val="en-au" w:eastAsia="en-US" w:bidi="ar-SA"/>
    </w:rPr>
  </w:style>
  <w:style w:styleId="ListParagraph" w:type="paragraph">
    <w:name w:val="List Paragraph"/>
    <w:basedOn w:val="Normal"/>
    <w:uiPriority w:val="1"/>
    <w:qFormat/>
    <w:pPr>
      <w:spacing w:before="173"/>
      <w:ind w:left="392" w:hanging="284"/>
    </w:pPr>
    <w:rPr>
      <w:rFonts w:ascii="Calibri" w:hAnsi="Calibri" w:eastAsia="Calibri" w:cs="Calibri"/>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www.treasury.gov.au/" TargetMode="External"/><Relationship Id="rId13" Type="http://schemas.openxmlformats.org/officeDocument/2006/relationships/hyperlink" Target="http://asic.gov.au/regulatory-resources/find-a-document/regulatory-" TargetMode="External"/><Relationship Id="rId18" Type="http://schemas.openxmlformats.org/officeDocument/2006/relationships/customXml" Target="../customXml/item1.xml"/><Relationship Id="rId3" Type="http://schemas.openxmlformats.org/officeDocument/2006/relationships/theme" Target="theme/theme1.xml"/><Relationship Id="rId21" Type="http://schemas.openxmlformats.org/officeDocument/2006/relationships/customXml" Target="../customXml/item4.xml"/><Relationship Id="rId7" Type="http://schemas.openxmlformats.org/officeDocument/2006/relationships/footer" Target="footer2.xml"/><Relationship Id="rId12" Type="http://schemas.openxmlformats.org/officeDocument/2006/relationships/hyperlink" Target="http://www.bis.org/cpmi/info_pfmi.htm" TargetMode="External"/><Relationship Id="rId17"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hyperlink" Target="http://www.cfr.gov.au/publications/cfr-publications/2015/resolution-regime-financial-" TargetMode="Externa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cfr.gov.au/publications/cfr-publications/" TargetMode="External"/><Relationship Id="rId5" Type="http://schemas.openxmlformats.org/officeDocument/2006/relationships/image" Target="media/image1.jpeg"/><Relationship Id="rId15" Type="http://schemas.openxmlformats.org/officeDocument/2006/relationships/hyperlink" Target="http://www.treasury.gov.au/ConsultationsandReviews/Consultations/2015/Resolution-" TargetMode="External"/><Relationship Id="rId10" Type="http://schemas.openxmlformats.org/officeDocument/2006/relationships/hyperlink" Target="http://www.rba.gov.au/payments-and-infrastructure/financial-marke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fr.gov.au/publications/cfr-" TargetMode="External"/><Relationship Id="rId14" Type="http://schemas.openxmlformats.org/officeDocument/2006/relationships/hyperlink" Target="http://www.treasury.gov.au/ConsultationsandReviews/Consultations/2012/cross-border-cl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DOCID-322795542-26553</_dlc_DocId>
    <_dlc_DocIdUrl xmlns="4195ad5f-cdf2-4c4a-8d9b-b7944a108e98">
      <Url>https://pmc01.sharepoint.com/sites/CRMOBPR/_layouts/15/DocIdRedir.aspx?ID=DOCID-322795542-26553</Url>
      <Description>DOCID-322795542-26553</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DC994-AF95-4C73-9109-35A8A102F08F}"/>
</file>

<file path=customXml/itemProps2.xml><?xml version="1.0" encoding="utf-8"?>
<ds:datastoreItem xmlns:ds="http://schemas.openxmlformats.org/officeDocument/2006/customXml" ds:itemID="{C5A21C3B-823F-4AED-BEBB-525DB0545552}"/>
</file>

<file path=customXml/itemProps3.xml><?xml version="1.0" encoding="utf-8"?>
<ds:datastoreItem xmlns:ds="http://schemas.openxmlformats.org/officeDocument/2006/customXml" ds:itemID="{3C0B9E0C-EB27-464E-9605-DDE93D621E84}"/>
</file>

<file path=customXml/itemProps4.xml><?xml version="1.0" encoding="utf-8"?>
<ds:datastoreItem xmlns:ds="http://schemas.openxmlformats.org/officeDocument/2006/customXml" ds:itemID="{A6EE8472-07D1-44D3-9F26-0A5D857B237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Budd</dc:creator>
  <dcterms:created xsi:type="dcterms:W3CDTF">2022-07-05T01:42:00Z</dcterms:created>
  <dcterms:modified xsi:type="dcterms:W3CDTF">2022-07-05T01:42:00Z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Acrobat PDFMaker 11 for Word</vt:lpwstr>
  </property>
  <property fmtid="{D5CDD505-2E9C-101B-9397-08002B2CF9AE}" pid="4" name="LastSaved">
    <vt:filetime>2022-07-05T00:00:00Z</vt:filetime>
  </property>
  <property fmtid="{D5CDD505-2E9C-101B-9397-08002B2CF9AE}" pid="5" name="ContentTypeId">
    <vt:lpwstr>0x0101009CA239676470E04B809DDC4E24CF2322</vt:lpwstr>
  </property>
  <property fmtid="{D5CDD505-2E9C-101B-9397-08002B2CF9AE}" pid="6" name="eTheme">
    <vt:lpwstr>1;#Financial System|047002ef-5ee0-47ee-8184-5f4aaddfe3b3</vt:lpwstr>
  </property>
  <property fmtid="{D5CDD505-2E9C-101B-9397-08002B2CF9AE}" pid="7" name="_dlc_DocIdItemGuid">
    <vt:lpwstr>9116037c-85d3-4804-b64f-cec9cb8afde3</vt:lpwstr>
  </property>
  <property fmtid="{D5CDD505-2E9C-101B-9397-08002B2CF9AE}" pid="8" name="eDocumentType">
    <vt:lpwstr>71;#Paper (Analysis or Research or Report)|6ad78538-b056-4e5b-8c06-e0b6c43f0ffa</vt:lpwstr>
  </property>
  <property fmtid="{D5CDD505-2E9C-101B-9397-08002B2CF9AE}" pid="9" name="eTopic">
    <vt:lpwstr>63;#Clearing and settlement|8c34b893-9c9c-40c9-afcc-4be76d248902;#22;#CFR|d8213157-58c2-4960-b99b-b9eb513594c0</vt:lpwstr>
  </property>
  <property fmtid="{D5CDD505-2E9C-101B-9397-08002B2CF9AE}" pid="10" name="eActivity">
    <vt:lpwstr>7;#Advice|7410e4fa-f399-413c-bf77-fd52474fcb91</vt:lpwstr>
  </property>
  <property fmtid="{D5CDD505-2E9C-101B-9397-08002B2CF9AE}" pid="11" name="MediaServiceImageTags">
    <vt:lpwstr/>
  </property>
</Properties>
</file>